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jc w:val="center"/>
        <w:spacing w:after="0" w:line="236" w:lineRule="auto"/>
        <w:rPr>
          <w:sz w:val="20"/>
          <w:szCs w:val="20"/>
          <w:color w:val="auto"/>
        </w:rPr>
      </w:pPr>
      <w:r>
        <w:rPr>
          <w:rFonts w:ascii="Times New Roman" w:cs="Times New Roman" w:eastAsia="Times New Roman" w:hAnsi="Times New Roman"/>
          <w:sz w:val="22"/>
          <w:szCs w:val="22"/>
          <w:b w:val="1"/>
          <w:bCs w:val="1"/>
          <w:color w:val="auto"/>
        </w:rPr>
        <w:t>Washington, D.C. 20549</w:t>
      </w:r>
    </w:p>
    <w:p>
      <w:pPr>
        <w:ind w:left="4360"/>
        <w:spacing w:after="0"/>
        <w:rPr>
          <w:sz w:val="20"/>
          <w:szCs w:val="20"/>
          <w:color w:val="auto"/>
        </w:rPr>
      </w:pPr>
      <w:r>
        <w:rPr>
          <w:rFonts w:ascii="Times New Roman" w:cs="Times New Roman" w:eastAsia="Times New Roman" w:hAnsi="Times New Roman"/>
          <w:sz w:val="18"/>
          <w:szCs w:val="18"/>
          <w:color w:val="auto"/>
        </w:rPr>
        <w:t>____________________________</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40"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8"/>
          <w:szCs w:val="18"/>
          <w:color w:val="auto"/>
        </w:rPr>
        <w:t>____________________________</w:t>
      </w:r>
    </w:p>
    <w:p>
      <w:pPr>
        <w:spacing w:after="0" w:line="1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23, 2026 (June 22, 2026)</w:t>
      </w:r>
    </w:p>
    <w:p>
      <w:pPr>
        <w:spacing w:after="0" w:line="9"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8"/>
          <w:szCs w:val="18"/>
          <w:color w:val="auto"/>
        </w:rPr>
        <w:t>____________________________</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Cross Country Healthcare,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7"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8"/>
          <w:szCs w:val="18"/>
          <w:color w:val="auto"/>
        </w:rPr>
        <w:t>____________________________</w:t>
      </w:r>
    </w:p>
    <w:p>
      <w:pPr>
        <w:spacing w:after="0" w:line="203" w:lineRule="exact"/>
        <w:rPr>
          <w:sz w:val="24"/>
          <w:szCs w:val="24"/>
          <w:color w:val="auto"/>
        </w:rPr>
      </w:pPr>
    </w:p>
    <w:tbl>
      <w:tblPr>
        <w:tblLayout w:type="fixed"/>
        <w:tblInd w:w="900" w:type="dxa"/>
        <w:tblCellMar>
          <w:top w:w="0" w:type="dxa"/>
          <w:left w:w="0" w:type="dxa"/>
          <w:bottom w:w="0" w:type="dxa"/>
          <w:right w:w="0" w:type="dxa"/>
        </w:tblCellMar>
      </w:tblPr>
      <w:tr>
        <w:trPr>
          <w:trHeight w:val="216"/>
        </w:trPr>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3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0-33169</w:t>
            </w:r>
          </w:p>
        </w:tc>
        <w:tc>
          <w:tcPr>
            <w:tcW w:w="1680" w:type="dxa"/>
            <w:vAlign w:val="bottom"/>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rPr>
              <w:t>13-4066229</w:t>
            </w:r>
          </w:p>
        </w:tc>
      </w:tr>
      <w:tr>
        <w:trPr>
          <w:trHeight w:val="216"/>
        </w:trPr>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w:t>
            </w:r>
          </w:p>
        </w:tc>
        <w:tc>
          <w:tcPr>
            <w:tcW w:w="53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(Commission</w:t>
            </w:r>
          </w:p>
        </w:tc>
        <w:tc>
          <w:tcPr>
            <w:tcW w:w="1680" w:type="dxa"/>
            <w:vAlign w:val="bottom"/>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53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File Number)</w:t>
            </w:r>
          </w:p>
        </w:tc>
        <w:tc>
          <w:tcPr>
            <w:tcW w:w="1680" w:type="dxa"/>
            <w:vAlign w:val="bottom"/>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2120" w:type="dxa"/>
            <w:vAlign w:val="bottom"/>
          </w:tcPr>
          <w:p>
            <w:pPr>
              <w:spacing w:after="0"/>
              <w:rPr>
                <w:sz w:val="24"/>
                <w:szCs w:val="24"/>
                <w:color w:val="auto"/>
              </w:rPr>
            </w:pPr>
          </w:p>
        </w:tc>
        <w:tc>
          <w:tcPr>
            <w:tcW w:w="53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6551 Park of Commerce Boulevard, N.W., Boca Raton, FL 33487</w:t>
            </w:r>
          </w:p>
        </w:tc>
        <w:tc>
          <w:tcPr>
            <w:tcW w:w="1680" w:type="dxa"/>
            <w:vAlign w:val="bottom"/>
          </w:tcPr>
          <w:p>
            <w:pPr>
              <w:spacing w:after="0"/>
              <w:rPr>
                <w:sz w:val="24"/>
                <w:szCs w:val="24"/>
                <w:color w:val="auto"/>
              </w:rPr>
            </w:pPr>
          </w:p>
        </w:tc>
      </w:tr>
      <w:tr>
        <w:trPr>
          <w:trHeight w:val="238"/>
        </w:trPr>
        <w:tc>
          <w:tcPr>
            <w:tcW w:w="2120" w:type="dxa"/>
            <w:vAlign w:val="bottom"/>
          </w:tcPr>
          <w:p>
            <w:pPr>
              <w:spacing w:after="0"/>
              <w:rPr>
                <w:sz w:val="20"/>
                <w:szCs w:val="20"/>
                <w:color w:val="auto"/>
              </w:rPr>
            </w:pPr>
          </w:p>
        </w:tc>
        <w:tc>
          <w:tcPr>
            <w:tcW w:w="53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(Zip Code)</w:t>
            </w:r>
          </w:p>
        </w:tc>
        <w:tc>
          <w:tcPr>
            <w:tcW w:w="1680" w:type="dxa"/>
            <w:vAlign w:val="bottom"/>
          </w:tcPr>
          <w:p>
            <w:pPr>
              <w:spacing w:after="0"/>
              <w:rPr>
                <w:sz w:val="20"/>
                <w:szCs w:val="20"/>
                <w:color w:val="auto"/>
              </w:rPr>
            </w:pPr>
          </w:p>
        </w:tc>
      </w:tr>
      <w:tr>
        <w:trPr>
          <w:trHeight w:val="410"/>
        </w:trPr>
        <w:tc>
          <w:tcPr>
            <w:tcW w:w="2120" w:type="dxa"/>
            <w:vAlign w:val="bottom"/>
          </w:tcPr>
          <w:p>
            <w:pPr>
              <w:spacing w:after="0"/>
              <w:rPr>
                <w:sz w:val="24"/>
                <w:szCs w:val="24"/>
                <w:color w:val="auto"/>
              </w:rPr>
            </w:pPr>
          </w:p>
        </w:tc>
        <w:tc>
          <w:tcPr>
            <w:tcW w:w="53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(561) 998-2232</w:t>
            </w:r>
          </w:p>
        </w:tc>
        <w:tc>
          <w:tcPr>
            <w:tcW w:w="1680" w:type="dxa"/>
            <w:vAlign w:val="bottom"/>
          </w:tcPr>
          <w:p>
            <w:pPr>
              <w:spacing w:after="0"/>
              <w:rPr>
                <w:sz w:val="24"/>
                <w:szCs w:val="24"/>
                <w:color w:val="auto"/>
              </w:rPr>
            </w:pPr>
          </w:p>
        </w:tc>
      </w:tr>
      <w:tr>
        <w:trPr>
          <w:trHeight w:val="238"/>
        </w:trPr>
        <w:tc>
          <w:tcPr>
            <w:tcW w:w="2120" w:type="dxa"/>
            <w:vAlign w:val="bottom"/>
          </w:tcPr>
          <w:p>
            <w:pPr>
              <w:spacing w:after="0"/>
              <w:rPr>
                <w:sz w:val="20"/>
                <w:szCs w:val="20"/>
                <w:color w:val="auto"/>
              </w:rPr>
            </w:pPr>
          </w:p>
        </w:tc>
        <w:tc>
          <w:tcPr>
            <w:tcW w:w="53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w:t>
            </w:r>
          </w:p>
        </w:tc>
        <w:tc>
          <w:tcPr>
            <w:tcW w:w="1680" w:type="dxa"/>
            <w:vAlign w:val="bottom"/>
          </w:tcPr>
          <w:p>
            <w:pPr>
              <w:spacing w:after="0"/>
              <w:rPr>
                <w:sz w:val="20"/>
                <w:szCs w:val="20"/>
                <w:color w:val="auto"/>
              </w:rPr>
            </w:pPr>
          </w:p>
        </w:tc>
      </w:tr>
      <w:tr>
        <w:trPr>
          <w:trHeight w:val="410"/>
        </w:trPr>
        <w:tc>
          <w:tcPr>
            <w:tcW w:w="2120" w:type="dxa"/>
            <w:vAlign w:val="bottom"/>
          </w:tcPr>
          <w:p>
            <w:pPr>
              <w:spacing w:after="0"/>
              <w:rPr>
                <w:sz w:val="24"/>
                <w:szCs w:val="24"/>
                <w:color w:val="auto"/>
              </w:rPr>
            </w:pPr>
          </w:p>
        </w:tc>
        <w:tc>
          <w:tcPr>
            <w:tcW w:w="53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1680" w:type="dxa"/>
            <w:vAlign w:val="bottom"/>
          </w:tcPr>
          <w:p>
            <w:pPr>
              <w:spacing w:after="0"/>
              <w:rPr>
                <w:sz w:val="24"/>
                <w:szCs w:val="24"/>
                <w:color w:val="auto"/>
              </w:rPr>
            </w:pPr>
          </w:p>
        </w:tc>
      </w:tr>
      <w:tr>
        <w:trPr>
          <w:trHeight w:val="220"/>
        </w:trPr>
        <w:tc>
          <w:tcPr>
            <w:tcW w:w="2120" w:type="dxa"/>
            <w:vAlign w:val="bottom"/>
          </w:tcPr>
          <w:p>
            <w:pPr>
              <w:spacing w:after="0"/>
              <w:rPr>
                <w:sz w:val="19"/>
                <w:szCs w:val="19"/>
                <w:color w:val="auto"/>
              </w:rPr>
            </w:pPr>
          </w:p>
        </w:tc>
        <w:tc>
          <w:tcPr>
            <w:tcW w:w="53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(Former name or former address, if changed since last report.)</w:t>
            </w:r>
          </w:p>
        </w:tc>
        <w:tc>
          <w:tcPr>
            <w:tcW w:w="1680" w:type="dxa"/>
            <w:vAlign w:val="bottom"/>
          </w:tcPr>
          <w:p>
            <w:pPr>
              <w:spacing w:after="0"/>
              <w:rPr>
                <w:sz w:val="19"/>
                <w:szCs w:val="19"/>
                <w:color w:val="auto"/>
              </w:rPr>
            </w:pPr>
          </w:p>
        </w:tc>
      </w:tr>
      <w:tr>
        <w:trPr>
          <w:trHeight w:val="234"/>
        </w:trPr>
        <w:tc>
          <w:tcPr>
            <w:tcW w:w="2120" w:type="dxa"/>
            <w:vAlign w:val="bottom"/>
          </w:tcPr>
          <w:p>
            <w:pPr>
              <w:spacing w:after="0"/>
              <w:rPr>
                <w:sz w:val="20"/>
                <w:szCs w:val="20"/>
                <w:color w:val="auto"/>
              </w:rPr>
            </w:pPr>
          </w:p>
        </w:tc>
        <w:tc>
          <w:tcPr>
            <w:tcW w:w="53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____________________________</w:t>
            </w:r>
          </w:p>
        </w:tc>
        <w:tc>
          <w:tcPr>
            <w:tcW w:w="1680" w:type="dxa"/>
            <w:vAlign w:val="bottom"/>
          </w:tcPr>
          <w:p>
            <w:pPr>
              <w:spacing w:after="0"/>
              <w:rPr>
                <w:sz w:val="20"/>
                <w:szCs w:val="20"/>
                <w:color w:val="auto"/>
              </w:rPr>
            </w:pPr>
          </w:p>
        </w:tc>
      </w:tr>
    </w:tbl>
    <w:p>
      <w:pPr>
        <w:spacing w:after="0" w:line="200" w:lineRule="exact"/>
        <w:rPr>
          <w:sz w:val="24"/>
          <w:szCs w:val="24"/>
          <w:color w:val="auto"/>
        </w:rPr>
      </w:pPr>
    </w:p>
    <w:p>
      <w:pPr>
        <w:spacing w:after="0" w:line="241"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right="2860" w:hanging="332"/>
        <w:spacing w:after="0" w:line="498" w:lineRule="auto"/>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ectPr>
          <w:pgSz w:w="11900" w:h="16838" w:orient="portrait"/>
          <w:cols w:equalWidth="0" w:num="1">
            <w:col w:w="11240"/>
          </w:cols>
          <w:pgMar w:left="320" w:top="462" w:right="339" w:bottom="1440" w:gutter="0" w:footer="0" w:header="0"/>
        </w:sectPr>
      </w:pPr>
    </w:p>
    <w:p>
      <w:pPr>
        <w:spacing w:after="0" w:line="1" w:lineRule="exact"/>
        <w:rPr>
          <w:sz w:val="24"/>
          <w:szCs w:val="24"/>
          <w:color w:val="auto"/>
        </w:rPr>
      </w:pPr>
    </w:p>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Title of each class</w:t>
      </w:r>
    </w:p>
    <w:p>
      <w:pPr>
        <w:spacing w:after="0" w:line="31" w:lineRule="exact"/>
        <w:rPr>
          <w:sz w:val="24"/>
          <w:szCs w:val="24"/>
          <w:color w:val="auto"/>
        </w:rPr>
      </w:pPr>
    </w:p>
    <w:p>
      <w:pPr>
        <w:jc w:val="center"/>
        <w:ind w:right="460"/>
        <w:spacing w:after="0"/>
        <w:rPr>
          <w:sz w:val="20"/>
          <w:szCs w:val="20"/>
          <w:color w:val="auto"/>
        </w:rPr>
      </w:pPr>
      <w:r>
        <w:rPr>
          <w:rFonts w:ascii="Times New Roman" w:cs="Times New Roman" w:eastAsia="Times New Roman" w:hAnsi="Times New Roman"/>
          <w:sz w:val="17"/>
          <w:szCs w:val="17"/>
          <w:color w:val="auto"/>
        </w:rPr>
        <w:t>Common Stock, par value $0.0001 per share</w:t>
      </w:r>
    </w:p>
    <w:p>
      <w:pPr>
        <w:spacing w:after="0" w:line="20" w:lineRule="exact"/>
        <w:rPr>
          <w:sz w:val="24"/>
          <w:szCs w:val="24"/>
          <w:color w:val="auto"/>
        </w:rPr>
      </w:pPr>
      <w:r>
        <w:rPr>
          <w:sz w:val="24"/>
          <w:szCs w:val="24"/>
          <w:color w:val="auto"/>
        </w:rPr>
        <w:br w:type="column"/>
      </w:r>
    </w:p>
    <w:p>
      <w:pPr>
        <w:jc w:val="center"/>
        <w:ind w:right="680"/>
        <w:spacing w:after="0"/>
        <w:rPr>
          <w:sz w:val="20"/>
          <w:szCs w:val="20"/>
          <w:color w:val="auto"/>
        </w:rPr>
      </w:pPr>
      <w:r>
        <w:rPr>
          <w:rFonts w:ascii="Times New Roman" w:cs="Times New Roman" w:eastAsia="Times New Roman" w:hAnsi="Times New Roman"/>
          <w:sz w:val="17"/>
          <w:szCs w:val="17"/>
          <w:b w:val="1"/>
          <w:bCs w:val="1"/>
          <w:color w:val="auto"/>
        </w:rPr>
        <w:t>Trading Symbol</w:t>
      </w:r>
    </w:p>
    <w:p>
      <w:pPr>
        <w:spacing w:after="0" w:line="43" w:lineRule="exact"/>
        <w:rPr>
          <w:sz w:val="24"/>
          <w:szCs w:val="24"/>
          <w:color w:val="auto"/>
        </w:rPr>
      </w:pPr>
    </w:p>
    <w:p>
      <w:pPr>
        <w:jc w:val="center"/>
        <w:ind w:right="680"/>
        <w:spacing w:after="0"/>
        <w:rPr>
          <w:sz w:val="20"/>
          <w:szCs w:val="20"/>
          <w:color w:val="auto"/>
        </w:rPr>
      </w:pPr>
      <w:r>
        <w:rPr>
          <w:rFonts w:ascii="Times New Roman" w:cs="Times New Roman" w:eastAsia="Times New Roman" w:hAnsi="Times New Roman"/>
          <w:sz w:val="18"/>
          <w:szCs w:val="18"/>
          <w:color w:val="auto"/>
        </w:rPr>
        <w:t>CCRN</w:t>
      </w:r>
    </w:p>
    <w:p>
      <w:pPr>
        <w:spacing w:after="0" w:line="20" w:lineRule="exact"/>
        <w:rPr>
          <w:sz w:val="24"/>
          <w:szCs w:val="24"/>
          <w:color w:val="auto"/>
        </w:rPr>
      </w:pPr>
      <w:r>
        <w:rPr>
          <w:sz w:val="24"/>
          <w:szCs w:val="24"/>
          <w:color w:val="auto"/>
        </w:rPr>
        <w:br w:type="column"/>
      </w:r>
    </w:p>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p>
      <w:pPr>
        <w:spacing w:after="0" w:line="43" w:lineRule="exact"/>
        <w:rPr>
          <w:sz w:val="24"/>
          <w:szCs w:val="24"/>
          <w:color w:val="auto"/>
        </w:rPr>
      </w:pPr>
    </w:p>
    <w:p>
      <w:pPr>
        <w:jc w:val="center"/>
        <w:ind w:right="240"/>
        <w:spacing w:after="0"/>
        <w:rPr>
          <w:sz w:val="20"/>
          <w:szCs w:val="20"/>
          <w:color w:val="auto"/>
        </w:rPr>
      </w:pPr>
      <w:r>
        <w:rPr>
          <w:rFonts w:ascii="Times New Roman" w:cs="Times New Roman" w:eastAsia="Times New Roman" w:hAnsi="Times New Roman"/>
          <w:sz w:val="18"/>
          <w:szCs w:val="18"/>
          <w:color w:val="auto"/>
        </w:rPr>
        <w:t>NASDAQ Stock Market LLC</w:t>
      </w:r>
    </w:p>
    <w:p>
      <w:pPr>
        <w:spacing w:after="0" w:line="200" w:lineRule="exact"/>
        <w:rPr>
          <w:sz w:val="24"/>
          <w:szCs w:val="24"/>
          <w:color w:val="auto"/>
        </w:rPr>
      </w:pPr>
    </w:p>
    <w:p>
      <w:pPr>
        <w:sectPr>
          <w:pgSz w:w="11900" w:h="16838" w:orient="portrait"/>
          <w:cols w:equalWidth="0" w:num="3">
            <w:col w:w="4300" w:space="720"/>
            <w:col w:w="1920" w:space="720"/>
            <w:col w:w="3580"/>
          </w:cols>
          <w:pgMar w:left="320" w:top="462" w:right="339" w:bottom="1440" w:gutter="0" w:footer="0" w:header="0"/>
          <w:type w:val="continuous"/>
        </w:sectPr>
      </w:pPr>
    </w:p>
    <w:p>
      <w:pPr>
        <w:spacing w:after="0" w:line="7"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62"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5" w:lineRule="exact"/>
        <w:rPr>
          <w:sz w:val="20"/>
          <w:szCs w:val="20"/>
          <w:color w:val="auto"/>
        </w:rPr>
      </w:pPr>
    </w:p>
    <w:p>
      <w:pPr>
        <w:jc w:val="both"/>
        <w:ind w:right="160"/>
        <w:spacing w:after="0" w:line="262" w:lineRule="auto"/>
        <w:rPr>
          <w:sz w:val="20"/>
          <w:szCs w:val="20"/>
          <w:color w:val="auto"/>
        </w:rPr>
      </w:pPr>
      <w:r>
        <w:rPr>
          <w:rFonts w:ascii="Times New Roman" w:cs="Times New Roman" w:eastAsia="Times New Roman" w:hAnsi="Times New Roman"/>
          <w:sz w:val="18"/>
          <w:szCs w:val="18"/>
          <w:color w:val="auto"/>
        </w:rPr>
        <w:t>As previously disclosed, on May 6, 2026, Cross Country Healthcare,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entered into an Agreement and Plan of Merger (the “</w:t>
      </w:r>
      <w:r>
        <w:rPr>
          <w:rFonts w:ascii="Times New Roman" w:cs="Times New Roman" w:eastAsia="Times New Roman" w:hAnsi="Times New Roman"/>
          <w:sz w:val="18"/>
          <w:szCs w:val="18"/>
          <w:b w:val="1"/>
          <w:bCs w:val="1"/>
          <w:color w:val="auto"/>
        </w:rPr>
        <w:t>Merger Agreement</w:t>
      </w:r>
      <w:r>
        <w:rPr>
          <w:rFonts w:ascii="Times New Roman" w:cs="Times New Roman" w:eastAsia="Times New Roman" w:hAnsi="Times New Roman"/>
          <w:sz w:val="18"/>
          <w:szCs w:val="18"/>
          <w:color w:val="auto"/>
        </w:rPr>
        <w:t>”) by and among the Company, KL Criss Cross Intermediate, LLC, a Delaware limited liability company (“</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and KL Criss Cross Merger Sub, Inc., a Delaware corporation and a wholly-owned subsidiary of Parent (“</w:t>
      </w:r>
      <w:r>
        <w:rPr>
          <w:rFonts w:ascii="Times New Roman" w:cs="Times New Roman" w:eastAsia="Times New Roman" w:hAnsi="Times New Roman"/>
          <w:sz w:val="18"/>
          <w:szCs w:val="18"/>
          <w:b w:val="1"/>
          <w:bCs w:val="1"/>
          <w:color w:val="auto"/>
        </w:rPr>
        <w:t>Merger Sub</w:t>
      </w:r>
      <w:r>
        <w:rPr>
          <w:rFonts w:ascii="Times New Roman" w:cs="Times New Roman" w:eastAsia="Times New Roman" w:hAnsi="Times New Roman"/>
          <w:sz w:val="18"/>
          <w:szCs w:val="18"/>
          <w:color w:val="auto"/>
        </w:rPr>
        <w:t>”), pursuant to which Merger Sub will merge with and into the Company (the “</w:t>
      </w:r>
      <w:r>
        <w:rPr>
          <w:rFonts w:ascii="Times New Roman" w:cs="Times New Roman" w:eastAsia="Times New Roman" w:hAnsi="Times New Roman"/>
          <w:sz w:val="18"/>
          <w:szCs w:val="18"/>
          <w:b w:val="1"/>
          <w:bCs w:val="1"/>
          <w:color w:val="auto"/>
        </w:rPr>
        <w:t>Merger</w:t>
      </w:r>
      <w:r>
        <w:rPr>
          <w:rFonts w:ascii="Times New Roman" w:cs="Times New Roman" w:eastAsia="Times New Roman" w:hAnsi="Times New Roman"/>
          <w:sz w:val="18"/>
          <w:szCs w:val="18"/>
          <w:color w:val="auto"/>
        </w:rPr>
        <w:t>”), with the Company surviving the Merger as a wholly-owned subsidiary of Parent.</w:t>
      </w:r>
    </w:p>
    <w:p>
      <w:pPr>
        <w:spacing w:after="0" w:line="180"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 waiting period with respect to the consummation of the Merger and with respect to the sale of the Company’s locums business division to All Star Healthcare Solutions, an affiliate of Parent (the “</w:t>
      </w:r>
      <w:r>
        <w:rPr>
          <w:rFonts w:ascii="Times New Roman" w:cs="Times New Roman" w:eastAsia="Times New Roman" w:hAnsi="Times New Roman"/>
          <w:sz w:val="18"/>
          <w:szCs w:val="18"/>
          <w:b w:val="1"/>
          <w:bCs w:val="1"/>
          <w:color w:val="auto"/>
        </w:rPr>
        <w:t>Locums Transaction</w:t>
      </w:r>
      <w:r>
        <w:rPr>
          <w:rFonts w:ascii="Times New Roman" w:cs="Times New Roman" w:eastAsia="Times New Roman" w:hAnsi="Times New Roman"/>
          <w:sz w:val="18"/>
          <w:szCs w:val="18"/>
          <w:color w:val="auto"/>
        </w:rPr>
        <w:t>”), under the Hart-Scott-Rodino Antitrust Improvements Act of 1976, as amended (the “</w:t>
      </w:r>
      <w:r>
        <w:rPr>
          <w:rFonts w:ascii="Times New Roman" w:cs="Times New Roman" w:eastAsia="Times New Roman" w:hAnsi="Times New Roman"/>
          <w:sz w:val="18"/>
          <w:szCs w:val="18"/>
          <w:b w:val="1"/>
          <w:bCs w:val="1"/>
          <w:color w:val="auto"/>
        </w:rPr>
        <w:t>HSR Act</w:t>
      </w:r>
      <w:r>
        <w:rPr>
          <w:rFonts w:ascii="Times New Roman" w:cs="Times New Roman" w:eastAsia="Times New Roman" w:hAnsi="Times New Roman"/>
          <w:sz w:val="18"/>
          <w:szCs w:val="18"/>
          <w:color w:val="auto"/>
        </w:rPr>
        <w:t>”), each expired at 11:59 p.m. Eastern Time on June 22, 2026. The expiration of the waiting period under the HSR Act with respect to the consummation of the Merger and with respect to the Locums Transaction satisfies one of the major conditions to the closing of the transactions contemplated by the Merger Agreement, which remains subject to other customary closing conditions. The Merger is expected to close in the third quarter of calendar year 2026.</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special meeting of the Company’s shareholders to approve the Merger is scheduled for July 16, 2026, beginning at 12:00 p.m. Eastern Time.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Important Information and Where to Find It</w:t>
      </w:r>
    </w:p>
    <w:p>
      <w:pPr>
        <w:spacing w:after="0" w:line="2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This communication relates to a proposed Merger between the Company, Parent and the other parties to the Merger Agreement. In connection with this proposed Merger, the Company filed a definitive proxy statement on Schedule 14A with the SEC, and the definitive proxy statement was thereafter mailed to stockholders of the Company seeking their approval of the Merger-related proposals. This communication is not a substitute for any proxy statement or other document the Company has filed or may file with the SEC in connection with the proposed transaction. INVESTORS AND SECURITY HOLDERS OF THE COMPANY ARE URGED TO READ THE DEFINITIVE PROXY STATEMENT, INCLUDING THE DOCUMENTS INCORPORATED BY REFERENCE INTO THE DEFINITIVE PROXY STATEMENT, AND OTHER DOCUMENTS THAT HAVE BEEN AND MAY BE FILED WITH THE SEC CAREFULLY AND IN THEIR ENTIRETY IF AND WHEN THEY BECOME AVAILABLE BECAUSE THEY WILL CONTAIN IMPORTANT INFORMATION. Investors and security holders are able to obtain free copies of these documents and other documents filed with the SEC by the Company through the website maintained by the SEC at http://www.sec.gov. Copies of the documents filed with the SEC by the Company are available free of charge on the Company’s internet website at https://ir.crosscountryhealthcare.com/ or by contacting the Company’s primary investor relations contact by email at jvogel@crosscountry.com or by phone at 561-237-8310.</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website addresses included herein are inactive textual references only. The information contained on such websites is not incorporated into this Report.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Participants in the Solicitation</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 Parent, Merger Sub, their respective directors, and certain of their respective executive officers may be considered participants in the solicitation of proxies in connection with the proposed Merger. Information about the directors and executive officers of the Company, their ownership of Company Common Shares, and the Company’s transactions with related persons is set forth in its Annual Report on Form 10-K for the fiscal year ended December 31, 2025, which was filed with the SEC on March 10, 2026 in its definitive proxy statement on Schedule 14A for its 2026 Annual Meeting in the sections entitled “Security Ownership of Certain Beneficial Owners and Management” and “Related Party Transactions”, which was filed with the SEC on March 30, 2026, as amended by Amendment No. 1 thereto filed on April 2, 2026, certain of its Quarterly Reports on Form 10-Q, and certain of its Current Reports on Form 8-K.</w:t>
      </w:r>
    </w:p>
    <w:p>
      <w:pPr>
        <w:spacing w:after="0" w:line="189"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These documents can be obtained free of charge from the sources indicated above. Additional information regarding the participants in the proxy solicitations and a description of their direct and indirect interests, by security holdings or otherwise, will be contained in the proxy statement and other relevant materials to be filed with the SEC when they become available.</w:t>
      </w:r>
    </w:p>
    <w:p>
      <w:pPr>
        <w:spacing w:after="0" w:line="2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212529"/>
        </w:rPr>
        <w:t>No Offer or Solicitation</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212529"/>
        </w:rPr>
        <w:t>This communication is for informational purposes only and is not intended to and shall not constitute an offer to buy or sell or the solicitation of an offer to buy or sell any securities, or a solicitation of any vote or approval, nor shall there be any sale of securities in any jurisdiction in which such offer, solicitation or sale would be unlawful prior to registration or qualification under the securities laws of any such jurisdiction.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Forward Looking Statements</w:t>
      </w:r>
    </w:p>
    <w:p>
      <w:pPr>
        <w:spacing w:after="0" w:line="22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This communication contains “forward-looking statements” within the Private Securities Litigation Reform Act of 1995. Any statements contained in this communication that are not statements of historical fact, including statements regarding the proposed Merger, including the expected timing and closing of the proposed Merger; the Company’s ability to consummate the proposed Merger; the expected benefits of the proposed Merger and other considerations taken into account by the Board in approving the proposed Merger; the amounts to be received by stockholders; and expectations for the Company prior to and following the Closing of the proposed Merger, may be deemed to be forward-looking statements. All such forward-looking statements are intended to provide management’s current expectations for the future of the Company based on current expectations and assumptions relating to the Company’s business, the economy and other future conditions. Forward-looking statements generally can be identified through the use of words such as “believes,” “anticipates,” “may,” “should,” “will,” “plans,” “projects,” “expects,” “expectations,” “estimates,” “forecasts,” “predicts,” “targets,” “prospects,” “strategy,” “signs,” and other words of similar meaning in connection with the discussion of future performance, plans, actions or events. Because forward-looking statements relate to the future, they are subject to inherent risks, uncertainties and changes in circumstances that are difficult to predict. Such risks and uncertainties include, among others: (i) the timing to consummate the proposed Merger, (ii) the risk that a condition of Closing of the proposed Merger may not be satisfied or that the Closing of the proposed Merger might otherwise not occur, (iii) the risk that a regulatory approval that may be required for the proposed Merger is not obtained or is obtained subject to conditions that are not anticipated, (iv) the diversion of management time on transaction-related issues, (v) risks related to disruption of management time from ongoing business operations due to the proposed Merger, (vi) the risk that any announcements relating to the proposed Merger could have adverse effects on the market price of Company Common Shares, (vii) the risk that the proposed Merger and its announcement could have an adverse effect on the ability of the Company to retain customers and retain and hire key personnel and maintain relationships with its suppliers and customers, (viii) the occurrence of any event, change, or other circumstance or condition that could give rise to the termination of the Merger Agreement, including in circumstances requiring the Company to pay a termination fee, (ix) the risk that competing offers will be made; (x) unexpected costs, charges or expenses resulting from the Merger, (xi) potential litigation relating to the Merger that could be instituted against the parties to the Merger Agreement or their respective directors, managers, or officers, including the effects of any outcomes related thereto, (xii) worldwide economic or political changes that affect the markets that the Company’s businesses serve which could have an effect on demand for the Company’s services and impact the Company’s profitability, (xiii) effects from global pandemics, epidemics, or other public health crises, (xiv) changes in marketplace conditions, such as alternative modes of healthcare delivery, reimbursement, and customer needs, and (xv) disruptions in the global credit and financial markets, including diminished liquidity and credit availability, changes in international trade agreements, including tariffs and trade restrictions, cyber-security vulnerabilities, foreign currency volatility, swings in consumer confidence and spending, costs of providing services, retention of key employees, and outcomes of legal proceedings, claims and investigations. Accordingly, actual results may differ materially from those contemplated by these forward-looking statements. Investors, therefore, are cautioned against relying on any of these forward-looking statements. They are neither statements of historical fact nor guarantees or assurances of future performance. Additional information regarding the factors that may cause actual results to differ materially from these forward-looking statements is available in the Company’s filings with the SEC, including the risks and uncertainties identified in Part I, Item 1A - Risk Factors of the Company’s Annual Report on Form 10-K for the year ended December 31, 2025 and in the Company’s other filings with the SEC. The list of factors is not intended to be exhaustive.</w:t>
      </w: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576" w:right="379" w:bottom="1440" w:gutter="0" w:footer="0" w:header="0"/>
        </w:sectPr>
      </w:pPr>
    </w:p>
    <w:bookmarkStart w:id="3" w:name="page4"/>
    <w:bookmarkEnd w:id="3"/>
    <w:p>
      <w:pPr>
        <w:jc w:val="both"/>
        <w:spacing w:after="0" w:line="266" w:lineRule="auto"/>
        <w:rPr>
          <w:sz w:val="20"/>
          <w:szCs w:val="20"/>
          <w:color w:val="auto"/>
        </w:rPr>
      </w:pPr>
      <w:r>
        <w:rPr>
          <w:rFonts w:ascii="Times New Roman" w:cs="Times New Roman" w:eastAsia="Times New Roman" w:hAnsi="Times New Roman"/>
          <w:sz w:val="18"/>
          <w:szCs w:val="18"/>
          <w:color w:val="auto"/>
        </w:rPr>
        <w:t>These forward-looking statements speak only as of the date of this communication, and, except as may be required by applicable law, the Company does not assume any obligation to update or revise any forward-looking statement made in this communication or that may from time to time be made by or on behalf of the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(d) Exhibits</w:t>
      </w:r>
    </w:p>
    <w:p>
      <w:pPr>
        <w:spacing w:after="0" w:line="223" w:lineRule="exact"/>
        <w:rPr>
          <w:sz w:val="20"/>
          <w:szCs w:val="20"/>
          <w:color w:val="auto"/>
        </w:rPr>
      </w:pPr>
    </w:p>
    <w:p>
      <w:pPr>
        <w:ind w:left="20"/>
        <w:spacing w:after="0"/>
        <w:tabs>
          <w:tab w:leader="none" w:pos="5340" w:val="left"/>
        </w:tabs>
        <w:rPr>
          <w:sz w:val="20"/>
          <w:szCs w:val="20"/>
          <w:color w:val="auto"/>
        </w:rPr>
      </w:pPr>
      <w:r>
        <w:rPr>
          <w:rFonts w:ascii="Times New Roman" w:cs="Times New Roman" w:eastAsia="Times New Roman" w:hAnsi="Times New Roman"/>
          <w:sz w:val="18"/>
          <w:szCs w:val="18"/>
          <w:b w:val="1"/>
          <w:bCs w:val="1"/>
          <w:u w:val="single" w:color="auto"/>
          <w:color w:val="auto"/>
        </w:rPr>
        <w:t>Exhibit No.</w:t>
      </w:r>
      <w:r>
        <w:rPr>
          <w:sz w:val="20"/>
          <w:szCs w:val="20"/>
          <w:color w:val="auto"/>
        </w:rPr>
        <w:tab/>
      </w:r>
      <w:r>
        <w:rPr>
          <w:rFonts w:ascii="Times New Roman" w:cs="Times New Roman" w:eastAsia="Times New Roman" w:hAnsi="Times New Roman"/>
          <w:sz w:val="17"/>
          <w:szCs w:val="17"/>
          <w:b w:val="1"/>
          <w:bCs w:val="1"/>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19685</wp:posOffset>
            </wp:positionV>
            <wp:extent cx="639508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395085" cy="8255"/>
                    </a:xfrm>
                    <a:prstGeom prst="rect">
                      <a:avLst/>
                    </a:prstGeom>
                    <a:noFill/>
                  </pic:spPr>
                </pic:pic>
              </a:graphicData>
            </a:graphic>
          </wp:anchor>
        </w:drawing>
      </w:r>
    </w:p>
    <w:p>
      <w:pPr>
        <w:spacing w:after="0" w:line="11" w:lineRule="exact"/>
        <w:rPr>
          <w:sz w:val="20"/>
          <w:szCs w:val="20"/>
          <w:color w:val="auto"/>
        </w:rPr>
      </w:pPr>
    </w:p>
    <w:p>
      <w:pPr>
        <w:ind w:left="5560" w:right="4240" w:hanging="5235"/>
        <w:spacing w:after="0" w:line="652" w:lineRule="auto"/>
        <w:tabs>
          <w:tab w:leader="none" w:pos="117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 w:name="page5"/>
    <w:bookmarkEnd w:id="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7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CROSS COUNTRY HEALTHCARE,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23, 2026</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Kevin C.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17145</wp:posOffset>
            </wp:positionV>
            <wp:extent cx="31972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 Kevin C. Clark</w:t>
      </w:r>
    </w:p>
    <w:p>
      <w:pPr>
        <w:spacing w:after="0" w:line="23" w:lineRule="exact"/>
        <w:rPr>
          <w:sz w:val="20"/>
          <w:szCs w:val="20"/>
          <w:color w:val="auto"/>
        </w:rPr>
      </w:pPr>
    </w:p>
    <w:p>
      <w:pPr>
        <w:ind w:left="6200"/>
        <w:spacing w:after="0"/>
        <w:tabs>
          <w:tab w:leader="none" w:pos="67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Co-Founder, 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537210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00"/>
      </w:cols>
      <w:pgMar w:left="320" w:top="576"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2026-06-23T07:32:36Z</dcterms:created>
  <dcterms:modified xsi:type="dcterms:W3CDTF">2026-06-23T07:32:36Z</dcterms:modified>
</cp:coreProperties>
</file>