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93" w:lineRule="exact"/>
        <w:rPr>
          <w:sz w:val="24"/>
          <w:szCs w:val="24"/>
          <w:color w:val="auto"/>
        </w:rPr>
      </w:pPr>
    </w:p>
    <w:p>
      <w:pPr>
        <w:ind w:left="3920" w:right="2180" w:hanging="1699"/>
        <w:spacing w:after="0" w:line="378" w:lineRule="auto"/>
        <w:tabs>
          <w:tab w:leader="none" w:pos="241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2013</w:t>
      </w: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 Transition Report Pursuant to Section 13 or 15(d) of the Securities Exchange Act of 1934</w:t>
      </w:r>
    </w:p>
    <w:p>
      <w:pPr>
        <w:spacing w:after="0" w:line="117"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2578100</wp:posOffset>
            </wp:positionH>
            <wp:positionV relativeFrom="paragraph">
              <wp:posOffset>157480</wp:posOffset>
            </wp:positionV>
            <wp:extent cx="213550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CROSS COUNTRY HEALTHCARE, INC.</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4"/>
          <w:szCs w:val="24"/>
          <w:color w:val="auto"/>
        </w:rPr>
      </w:pPr>
    </w:p>
    <w:tbl>
      <w:tblPr>
        <w:tblLayout w:type="fixed"/>
        <w:tblInd w:w="780" w:type="dxa"/>
        <w:tblCellMar>
          <w:top w:w="0" w:type="dxa"/>
          <w:left w:w="0" w:type="dxa"/>
          <w:bottom w:w="0" w:type="dxa"/>
          <w:right w:w="0" w:type="dxa"/>
        </w:tblCellMar>
      </w:tblPr>
      <w:tr>
        <w:trPr>
          <w:trHeight w:val="238"/>
        </w:trPr>
        <w:tc>
          <w:tcPr>
            <w:tcW w:w="26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0-33169</w:t>
            </w:r>
          </w:p>
        </w:tc>
        <w:tc>
          <w:tcPr>
            <w:tcW w:w="222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13-4066229</w:t>
            </w:r>
          </w:p>
        </w:tc>
      </w:tr>
      <w:tr>
        <w:trPr>
          <w:trHeight w:val="250"/>
        </w:trPr>
        <w:tc>
          <w:tcPr>
            <w:tcW w:w="2620" w:type="dxa"/>
            <w:vAlign w:val="bottom"/>
          </w:tcPr>
          <w:p>
            <w:pPr>
              <w:jc w:val="center"/>
              <w:ind w:right="3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476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8"/>
              </w:rPr>
              <w:t>Commission</w:t>
            </w:r>
          </w:p>
        </w:tc>
        <w:tc>
          <w:tcPr>
            <w:tcW w:w="2220" w:type="dxa"/>
            <w:vAlign w:val="bottom"/>
          </w:tcPr>
          <w:p>
            <w:pPr>
              <w:jc w:val="center"/>
              <w:ind w:left="4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620" w:type="dxa"/>
            <w:vAlign w:val="bottom"/>
          </w:tcPr>
          <w:p>
            <w:pPr>
              <w:jc w:val="center"/>
              <w:ind w:right="31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76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file number</w:t>
            </w:r>
          </w:p>
        </w:tc>
        <w:tc>
          <w:tcPr>
            <w:tcW w:w="222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329"/>
        </w:trPr>
        <w:tc>
          <w:tcPr>
            <w:tcW w:w="2620" w:type="dxa"/>
            <w:vAlign w:val="bottom"/>
          </w:tcPr>
          <w:p>
            <w:pPr>
              <w:spacing w:after="0"/>
              <w:rPr>
                <w:sz w:val="24"/>
                <w:szCs w:val="24"/>
                <w:color w:val="auto"/>
              </w:rPr>
            </w:pPr>
          </w:p>
        </w:tc>
        <w:tc>
          <w:tcPr>
            <w:tcW w:w="47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6551 Park of Commerce Blvd, N.W.</w:t>
            </w:r>
          </w:p>
        </w:tc>
        <w:tc>
          <w:tcPr>
            <w:tcW w:w="2220" w:type="dxa"/>
            <w:vAlign w:val="bottom"/>
          </w:tcPr>
          <w:p>
            <w:pPr>
              <w:spacing w:after="0"/>
              <w:rPr>
                <w:sz w:val="24"/>
                <w:szCs w:val="24"/>
                <w:color w:val="auto"/>
              </w:rPr>
            </w:pPr>
          </w:p>
        </w:tc>
      </w:tr>
      <w:tr>
        <w:trPr>
          <w:trHeight w:val="218"/>
        </w:trPr>
        <w:tc>
          <w:tcPr>
            <w:tcW w:w="2620" w:type="dxa"/>
            <w:vAlign w:val="bottom"/>
          </w:tcPr>
          <w:p>
            <w:pPr>
              <w:spacing w:after="0"/>
              <w:rPr>
                <w:sz w:val="18"/>
                <w:szCs w:val="18"/>
                <w:color w:val="auto"/>
              </w:rPr>
            </w:pPr>
          </w:p>
        </w:tc>
        <w:tc>
          <w:tcPr>
            <w:tcW w:w="47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Boca Raton, Florida 33487</w:t>
            </w:r>
          </w:p>
        </w:tc>
        <w:tc>
          <w:tcPr>
            <w:tcW w:w="2220" w:type="dxa"/>
            <w:vAlign w:val="bottom"/>
          </w:tcPr>
          <w:p>
            <w:pPr>
              <w:spacing w:after="0"/>
              <w:rPr>
                <w:sz w:val="18"/>
                <w:szCs w:val="18"/>
                <w:color w:val="auto"/>
              </w:rPr>
            </w:pPr>
          </w:p>
        </w:tc>
      </w:tr>
      <w:tr>
        <w:trPr>
          <w:trHeight w:val="236"/>
        </w:trPr>
        <w:tc>
          <w:tcPr>
            <w:tcW w:w="2620" w:type="dxa"/>
            <w:vAlign w:val="bottom"/>
          </w:tcPr>
          <w:p>
            <w:pPr>
              <w:spacing w:after="0"/>
              <w:rPr>
                <w:sz w:val="20"/>
                <w:szCs w:val="20"/>
                <w:color w:val="auto"/>
              </w:rPr>
            </w:pPr>
          </w:p>
        </w:tc>
        <w:tc>
          <w:tcPr>
            <w:tcW w:w="476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offices)(Zip Code)</w:t>
            </w:r>
          </w:p>
        </w:tc>
        <w:tc>
          <w:tcPr>
            <w:tcW w:w="2220" w:type="dxa"/>
            <w:vAlign w:val="bottom"/>
          </w:tcPr>
          <w:p>
            <w:pPr>
              <w:spacing w:after="0"/>
              <w:rPr>
                <w:sz w:val="20"/>
                <w:szCs w:val="20"/>
                <w:color w:val="auto"/>
              </w:rPr>
            </w:pPr>
          </w:p>
        </w:tc>
      </w:tr>
      <w:tr>
        <w:trPr>
          <w:trHeight w:val="304"/>
        </w:trPr>
        <w:tc>
          <w:tcPr>
            <w:tcW w:w="2620" w:type="dxa"/>
            <w:vAlign w:val="bottom"/>
          </w:tcPr>
          <w:p>
            <w:pPr>
              <w:spacing w:after="0"/>
              <w:rPr>
                <w:sz w:val="24"/>
                <w:szCs w:val="24"/>
                <w:color w:val="auto"/>
              </w:rPr>
            </w:pPr>
          </w:p>
        </w:tc>
        <w:tc>
          <w:tcPr>
            <w:tcW w:w="4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(561) 998-2232</w:t>
            </w:r>
          </w:p>
        </w:tc>
        <w:tc>
          <w:tcPr>
            <w:tcW w:w="2220" w:type="dxa"/>
            <w:vAlign w:val="bottom"/>
          </w:tcPr>
          <w:p>
            <w:pPr>
              <w:spacing w:after="0"/>
              <w:rPr>
                <w:sz w:val="24"/>
                <w:szCs w:val="24"/>
                <w:color w:val="auto"/>
              </w:rPr>
            </w:pPr>
          </w:p>
        </w:tc>
      </w:tr>
      <w:tr>
        <w:trPr>
          <w:trHeight w:val="236"/>
        </w:trPr>
        <w:tc>
          <w:tcPr>
            <w:tcW w:w="2620" w:type="dxa"/>
            <w:vAlign w:val="bottom"/>
          </w:tcPr>
          <w:p>
            <w:pPr>
              <w:spacing w:after="0"/>
              <w:rPr>
                <w:sz w:val="20"/>
                <w:szCs w:val="20"/>
                <w:color w:val="auto"/>
              </w:rPr>
            </w:pPr>
          </w:p>
        </w:tc>
        <w:tc>
          <w:tcPr>
            <w:tcW w:w="47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2220" w:type="dxa"/>
            <w:vAlign w:val="bottom"/>
          </w:tcPr>
          <w:p>
            <w:pPr>
              <w:spacing w:after="0"/>
              <w:rPr>
                <w:sz w:val="20"/>
                <w:szCs w:val="20"/>
                <w:color w:val="auto"/>
              </w:rPr>
            </w:pPr>
          </w:p>
        </w:tc>
      </w:tr>
    </w:tbl>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o No</w:t>
      </w:r>
    </w:p>
    <w:p>
      <w:pPr>
        <w:spacing w:after="0" w:line="71"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5" w:lineRule="exact"/>
        <w:rPr>
          <w:sz w:val="24"/>
          <w:szCs w:val="24"/>
          <w:color w:val="auto"/>
        </w:rPr>
      </w:pPr>
    </w:p>
    <w:p>
      <w:pPr>
        <w:jc w:val="center"/>
        <w:ind w:right="-59"/>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p>
    <w:p>
      <w:pPr>
        <w:spacing w:after="0" w:line="51" w:lineRule="exact"/>
        <w:rPr>
          <w:sz w:val="24"/>
          <w:szCs w:val="24"/>
          <w:color w:val="auto"/>
        </w:rPr>
      </w:pPr>
    </w:p>
    <w:p>
      <w:pPr>
        <w:ind w:left="20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 Smaller Reporting Company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31,084,972 shares of Common Stock, par value $0.0001 per share, as of July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36" w:right="2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RELATING TO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Words such as “expects”, “anticipates”, “intends”, “plans”, “believes”, “estimates”, “suggests”,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existing or future government regulation and federal and state legislative and enforcement initiatives on our business, our clients’ ability to pay us for our services, our ability to successfully implement our acquisition and development strategies,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2012, as filed and updated in our Quarterly Reports on Form 10-Q and other filings with the Securities and Exchange Commission.</w:t>
      </w:r>
    </w:p>
    <w:p>
      <w:pPr>
        <w:spacing w:after="0" w:line="19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ind w:right="20" w:firstLine="8"/>
        <w:spacing w:after="0" w:line="255"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All references to “we”, “us”, “our”, or “Cross Country” in this Quarterly Report on Form 10-Q mean Cross Country Healthcare, Inc., its subsidiaries and affiliates.</w:t>
      </w:r>
    </w:p>
    <w:p>
      <w:pPr>
        <w:sectPr>
          <w:pgSz w:w="11900" w:h="16838" w:orient="portrait"/>
          <w:cols w:equalWidth="0" w:num="1">
            <w:col w:w="11420"/>
          </w:cols>
          <w:pgMar w:left="240" w:top="36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20" w:type="dxa"/>
            <w:vAlign w:val="bottom"/>
            <w:gridSpan w:val="9"/>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CROSS COUNTRY HEALTHCARE, INC.</w:t>
            </w: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60" w:type="dxa"/>
            <w:vAlign w:val="bottom"/>
            <w:gridSpan w:val="6"/>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gridSpan w:val="7"/>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gridSpan w:val="7"/>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JUNE 30, 2013</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500"/>
        </w:trPr>
        <w:tc>
          <w:tcPr>
            <w:tcW w:w="30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7"/>
              </w:rPr>
            </w:pPr>
            <w:hyperlink w:anchor="page3">
              <w:r>
                <w:rPr>
                  <w:rFonts w:ascii="Times New Roman" w:cs="Times New Roman" w:eastAsia="Times New Roman" w:hAnsi="Times New Roman"/>
                  <w:sz w:val="18"/>
                  <w:szCs w:val="18"/>
                  <w:color w:val="0000FF"/>
                  <w:w w:val="97"/>
                </w:rPr>
                <w:t>PART I. – FINANCIAL INFORMATION</w:t>
              </w:r>
            </w:hyperlink>
          </w:p>
        </w:tc>
        <w:tc>
          <w:tcPr>
            <w:tcW w:w="6120" w:type="dxa"/>
            <w:vAlign w:val="bottom"/>
            <w:gridSpan w:val="9"/>
          </w:tcPr>
          <w:p>
            <w:pPr>
              <w:spacing w:after="0"/>
              <w:rPr>
                <w:sz w:val="24"/>
                <w:szCs w:val="24"/>
                <w:color w:val="auto"/>
              </w:rPr>
            </w:pPr>
          </w:p>
        </w:tc>
        <w:tc>
          <w:tcPr>
            <w:tcW w:w="21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1</w:t>
              </w:r>
            </w:hyperlink>
          </w:p>
        </w:tc>
      </w:tr>
      <w:tr>
        <w:trPr>
          <w:trHeight w:val="520"/>
        </w:trPr>
        <w:tc>
          <w:tcPr>
            <w:tcW w:w="920" w:type="dxa"/>
            <w:vAlign w:val="bottom"/>
            <w:gridSpan w:val="4"/>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Item 1.</w:t>
              </w:r>
            </w:hyperlink>
          </w:p>
        </w:tc>
        <w:tc>
          <w:tcPr>
            <w:tcW w:w="8220" w:type="dxa"/>
            <w:vAlign w:val="bottom"/>
            <w:gridSpan w:val="16"/>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Financial Statements</w:t>
              </w:r>
            </w:hyperlink>
          </w:p>
        </w:tc>
        <w:tc>
          <w:tcPr>
            <w:tcW w:w="2220" w:type="dxa"/>
            <w:vAlign w:val="bottom"/>
            <w:gridSpan w:val="3"/>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gridSpan w:val="16"/>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Balance Sheets (Unaudited)</w:t>
              </w:r>
            </w:hyperlink>
          </w:p>
        </w:tc>
        <w:tc>
          <w:tcPr>
            <w:tcW w:w="2220" w:type="dxa"/>
            <w:vAlign w:val="bottom"/>
            <w:gridSpan w:val="3"/>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gridSpan w:val="16"/>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Statements of Operations (Unaudited)</w:t>
              </w:r>
            </w:hyperlink>
          </w:p>
        </w:tc>
        <w:tc>
          <w:tcPr>
            <w:tcW w:w="2220" w:type="dxa"/>
            <w:vAlign w:val="bottom"/>
            <w:gridSpan w:val="3"/>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Condensed Consolidated Statements of Comprehensive (Loss) Income (Unaudited)</w:t>
              </w:r>
            </w:hyperlink>
          </w:p>
        </w:tc>
        <w:tc>
          <w:tcPr>
            <w:tcW w:w="2220" w:type="dxa"/>
            <w:vAlign w:val="bottom"/>
            <w:gridSpan w:val="2"/>
          </w:tcPr>
          <w:p>
            <w:pPr>
              <w:spacing w:after="0"/>
              <w:rPr>
                <w:sz w:val="24"/>
                <w:szCs w:val="24"/>
                <w:color w:val="auto"/>
              </w:rPr>
            </w:pPr>
          </w:p>
        </w:tc>
        <w:tc>
          <w:tcPr>
            <w:tcW w:w="21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3</w:t>
              </w:r>
            </w:hyperlink>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gridSpan w:val="16"/>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Condensed Consolidated Statements of Cash Flows (Unaudited)</w:t>
              </w:r>
            </w:hyperlink>
          </w:p>
        </w:tc>
        <w:tc>
          <w:tcPr>
            <w:tcW w:w="2220" w:type="dxa"/>
            <w:vAlign w:val="bottom"/>
            <w:gridSpan w:val="3"/>
          </w:tcPr>
          <w:p>
            <w:pPr>
              <w:jc w:val="right"/>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gridSpan w:val="16"/>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Notes to Condensed Consolidated Financial Statements (Unaudited)</w:t>
              </w:r>
            </w:hyperlink>
          </w:p>
        </w:tc>
        <w:tc>
          <w:tcPr>
            <w:tcW w:w="2220" w:type="dxa"/>
            <w:vAlign w:val="bottom"/>
            <w:gridSpan w:val="3"/>
          </w:tcPr>
          <w:p>
            <w:pPr>
              <w:jc w:val="right"/>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20"/>
        </w:trPr>
        <w:tc>
          <w:tcPr>
            <w:tcW w:w="920" w:type="dxa"/>
            <w:vAlign w:val="bottom"/>
            <w:gridSpan w:val="4"/>
          </w:tcPr>
          <w:p>
            <w:pPr>
              <w:spacing w:after="0"/>
              <w:rPr>
                <w:rFonts w:ascii="Times New Roman" w:cs="Times New Roman" w:eastAsia="Times New Roman" w:hAnsi="Times New Roman"/>
                <w:sz w:val="18"/>
                <w:szCs w:val="18"/>
                <w:color w:val="0000FF"/>
              </w:rPr>
            </w:pPr>
            <w:hyperlink w:anchor="page20">
              <w:r>
                <w:rPr>
                  <w:rFonts w:ascii="Times New Roman" w:cs="Times New Roman" w:eastAsia="Times New Roman" w:hAnsi="Times New Roman"/>
                  <w:sz w:val="18"/>
                  <w:szCs w:val="18"/>
                  <w:color w:val="0000FF"/>
                </w:rPr>
                <w:t>Item 2.</w:t>
              </w:r>
            </w:hyperlink>
          </w:p>
        </w:tc>
        <w:tc>
          <w:tcPr>
            <w:tcW w:w="8220" w:type="dxa"/>
            <w:vAlign w:val="bottom"/>
            <w:gridSpan w:val="16"/>
          </w:tcPr>
          <w:p>
            <w:pPr>
              <w:spacing w:after="0"/>
              <w:rPr>
                <w:rFonts w:ascii="Times New Roman" w:cs="Times New Roman" w:eastAsia="Times New Roman" w:hAnsi="Times New Roman"/>
                <w:sz w:val="18"/>
                <w:szCs w:val="18"/>
                <w:color w:val="0000FF"/>
              </w:rPr>
            </w:pPr>
            <w:hyperlink w:anchor="page20">
              <w:r>
                <w:rPr>
                  <w:rFonts w:ascii="Times New Roman" w:cs="Times New Roman" w:eastAsia="Times New Roman" w:hAnsi="Times New Roman"/>
                  <w:sz w:val="18"/>
                  <w:szCs w:val="18"/>
                  <w:color w:val="0000FF"/>
                </w:rPr>
                <w:t>Management’s Discussion and Analysis of Financial Condition and Results of Operations</w:t>
              </w:r>
            </w:hyperlink>
          </w:p>
        </w:tc>
        <w:tc>
          <w:tcPr>
            <w:tcW w:w="2220" w:type="dxa"/>
            <w:vAlign w:val="bottom"/>
            <w:gridSpan w:val="3"/>
          </w:tcPr>
          <w:p>
            <w:pPr>
              <w:jc w:val="right"/>
              <w:spacing w:after="0"/>
              <w:rPr>
                <w:rFonts w:ascii="Times New Roman" w:cs="Times New Roman" w:eastAsia="Times New Roman" w:hAnsi="Times New Roman"/>
                <w:sz w:val="18"/>
                <w:szCs w:val="18"/>
                <w:color w:val="0000FF"/>
              </w:rPr>
            </w:pPr>
            <w:hyperlink w:anchor="page20">
              <w:r>
                <w:rPr>
                  <w:rFonts w:ascii="Times New Roman" w:cs="Times New Roman" w:eastAsia="Times New Roman" w:hAnsi="Times New Roman"/>
                  <w:sz w:val="18"/>
                  <w:szCs w:val="18"/>
                  <w:color w:val="0000FF"/>
                </w:rPr>
                <w:t>17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20"/>
        </w:trPr>
        <w:tc>
          <w:tcPr>
            <w:tcW w:w="920" w:type="dxa"/>
            <w:vAlign w:val="bottom"/>
            <w:gridSpan w:val="4"/>
          </w:tcPr>
          <w:p>
            <w:pPr>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Item 3.</w:t>
              </w:r>
            </w:hyperlink>
          </w:p>
        </w:tc>
        <w:tc>
          <w:tcPr>
            <w:tcW w:w="8220" w:type="dxa"/>
            <w:vAlign w:val="bottom"/>
            <w:gridSpan w:val="16"/>
          </w:tcPr>
          <w:p>
            <w:pPr>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Quantitative and Qualitative Disclosures About Market Risk</w:t>
              </w:r>
            </w:hyperlink>
          </w:p>
        </w:tc>
        <w:tc>
          <w:tcPr>
            <w:tcW w:w="2220" w:type="dxa"/>
            <w:vAlign w:val="bottom"/>
            <w:gridSpan w:val="3"/>
          </w:tcPr>
          <w:p>
            <w:pPr>
              <w:jc w:val="right"/>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20"/>
        </w:trPr>
        <w:tc>
          <w:tcPr>
            <w:tcW w:w="920" w:type="dxa"/>
            <w:vAlign w:val="bottom"/>
            <w:gridSpan w:val="4"/>
          </w:tcPr>
          <w:p>
            <w:pPr>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Item 4.</w:t>
              </w:r>
            </w:hyperlink>
          </w:p>
        </w:tc>
        <w:tc>
          <w:tcPr>
            <w:tcW w:w="8220" w:type="dxa"/>
            <w:vAlign w:val="bottom"/>
            <w:gridSpan w:val="16"/>
          </w:tcPr>
          <w:p>
            <w:pPr>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Controls and Procedures</w:t>
              </w:r>
            </w:hyperlink>
          </w:p>
        </w:tc>
        <w:tc>
          <w:tcPr>
            <w:tcW w:w="2220" w:type="dxa"/>
            <w:vAlign w:val="bottom"/>
            <w:gridSpan w:val="3"/>
          </w:tcPr>
          <w:p>
            <w:pPr>
              <w:jc w:val="right"/>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20"/>
        </w:trPr>
        <w:tc>
          <w:tcPr>
            <w:tcW w:w="9140" w:type="dxa"/>
            <w:vAlign w:val="bottom"/>
            <w:gridSpan w:val="20"/>
          </w:tcPr>
          <w:p>
            <w:pPr>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PART II. – OTHER INFORMATION</w:t>
              </w:r>
            </w:hyperlink>
          </w:p>
        </w:tc>
        <w:tc>
          <w:tcPr>
            <w:tcW w:w="2220" w:type="dxa"/>
            <w:vAlign w:val="bottom"/>
            <w:gridSpan w:val="3"/>
          </w:tcPr>
          <w:p>
            <w:pPr>
              <w:jc w:val="right"/>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32</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20"/>
        </w:trPr>
        <w:tc>
          <w:tcPr>
            <w:tcW w:w="920" w:type="dxa"/>
            <w:vAlign w:val="bottom"/>
            <w:gridSpan w:val="4"/>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Item 1.</w:t>
              </w:r>
            </w:hyperlink>
          </w:p>
        </w:tc>
        <w:tc>
          <w:tcPr>
            <w:tcW w:w="1780" w:type="dxa"/>
            <w:vAlign w:val="bottom"/>
            <w:gridSpan w:val="6"/>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Legal Proceedings</w:t>
              </w:r>
            </w:hyperlink>
          </w:p>
        </w:tc>
        <w:tc>
          <w:tcPr>
            <w:tcW w:w="6440" w:type="dxa"/>
            <w:vAlign w:val="bottom"/>
            <w:gridSpan w:val="10"/>
          </w:tcPr>
          <w:p>
            <w:pPr>
              <w:spacing w:after="0"/>
              <w:rPr>
                <w:sz w:val="24"/>
                <w:szCs w:val="24"/>
                <w:color w:val="auto"/>
              </w:rPr>
            </w:pPr>
          </w:p>
        </w:tc>
        <w:tc>
          <w:tcPr>
            <w:tcW w:w="2220" w:type="dxa"/>
            <w:vAlign w:val="bottom"/>
            <w:gridSpan w:val="3"/>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900" w:type="dxa"/>
            <w:vAlign w:val="bottom"/>
            <w:gridSpan w:val="1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20"/>
        </w:trPr>
        <w:tc>
          <w:tcPr>
            <w:tcW w:w="640" w:type="dxa"/>
            <w:vAlign w:val="bottom"/>
            <w:gridSpan w:val="2"/>
          </w:tcPr>
          <w:p>
            <w:pPr>
              <w:spacing w:after="0"/>
              <w:rPr>
                <w:rFonts w:ascii="Times New Roman" w:cs="Times New Roman" w:eastAsia="Times New Roman" w:hAnsi="Times New Roman"/>
                <w:sz w:val="18"/>
                <w:szCs w:val="18"/>
                <w:color w:val="0000FF"/>
                <w:w w:val="96"/>
              </w:rPr>
            </w:pPr>
            <w:hyperlink w:anchor="page35">
              <w:r>
                <w:rPr>
                  <w:rFonts w:ascii="Times New Roman" w:cs="Times New Roman" w:eastAsia="Times New Roman" w:hAnsi="Times New Roman"/>
                  <w:sz w:val="18"/>
                  <w:szCs w:val="18"/>
                  <w:color w:val="0000FF"/>
                  <w:w w:val="96"/>
                </w:rPr>
                <w:t>Item 1A.</w:t>
              </w:r>
            </w:hyperlink>
          </w:p>
        </w:tc>
        <w:tc>
          <w:tcPr>
            <w:tcW w:w="280" w:type="dxa"/>
            <w:vAlign w:val="bottom"/>
            <w:gridSpan w:val="2"/>
          </w:tcPr>
          <w:p>
            <w:pPr>
              <w:spacing w:after="0"/>
              <w:rPr>
                <w:sz w:val="24"/>
                <w:szCs w:val="24"/>
                <w:color w:val="auto"/>
              </w:rPr>
            </w:pPr>
          </w:p>
        </w:tc>
        <w:tc>
          <w:tcPr>
            <w:tcW w:w="8220" w:type="dxa"/>
            <w:vAlign w:val="bottom"/>
            <w:gridSpan w:val="16"/>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Risk Factors</w:t>
              </w:r>
            </w:hyperlink>
          </w:p>
        </w:tc>
        <w:tc>
          <w:tcPr>
            <w:tcW w:w="2220" w:type="dxa"/>
            <w:vAlign w:val="bottom"/>
            <w:gridSpan w:val="3"/>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32</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320" w:type="dxa"/>
            <w:vAlign w:val="bottom"/>
            <w:gridSpan w:val="1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20"/>
        </w:trPr>
        <w:tc>
          <w:tcPr>
            <w:tcW w:w="640" w:type="dxa"/>
            <w:vAlign w:val="bottom"/>
            <w:gridSpan w:val="2"/>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Item 6.</w:t>
              </w:r>
            </w:hyperlink>
          </w:p>
        </w:tc>
        <w:tc>
          <w:tcPr>
            <w:tcW w:w="280" w:type="dxa"/>
            <w:vAlign w:val="bottom"/>
            <w:gridSpan w:val="2"/>
          </w:tcPr>
          <w:p>
            <w:pPr>
              <w:spacing w:after="0"/>
              <w:rPr>
                <w:sz w:val="24"/>
                <w:szCs w:val="24"/>
                <w:color w:val="auto"/>
              </w:rPr>
            </w:pPr>
          </w:p>
        </w:tc>
        <w:tc>
          <w:tcPr>
            <w:tcW w:w="8220" w:type="dxa"/>
            <w:vAlign w:val="bottom"/>
            <w:gridSpan w:val="16"/>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Exhibits</w:t>
              </w:r>
            </w:hyperlink>
          </w:p>
        </w:tc>
        <w:tc>
          <w:tcPr>
            <w:tcW w:w="2220" w:type="dxa"/>
            <w:vAlign w:val="bottom"/>
            <w:gridSpan w:val="3"/>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20"/>
        </w:trPr>
        <w:tc>
          <w:tcPr>
            <w:tcW w:w="920" w:type="dxa"/>
            <w:vAlign w:val="bottom"/>
            <w:gridSpan w:val="4"/>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20" w:type="dxa"/>
            <w:vAlign w:val="bottom"/>
            <w:gridSpan w:val="3"/>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33</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0" w:type="dxa"/>
            <w:vAlign w:val="bottom"/>
            <w:gridSpan w:val="4"/>
          </w:tcPr>
          <w:p>
            <w:pPr>
              <w:jc w:val="center"/>
              <w:ind w:right="3340"/>
              <w:spacing w:after="0"/>
              <w:rPr>
                <w:sz w:val="20"/>
                <w:szCs w:val="20"/>
                <w:color w:val="auto"/>
              </w:rPr>
            </w:pPr>
            <w:r>
              <w:rPr>
                <w:rFonts w:ascii="Times New Roman" w:cs="Times New Roman" w:eastAsia="Times New Roman" w:hAnsi="Times New Roman"/>
                <w:sz w:val="18"/>
                <w:szCs w:val="18"/>
                <w:color w:val="auto"/>
              </w:rPr>
              <w:t>i</w:t>
            </w:r>
          </w:p>
        </w:tc>
        <w:tc>
          <w:tcPr>
            <w:tcW w:w="20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80" w:top="117" w:right="25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10,463</w:t>
            </w: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less allowance for doubtful accounts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$1,931 in 2013 and $1,841 in 2012</w:t>
            </w:r>
          </w:p>
        </w:tc>
        <w:tc>
          <w:tcPr>
            <w:tcW w:w="28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63,633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62,674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12,561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 receivable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5,580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 held for sale</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46,971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5,484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115,727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145,368</w:t>
            </w:r>
          </w:p>
        </w:tc>
        <w:tc>
          <w:tcPr>
            <w:tcW w:w="0" w:type="dxa"/>
            <w:vAlign w:val="bottom"/>
          </w:tcPr>
          <w:p>
            <w:pPr>
              <w:spacing w:after="0"/>
              <w:rPr>
                <w:sz w:val="1"/>
                <w:szCs w:val="1"/>
                <w:color w:val="auto"/>
              </w:rPr>
            </w:pPr>
          </w:p>
        </w:tc>
      </w:tr>
      <w:tr>
        <w:trPr>
          <w:trHeight w:val="216"/>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$43,956 in 2013 and $41,918 in 2012</w:t>
            </w:r>
          </w:p>
        </w:tc>
        <w:tc>
          <w:tcPr>
            <w:tcW w:w="28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8,235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Trademarks,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48,701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62,712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62,712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identifiable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14,492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Debt issuance costs,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Non-current 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16,182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Indemnity escrow receivable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Non-current insurance recovery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8,210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assets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274,529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305,923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10,130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21,650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33,683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Liabilities related to assets held for sale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4,289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38,190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72,587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accrued claims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16,347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7,691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62,983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96,801</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245,466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244,924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(32,722)</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211,546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209,122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274,529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305,923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017"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017" w:gutter="0" w:footer="0" w:header="0"/>
          <w:type w:val="continuous"/>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21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6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Pr>
          <w:p>
            <w:pPr>
              <w:spacing w:after="0"/>
              <w:rPr>
                <w:sz w:val="23"/>
                <w:szCs w:val="23"/>
                <w:color w:val="auto"/>
              </w:rPr>
            </w:pPr>
          </w:p>
        </w:tc>
      </w:tr>
      <w:tr>
        <w:trPr>
          <w:trHeight w:val="27"/>
        </w:trPr>
        <w:tc>
          <w:tcPr>
            <w:tcW w:w="6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6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110,768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108,847</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221,084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218,647</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81,711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164,370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162,461</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27,646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55,529</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2,763</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1,132</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charge</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18,732</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18,732</w:t>
            </w:r>
          </w:p>
        </w:tc>
      </w:tr>
      <w:tr>
        <w:trPr>
          <w:trHeight w:val="237"/>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112,396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130,227</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222,911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240,941</w:t>
            </w:r>
          </w:p>
        </w:tc>
      </w:tr>
      <w:tr>
        <w:trPr>
          <w:trHeight w:val="27"/>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w:t>
            </w: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expenses (income):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gain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w:t>
            </w: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r>
      <w:tr>
        <w:trPr>
          <w:trHeight w:val="27"/>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w:t>
            </w:r>
          </w:p>
        </w:tc>
      </w:tr>
      <w:tr>
        <w:trPr>
          <w:trHeight w:val="225"/>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income taxes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4,337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3,391</w:t>
            </w:r>
          </w:p>
        </w:tc>
      </w:tr>
      <w:tr>
        <w:trPr>
          <w:trHeight w:val="27"/>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6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per common share, basic:</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r>
      <w:tr>
        <w:trPr>
          <w:trHeight w:val="297"/>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84"/>
        </w:trPr>
        <w:tc>
          <w:tcPr>
            <w:tcW w:w="6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 per common share, diluted:</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6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30,799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30,783</w:t>
            </w: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30,961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30,799</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30,932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30,783</w:t>
            </w:r>
          </w:p>
        </w:tc>
      </w:tr>
      <w:tr>
        <w:trPr>
          <w:trHeight w:val="27"/>
        </w:trPr>
        <w:tc>
          <w:tcPr>
            <w:tcW w:w="6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20"/>
          </w:cols>
          <w:pgMar w:left="240" w:top="117" w:right="339" w:bottom="1440" w:gutter="0" w:footer="0" w:header="0"/>
        </w:sectPr>
      </w:pPr>
    </w:p>
    <w:bookmarkStart w:id="5" w:name="page6"/>
    <w:bookmarkEnd w:id="5"/>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0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6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Pr>
          <w:p>
            <w:pPr>
              <w:spacing w:after="0"/>
              <w:rPr>
                <w:sz w:val="23"/>
                <w:szCs w:val="23"/>
                <w:color w:val="auto"/>
              </w:rPr>
            </w:pPr>
          </w:p>
        </w:tc>
      </w:tr>
      <w:tr>
        <w:trPr>
          <w:trHeight w:val="27"/>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w:t>
            </w:r>
          </w:p>
        </w:tc>
      </w:tr>
      <w:tr>
        <w:trPr>
          <w:trHeight w:val="297"/>
        </w:trPr>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5"/>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currency translation adjustments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sale of clinical trial services business (see Note 3 - Comprehensive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1"/>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Write-down of marketable securities</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fair value of marketable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5"/>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expense related to</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61"/>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 of other comprehensive (loss) income</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97"/>
        </w:trPr>
        <w:tc>
          <w:tcPr>
            <w:tcW w:w="60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r>
      <w:tr>
        <w:trPr>
          <w:trHeight w:val="257"/>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2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(15,317)</w:t>
            </w:r>
          </w:p>
        </w:tc>
      </w:tr>
      <w:tr>
        <w:trPr>
          <w:trHeight w:val="20"/>
        </w:trPr>
        <w:tc>
          <w:tcPr>
            <w:tcW w:w="60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28"/>
        </w:trPr>
        <w:tc>
          <w:tcPr>
            <w:tcW w:w="8520" w:type="dxa"/>
            <w:vAlign w:val="bottom"/>
            <w:gridSpan w:val="7"/>
          </w:tcPr>
          <w:p>
            <w:pPr>
              <w:ind w:left="29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60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ectPr>
          <w:pgSz w:w="11900" w:h="16838" w:orient="portrait"/>
          <w:cols w:equalWidth="0" w:num="1">
            <w:col w:w="10780"/>
          </w:cols>
          <w:pgMar w:left="240" w:top="117" w:right="8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Pr>
          <w:p>
            <w:pPr>
              <w:spacing w:after="0"/>
              <w:rPr>
                <w:sz w:val="22"/>
                <w:szCs w:val="22"/>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1,637</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charge</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18,732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Bad debt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392</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clinical trial services business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522</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289</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4,398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3,803</w:t>
            </w:r>
          </w:p>
        </w:tc>
      </w:tr>
      <w:tr>
        <w:trPr>
          <w:trHeight w:val="297"/>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sale of business segment, net of cash sold and transaction costs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45,897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45,470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r>
      <w:tr>
        <w:trPr>
          <w:trHeight w:val="297"/>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repayments on term loan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Repayments on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Borrowings under revolving credit facility</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7,200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Repayments on asset-based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Borrowings under asset-based revolving credit facility</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49,244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Principal payments on capital lease obligations and note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stock for restricted stock tax withholdings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repurchase and retirement</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w:t>
            </w:r>
          </w:p>
        </w:tc>
      </w:tr>
      <w:tr>
        <w:trPr>
          <w:trHeight w:val="297"/>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97"/>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(4,441)</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10,463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10,648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Cross Country Healthcare, Inc. and its direct and indirect wholly-owned subsidiaries (collectively, the Company). All material intercompany transactions and balances have been eliminated in consolidation. 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U.S. generally accepted accounting principles (U.S. GAAP) for complete financial statements. These operating results are not necessarily indicative of the results that may be expected for the year ending December 31, 2013.</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in the condensed consolidated financial statements and accompanying notes. Estimates are used for, but not limited to, the valuation of accounts receivable, goodwill and intangible assets, other long-lived assets, accruals for health, workers’ compensation and professional liability claims, legal contingencies, future contingent considerations, income taxes and sales and other non-income tax liabilities. Accrued claims and reserves include estimated settlements from known claims and actuarial estimates for claims incurred but not reported. Actual results could differ from those estimates. In the opinion of management, all adjustments (consisting of normal recurring accruals) considered necessary for a fair presentation have been included.</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consolidated financial statements and notes thereto for the year ended December 31, 2012 included in the Company’s Annual Report on Form 10-K as filed with the Securities and Exchange Commission. The December 31, 2012 condensed consolidated balance sheet included herein was derived from the December 31, 2012 audited consolidated balance sheet included in the Company’s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Certain prior year amounts have been reclassified to conform to the current period presentation (see see </w:t>
      </w:r>
      <w:r>
        <w:rPr>
          <w:rFonts w:ascii="Times New Roman" w:cs="Times New Roman" w:eastAsia="Times New Roman" w:hAnsi="Times New Roman"/>
          <w:sz w:val="18"/>
          <w:szCs w:val="18"/>
          <w:i w:val="1"/>
          <w:iCs w:val="1"/>
          <w:color w:val="auto"/>
        </w:rPr>
        <w:t>Note 9 – Segment Data</w:t>
      </w:r>
      <w:r>
        <w:rPr>
          <w:rFonts w:ascii="Times New Roman" w:cs="Times New Roman" w:eastAsia="Times New Roman" w:hAnsi="Times New Roman"/>
          <w:sz w:val="18"/>
          <w:szCs w:val="18"/>
          <w:color w:val="auto"/>
        </w:rPr>
        <w:t xml:space="preserve"> for more information).</w:t>
      </w:r>
    </w:p>
    <w:p>
      <w:pPr>
        <w:spacing w:after="0" w:line="223"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clinical trial services business provided clinical trial, drug safety, and regulatory professionals and services on a contract staffing and outsourced basis to companies in the pharmaceutical, biotechnology and medical device industries, as well as to contract research organizations, primarily in the United States, and also in Canada and Europe. During the fourth quarter of 2012, the Company’s Board of Directors approved a plan to exit the clinical trial services business as a result of an extensive review of its business and the changing landscape in the pharmaceutical outsourcing industry. Classification of a disposal group as held for sale occurs when sufficient authority to sell the disposal group has been obtained, the disposal group is available for immediate sale, an active program to sell the disposal group has been initiated and its sale is probable within one year. Accordingly, the clinical trial services business was classified as a disposal group held for sale as of December 31, 2012.</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February 15, 2013, the Company completed the sale of its clinical trial services business to ICON Clinical Research, Inc. and ICON Clinical Research UK Limited (the “Buyer”) for an aggregate $52.0 million in cash, subject to certain adjustments. The agreement included a provision for an earn-out of up to $3.75 million related to certain performance-based milestones. The maximum earn-out amount of $3.75 million was deposited in escrow by Buyer as security for the earn-out payment, if any. The $3.75 million earn out related to certain performance-based milestones is treated as contingent consideration and the Company assigned no fair value to this earn-out as of June 30, 2013 based on recent information available to the Company. In addition, a portion of the performance-based milestones was not earned, and as a result $1.5 million of the original escrow was released to the Buyer in the second quarter of 2013, leaving a balance of $2.25 million as of June 30, 2013 (see </w:t>
      </w:r>
      <w:r>
        <w:rPr>
          <w:rFonts w:ascii="Times New Roman" w:cs="Times New Roman" w:eastAsia="Times New Roman" w:hAnsi="Times New Roman"/>
          <w:sz w:val="18"/>
          <w:szCs w:val="18"/>
          <w:i w:val="1"/>
          <w:iCs w:val="1"/>
          <w:color w:val="auto"/>
        </w:rPr>
        <w:t>Note 7 – Fair Value Measurements for more information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$52.0 million purchase price paid at closing, $3.75 million was also placed in escrow for a period of 18 months following the closing to provide partial security to the Buyer in the event of any breach of the representations, warranties and covenants of the Company. The Company recorded the $3.75 million indemnity escrow funds as an escrow receivable, and will adjust the amount, each reporting period, based on any known information that may arise that would be reasonable and estimable.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agreed to provide certain administrative transitional services to the Buyer for a period of up to 6 months, subject to extension in certain circumstances (including the Company’s prior written consent).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8" w:name="page9"/>
    <w:bookmarkEnd w:id="8"/>
    <w:p>
      <w:pPr>
        <w:ind w:right="120"/>
        <w:spacing w:after="0" w:line="256" w:lineRule="auto"/>
        <w:rPr>
          <w:sz w:val="20"/>
          <w:szCs w:val="20"/>
          <w:color w:val="auto"/>
        </w:rPr>
      </w:pPr>
      <w:r>
        <w:rPr>
          <w:rFonts w:ascii="Times New Roman" w:cs="Times New Roman" w:eastAsia="Times New Roman" w:hAnsi="Times New Roman"/>
          <w:sz w:val="18"/>
          <w:szCs w:val="18"/>
          <w:color w:val="auto"/>
        </w:rPr>
        <w:t>As a result of the disposal, the underlying operations and cash flows of the clinical trial services business have been eliminated from the Company’s continuing operations and the Company no longer has the ability to influence the operating and/or financial policies of the disposal group. In addition, the future continuing cash flows from the disposed business resulting from a short-term transitional services agreement are not expected to be significant and do not constitute a material continuing financial interest in the clinical trial services business. As a result, pursuant to generally accepted accounting principles, the historical financial results of operations, except for disclosures related to cash flows, have been presented as discontinued operations for all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revenues and the components of discontinued operations, net of tax:</w:t>
      </w:r>
    </w:p>
    <w:p>
      <w:pPr>
        <w:spacing w:after="0" w:line="383" w:lineRule="exact"/>
        <w:rPr>
          <w:sz w:val="20"/>
          <w:szCs w:val="20"/>
          <w:color w:val="auto"/>
        </w:rPr>
      </w:pPr>
    </w:p>
    <w:tbl>
      <w:tblPr>
        <w:tblLayout w:type="fixed"/>
        <w:tblInd w:w="122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0"/>
                <w:szCs w:val="20"/>
                <w:color w:val="auto"/>
              </w:rPr>
            </w:pPr>
          </w:p>
        </w:tc>
        <w:tc>
          <w:tcPr>
            <w:tcW w:w="18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(amount in thousands)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before gain on sale and</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discontinued operations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05"/>
        </w:trPr>
        <w:tc>
          <w:tcPr>
            <w:tcW w:w="46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income from discontinued operations,</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8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0" w:type="dxa"/>
            <w:vAlign w:val="bottom"/>
          </w:tcPr>
          <w:p>
            <w:pPr>
              <w:spacing w:after="0"/>
              <w:rPr>
                <w:sz w:val="1"/>
                <w:szCs w:val="1"/>
                <w:color w:val="auto"/>
              </w:rPr>
            </w:pPr>
          </w:p>
        </w:tc>
      </w:tr>
      <w:tr>
        <w:trPr>
          <w:trHeight w:val="246"/>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income taxes</w:t>
            </w:r>
          </w:p>
        </w:tc>
        <w:tc>
          <w:tcPr>
            <w:tcW w:w="18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INCOME</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Total comprehensive income includes net loss, foreign currency translation adjustments, and net changes in the fair value of marketable securities available for sale, net of any related deferred taxes. Certain of the Company’s foreign operations use their respective local currency as their functional currency. In accordance with the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xml:space="preserve"> Topic of the FASB Accounting Standards Codification (ASC), assets and liabilities of these operations are translated at the exchange rates in effect on the balance sheet date. Statement of operations items are translated at the average exchange rates for the period. The cumulative impact of currency translation is included in accumulated other comprehensive loss in the accompanying condensed consolidated balance sheets and was $1.0 million and $3.1 million at June 30, 2013 and December 31, 2012, respectively.</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February 2013, the FASB issued ASU 2013-2, </w:t>
      </w:r>
      <w:r>
        <w:rPr>
          <w:rFonts w:ascii="Times New Roman" w:cs="Times New Roman" w:eastAsia="Times New Roman" w:hAnsi="Times New Roman"/>
          <w:sz w:val="18"/>
          <w:szCs w:val="18"/>
          <w:i w:val="1"/>
          <w:iCs w:val="1"/>
          <w:color w:val="auto"/>
        </w:rPr>
        <w:t>Comprehensive Income (Topic 220): Reporting of Amounts Reclassified Out of 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Income </w:t>
      </w:r>
      <w:r>
        <w:rPr>
          <w:rFonts w:ascii="Times New Roman" w:cs="Times New Roman" w:eastAsia="Times New Roman" w:hAnsi="Times New Roman"/>
          <w:sz w:val="18"/>
          <w:szCs w:val="18"/>
          <w:color w:val="auto"/>
        </w:rPr>
        <w:t>(ASU 2013-2). ASU 2013-2 adds new disclosure requirements for items reclassified out of accumulated other comprehensive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(AOCI), including (1) disaggregating and separately presenting changes in AOCI balances by component and (2) presenting significant items reclassified out of AOCI either on the face of the statement where net income is presented or as a separate disclosure in the notes to the financial statements. It does not amend any existing requirements for reporting net income or other comprehensive income in the financial statements. The ASU is effective for fiscal years beginning after December 15, 2012 (and interim periods within those years), and is to be applied prospectively. The Company adopted this guidance in its first quarter of 2013 and has disclosed the required information in its notes to condensed consolidated financial statements.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March 2013, the FASB issued ASU 2013-5, </w:t>
      </w:r>
      <w:r>
        <w:rPr>
          <w:rFonts w:ascii="Times New Roman" w:cs="Times New Roman" w:eastAsia="Times New Roman" w:hAnsi="Times New Roman"/>
          <w:sz w:val="18"/>
          <w:szCs w:val="18"/>
          <w:i w:val="1"/>
          <w:iCs w:val="1"/>
          <w:color w:val="auto"/>
        </w:rPr>
        <w:t>Foreign Currency Matters (Topic 830), Parent’s Accounting for the Cumulative Translation Adjustment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Derecognition of Certain Subsidiaries or Groups of Assets within a Foreign Entity or of an Investment in a Foreign Entity (a consensus of the FASB Emerging Issues Task Force </w:t>
      </w:r>
      <w:r>
        <w:rPr>
          <w:rFonts w:ascii="Times New Roman" w:cs="Times New Roman" w:eastAsia="Times New Roman" w:hAnsi="Times New Roman"/>
          <w:sz w:val="18"/>
          <w:szCs w:val="18"/>
          <w:color w:val="auto"/>
        </w:rPr>
        <w:t>(ASU 2013-5). The objective of ASU 2013-5 is to resolve the diversity in practice as to the release of the cumulative translation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into net income when a parent either sells a part or all of its investment in a foreign entity or no longer holds a controlling financial interest in a subsidiary or group of assets that is a nonprofit activity or a business (other than a sale of in substance real estate or conveyance of oil and gas mineral rights) within a foreign entity.</w:t>
      </w:r>
    </w:p>
    <w:p>
      <w:pPr>
        <w:spacing w:after="0" w:line="18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ASU 2013-5 clarifies that a cumulative translation adjustment (CTA) should be released into earnings when an entity ceases to have a controlling financial interest in a subsidiary or group of assets within a consolidated foreign entity and the sale or transfer results in the complete or substantially complete liquidation of the foreign entity. For sales of an equity method investment that is a foreign entity, a pro rata portion of CTA attributable to the investment would be recognized in earnings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337" w:right="259" w:bottom="1440" w:gutter="0" w:footer="0" w:header="0"/>
        </w:sectPr>
      </w:pPr>
    </w:p>
    <w:bookmarkStart w:id="9" w:name="page10"/>
    <w:bookmarkEnd w:id="9"/>
    <w:p>
      <w:pPr>
        <w:ind w:right="40"/>
        <w:spacing w:after="0" w:line="256" w:lineRule="auto"/>
        <w:rPr>
          <w:sz w:val="20"/>
          <w:szCs w:val="20"/>
          <w:color w:val="auto"/>
        </w:rPr>
      </w:pPr>
      <w:r>
        <w:rPr>
          <w:rFonts w:ascii="Times New Roman" w:cs="Times New Roman" w:eastAsia="Times New Roman" w:hAnsi="Times New Roman"/>
          <w:sz w:val="18"/>
          <w:szCs w:val="18"/>
          <w:color w:val="auto"/>
        </w:rPr>
        <w:t>when the investment is sold. When an entity sells either a part or all of its investment in a consolidated foreign entity, CTA would be recognized in earnings only if the sale results in the parent no longer having a controlling financial interest in the foreign entity. In addition, CTA should be recognized in earnings in a business combination achieved in stages (i.e., a step acquisition). This ASU is effective for years beginning after December 15, 2013. Early adoption is permitted. The Company adopted this guidance and released into earnings $2.3 million of its cumulative currency translation losses related to the sale of clinical trial services business in the first quarter of 2013, which was included in the income (loss) from discontinued operations, net of income taxes on the condensed consolidated statements of operations.</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2013, $0.1 million of income tax benefit related to foreign currency translation adjustments was included on the Company's condensed consolidated statements of comprehensive (loss) income.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8"/>
          <w:szCs w:val="18"/>
          <w:b w:val="1"/>
          <w:bCs w:val="1"/>
          <w:color w:val="auto"/>
        </w:rPr>
        <w:t>EARNINGS PER SHARE</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the requirements of the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Topic of the FASB ASC, basic earnings per share is computed by dividing net loss by the weighted average number of shares outstanding (excluding unvested restricted stock) and diluted earnings per share reflects the dilutive effects of stock options and restricted stock (as calculated utilizing the treasury stock method). Certain shares of common stock that are issuable upon the exercise of options and vesting of restricted stock have been excluded from the per share calculations because their effect would have been anti-dilutive. Such shares amounted to 1,807,044 and 1,780,294 during the three and six months ended June 30, 2013, respectively, and 2,048,871 and 1,846,739, during the three and six months ended June 30, 2012, respectively. For purposes of calculating net loss per common share, the Company excluded potentially dilutive shares of 155,760 and 165,567 for the three and six months ended June 30, 2013, respectively, and 32,259 and 51,479 for the three and six months ended June 30, 2012, respectively, from the calculation as their effect would have been anti-dilutive due to the Company’s net loss from continuing operations in those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the basic and diluted earnings per share:</w:t>
      </w:r>
    </w:p>
    <w:p>
      <w:pPr>
        <w:spacing w:after="0" w:line="167" w:lineRule="exact"/>
        <w:rPr>
          <w:sz w:val="20"/>
          <w:szCs w:val="20"/>
          <w:color w:val="auto"/>
        </w:rPr>
      </w:pPr>
    </w:p>
    <w:tbl>
      <w:tblPr>
        <w:tblLayout w:type="fixed"/>
        <w:tblInd w:w="122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0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4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Pr>
          <w:p>
            <w:pPr>
              <w:spacing w:after="0"/>
              <w:rPr>
                <w:sz w:val="23"/>
                <w:szCs w:val="23"/>
                <w:color w:val="auto"/>
              </w:rPr>
            </w:pPr>
          </w:p>
        </w:tc>
      </w:tr>
      <w:tr>
        <w:trPr>
          <w:trHeight w:val="27"/>
        </w:trPr>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2012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(amounts in thousands)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3,391</w:t>
            </w:r>
          </w:p>
        </w:tc>
      </w:tr>
      <w:tr>
        <w:trPr>
          <w:trHeight w:val="27"/>
        </w:trPr>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11"/>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basic:</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7"/>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r>
      <w:tr>
        <w:trPr>
          <w:trHeight w:val="297"/>
        </w:trPr>
        <w:tc>
          <w:tcPr>
            <w:tcW w:w="4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8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311"/>
        </w:trPr>
        <w:tc>
          <w:tcPr>
            <w:tcW w:w="4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diluted:</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43"/>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11"/>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outstanding-basic</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30,783</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outstanding-diluted</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30,783</w:t>
            </w: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September 2008, the Company consummated the acquisition of substantially all of the assets of privately-held MDA Holdings, Inc. and its subsidiaries and all of the outstanding stock of Jamestown Indemnity Ltd., a Cayman Island company and wholly-owned subsidiary (collectively, MDA). As of June 30, 2013, an indemnification escrow account of $3.6 million exists.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June 30, 2013 and December 31, 2012, long-term debt consists of the following:</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4"/>
          </w:tcPr>
          <w:p>
            <w:pPr>
              <w:jc w:val="right"/>
              <w:ind w:right="510"/>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33"/>
        </w:trPr>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interest 2.72% at December 31, 2012</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23,125</w:t>
            </w:r>
          </w:p>
        </w:tc>
      </w:tr>
      <w:tr>
        <w:trPr>
          <w:trHeight w:val="243"/>
        </w:trPr>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 interest 2.72% at December 31, 2012</w:t>
            </w:r>
          </w:p>
        </w:tc>
        <w:tc>
          <w:tcPr>
            <w:tcW w:w="20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lease obligations and note payable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w:t>
            </w:r>
          </w:p>
        </w:tc>
      </w:tr>
      <w:tr>
        <w:trPr>
          <w:trHeight w:val="291"/>
        </w:trPr>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33,859</w:t>
            </w:r>
          </w:p>
        </w:tc>
      </w:tr>
      <w:tr>
        <w:trPr>
          <w:trHeight w:val="243"/>
        </w:trPr>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(33,683)</w:t>
            </w:r>
          </w:p>
        </w:tc>
      </w:tr>
      <w:tr>
        <w:trPr>
          <w:trHeight w:val="27"/>
        </w:trPr>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June 30, 2013, the Company’s capital lease obligations mature serially through December 31 as follows (amounts in thousands): 2013 - $181; 2014 - $83; 2015 - $65; and 2016 - $28.</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had $11.8 million letters of credit outstanding as of June 30, 2013. The letters of credit relate to the Company’s workers’ compensation and professional liability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227"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On January 9, 2013, the Company terminated its commitments under senior secured credit agreement (July 2012 Credit Agreement) and entered into a Loan and Security Agreement, (Loan Agreement), by and among the Company and certain of its subsidiaries, as borrowers, and Bank of America, N.A., as agent.</w:t>
      </w:r>
    </w:p>
    <w:p>
      <w:pPr>
        <w:spacing w:after="0" w:line="16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The Loan Agreement provides for: a three-year senior secured asset-based revolving credit facility in the aggregate principal amount of up to $65.0 million (as described below), which includes a subfacility for swingline loans up to an amount equal to 10% of the aggregate Revolver Commitments, and a $20.0 million subfacility for standby letters of credit. Swingline loans and letters of credit issued under the Loan Agreement reduce available revolving credit commitments on a dollar-for-dollar basis. Subject to certain conditions, the Company is permitted, at any time prior to the maturity date for the revolving credit facility, to increase the total revolving credit commitments in an aggregate principal amount of up to $20.0 million, with additional commitments from Lenders or new commitments from financial institutions, subject to certain conditions as described in the Loan Agreement. Pursuant to the Loan Agreement, the aggregate amount of advances under the Line of Credit (Borrowing Base) cannot exceed the lesser of (a) (i) $65.0 million, or (ii) 85% of eligible billed accounts receivable as defined in the Loan Agreement; plus (b) the lesser of (i) 85% of eligible unbilled accounts receivable and (ii) $12.0 million; minus</w:t>
      </w:r>
    </w:p>
    <w:p>
      <w:pPr>
        <w:spacing w:after="0" w:line="1" w:lineRule="exact"/>
        <w:rPr>
          <w:sz w:val="20"/>
          <w:szCs w:val="20"/>
          <w:color w:val="auto"/>
        </w:rPr>
      </w:pPr>
    </w:p>
    <w:p>
      <w:pPr>
        <w:jc w:val="both"/>
        <w:ind w:right="120" w:firstLine="8"/>
        <w:spacing w:after="0" w:line="255" w:lineRule="auto"/>
        <w:tabs>
          <w:tab w:leader="none" w:pos="2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as defined by the Loan Agreement, which include one week’s worth of W-2 payroll and fees payable to independent contractors. As of June 30, 2013, the availability under the Loan Agreement was approximately $39.6 million based on its May accounts receivable. The Company had $11.8 million of letters of credit outstanding as of June 30, 2013.</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initial proceeds from the revolving credit facility were used to finance the repayment of existing indebtedness of the Company under its prior credit agreement and the payment of fees and expenses. The repayment of the term loan portion of the Company’s debt outstanding in the first quarter of 2013 was treated as extinguishment of debt, and, as a result, the Company recognized a loss on extinguishment in the first quarter of 2013, related to the write-off of unamortized net debt issuance costs of approximately $0.3 million. The repayment of the revolver portion of the Company’s debt outstanding in the first quarter of 2013 was treated partially as extinguishment and partially as a modification. The fees related to the modified portion of $0.1 million relate to the continuation of credit provided by Bank of America, N.A. in its Loan Agreement. The Company wrote-off the remaining unamortized net debt issuance costs of approximately $1.1 million in the first quarter of 2013.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credit facility can be used to provide ongoing working capital and for other general corporate purposes of the Company and its</w:t>
      </w:r>
    </w:p>
    <w:p>
      <w:pPr>
        <w:spacing w:after="0" w:line="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subsidiaries. The initial interest rate spreads and fees under the Loan Agreement are based on LIBOR plus 1.5% or Base Rate plus 0.50%. The LIBOR and Base Rate margins are subject to performance pricing adjustments, commencing September 1, 2013, pursuant to a pricing matrix based on the Company’s excess availability under the revolving credit facility, and would increase by 200 basis points if an event of default exists.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333" w:right="259" w:bottom="1440" w:gutter="0" w:footer="0" w:header="0"/>
        </w:sectPr>
      </w:pPr>
    </w:p>
    <w:bookmarkStart w:id="11" w:name="page12"/>
    <w:bookmarkEnd w:id="11"/>
    <w:p>
      <w:pPr>
        <w:ind w:right="80"/>
        <w:spacing w:after="0" w:line="255" w:lineRule="auto"/>
        <w:rPr>
          <w:sz w:val="20"/>
          <w:szCs w:val="20"/>
          <w:color w:val="auto"/>
        </w:rPr>
      </w:pPr>
      <w:r>
        <w:rPr>
          <w:rFonts w:ascii="Times New Roman" w:cs="Times New Roman" w:eastAsia="Times New Roman" w:hAnsi="Times New Roman"/>
          <w:sz w:val="18"/>
          <w:szCs w:val="18"/>
          <w:color w:val="auto"/>
        </w:rPr>
        <w:t>The Loan Agreement contains customary representations, warranties, and affirmative covenants. The Loan Agreement also contains customary negative covenants; including covenants with respect to, among other things, (i) indebtedness, (ii) liens, (iii) investments, (iv) significant corporate changes, including mergers and acquisitions, (v) dispositions, (vi) dividend, distributions and other restricted payments, (vii) transactions with affiliates and (viii) restrictive agreements. In addition, if the Company’s availability under the revolving credit facility is less than the greater of (i) 12.5% of the Loan Cap, as defined, and</w:t>
      </w:r>
    </w:p>
    <w:p>
      <w:pPr>
        <w:spacing w:after="0" w:line="3" w:lineRule="exact"/>
        <w:rPr>
          <w:sz w:val="20"/>
          <w:szCs w:val="20"/>
          <w:color w:val="auto"/>
        </w:rPr>
      </w:pPr>
    </w:p>
    <w:p>
      <w:pPr>
        <w:ind w:right="80" w:firstLine="8"/>
        <w:spacing w:after="0" w:line="255"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million, the Company is required to meet a minimum fixed charge coverage ratio of 1.0, as defined in the Loan Agreement. The Loan Agreement also contains customary events of default, such as payment defaults, cross-defaults to other material indebtedness, bankruptcy and insolvency, the occurrence of a defined change in control and the failure to observe covenants or conditions under the credit facility documents.</w:t>
      </w:r>
    </w:p>
    <w:p>
      <w:pPr>
        <w:spacing w:after="0" w:line="18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Loan Agreement are guaranteed by all material domestic subsidiaries of the Company that are not co-borrowers (Subsidiary Guarantors). As collateral security for their obligations under the Loan Agreement and guarantees thereof, the Company and the Subsidiary Guarantors have granted to Bank of America, N.A., a security interest in substantially all of their tangible and intangible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2012 Credit Agreement</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entered into July 2012 Credit Agreement on July 10, 2012 , by and among the Company, as borrower, a syndicate of lenders, Wells Fargo Bank, National Association, as administrative agent, swingline lender and issuing lender, Bank of America, N.A., as syndication agent, and U.S. Bank National Association, as documentation agent. The July 2012 Credit Agreement provided for: (i) a five-year senior secured term loan facility in the aggregate principal amount of $25.0 million, and (ii) a five-year senior secured revolving credit facility in the aggregate principal amount of up to $50.0 million, which included a $10.0 million subfacility for swingline loans, and a $20.0 million subfacility for standby letters of credit. Swingline loans and letters of credit issued under the July 2012 Credit Agreement reduced available revolving credit commitments on a dollar-for-dollar basis. Subject to certain conditions under the Credit Agreement, the Company was permitted, at any time prior to the maturity date for the revolving credit facility, to increase its total revolving credit commitments in an aggregate principal amount of up to $25.0 million.</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Through December 31, 2012, interest on the term loan and revolving credit portion of the July 2012 Credit Agreement was based on LIBOR plus a margin of 2.50% or Base Rate (as defined by the July 2012 Credit Agreement, as modified) plus a margin of 1.50%. In addition, the Company was required to pay a quarterly commitment fee on its average daily unused portion of the revolving loan facility of 0.50%. The interest rate spreads and fees fluctuated during the term of the July 2012 Credit Agreement based on the consolidated total leverage ratio at each calculation date, as defined.</w:t>
      </w:r>
    </w:p>
    <w:p>
      <w:pPr>
        <w:spacing w:after="0" w:line="17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7"/>
          <w:szCs w:val="17"/>
          <w:color w:val="auto"/>
        </w:rPr>
        <w:t>At June 30, 2013 and December 31, 2012, the Company’s financial assets/liabilities required to be measured on a recurring basis were its deferred compensation liability included in other long-term liabilities and contingent consideration receivable related to the sale of its clinical trial services business.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37" w:right="239" w:bottom="1440" w:gutter="0" w:footer="0" w:header="0"/>
        </w:sectPr>
      </w:pPr>
    </w:p>
    <w:bookmarkStart w:id="12" w:name="page13"/>
    <w:bookmarkEnd w:id="12"/>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w:t>
      </w:r>
      <w:r>
        <w:rPr>
          <w:rFonts w:ascii="Times New Roman" w:cs="Times New Roman" w:eastAsia="Times New Roman" w:hAnsi="Times New Roman"/>
          <w:sz w:val="18"/>
          <w:szCs w:val="18"/>
          <w:color w:val="auto"/>
        </w:rPr>
        <w:t>—The Company utilizes Level 1 inputs to value its deferred compensation liability. The Company’s deferred compensation liability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using publicly available indices that define the liability amounts, as per the plan documents.</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Contingent Consideration Receivable</w:t>
      </w:r>
      <w:r>
        <w:rPr>
          <w:rFonts w:ascii="Times New Roman" w:cs="Times New Roman" w:eastAsia="Times New Roman" w:hAnsi="Times New Roman"/>
          <w:sz w:val="18"/>
          <w:szCs w:val="18"/>
          <w:color w:val="auto"/>
        </w:rPr>
        <w:t>—The earn out related to the Company’s sale of its clinical trial services business is treated as a contingent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receivable for accounting purposes. The Company utilizes Level 3 inputs to value its contingent consideration receivable as significant unobservable inputs are used in the calculation of its fair value and are related to future performance of the disposed business. The fair value of the contingent consideration receivable will be adjusted to its fair value on a quarterly basis with the adjustment to the related receivable and the gain/loss on the sale of assets (included in discontinued operations). The future performance of the disposed business directly impacts the contingent consideration that could be paid to the Company, thus performance that exceeds target could result in a higher payout, and a performance under target could result in a lower payout. As of June 30, 2013, the Company assigned no value to the performance earn-out based on recent information available to the Company. See </w:t>
      </w:r>
      <w:r>
        <w:rPr>
          <w:rFonts w:ascii="Times New Roman" w:cs="Times New Roman" w:eastAsia="Times New Roman" w:hAnsi="Times New Roman"/>
          <w:sz w:val="18"/>
          <w:szCs w:val="18"/>
          <w:i w:val="1"/>
          <w:iCs w:val="1"/>
          <w:color w:val="auto"/>
        </w:rPr>
        <w:t>Note 2- Discontinued Operations</w:t>
      </w:r>
      <w:r>
        <w:rPr>
          <w:rFonts w:ascii="Times New Roman" w:cs="Times New Roman" w:eastAsia="Times New Roman" w:hAnsi="Times New Roman"/>
          <w:sz w:val="18"/>
          <w:szCs w:val="18"/>
          <w:color w:val="auto"/>
        </w:rPr>
        <w:t xml:space="preserve"> for further information.</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table which follows summarizes the estimated fair value of the Company’s financial assets and liabilities measured on a recurring basis as of June 30, 2013 and December 31, 2012: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145" w:lineRule="exact"/>
        <w:rPr>
          <w:sz w:val="20"/>
          <w:szCs w:val="20"/>
          <w:color w:val="auto"/>
        </w:rPr>
      </w:pPr>
    </w:p>
    <w:p>
      <w:pPr>
        <w:ind w:left="6600"/>
        <w:spacing w:after="0"/>
        <w:tabs>
          <w:tab w:leader="none" w:pos="8320" w:val="left"/>
        </w:tabs>
        <w:rPr>
          <w:sz w:val="20"/>
          <w:szCs w:val="20"/>
          <w:color w:val="auto"/>
        </w:rPr>
      </w:pPr>
      <w:r>
        <w:rPr>
          <w:rFonts w:ascii="Times New Roman" w:cs="Times New Roman" w:eastAsia="Times New Roman" w:hAnsi="Times New Roman"/>
          <w:sz w:val="18"/>
          <w:szCs w:val="18"/>
          <w:b w:val="1"/>
          <w:bCs w:val="1"/>
          <w:color w:val="auto"/>
        </w:rPr>
        <w:t>June 30, 2013</w:t>
      </w:r>
      <w:r>
        <w:rPr>
          <w:sz w:val="20"/>
          <w:szCs w:val="20"/>
          <w:color w:val="auto"/>
        </w:rPr>
        <w:tab/>
      </w:r>
      <w:r>
        <w:rPr>
          <w:rFonts w:ascii="Times New Roman" w:cs="Times New Roman" w:eastAsia="Times New Roman" w:hAnsi="Times New Roman"/>
          <w:sz w:val="18"/>
          <w:szCs w:val="18"/>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36830</wp:posOffset>
            </wp:positionV>
            <wp:extent cx="540258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2580" cy="180340"/>
                    </a:xfrm>
                    <a:prstGeom prst="rect">
                      <a:avLst/>
                    </a:prstGeom>
                    <a:noFill/>
                  </pic:spPr>
                </pic:pic>
              </a:graphicData>
            </a:graphic>
          </wp:anchor>
        </w:drawing>
      </w:r>
    </w:p>
    <w:p>
      <w:pPr>
        <w:spacing w:after="0" w:line="5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(Level 3)</w:t>
      </w:r>
    </w:p>
    <w:p>
      <w:pPr>
        <w:spacing w:after="0" w:line="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34290</wp:posOffset>
            </wp:positionV>
            <wp:extent cx="540258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2580" cy="180340"/>
                    </a:xfrm>
                    <a:prstGeom prst="rect">
                      <a:avLst/>
                    </a:prstGeom>
                    <a:noFill/>
                  </pic:spPr>
                </pic:pic>
              </a:graphicData>
            </a:graphic>
          </wp:anchor>
        </w:drawing>
      </w:r>
    </w:p>
    <w:p>
      <w:pPr>
        <w:spacing w:after="0" w:line="43" w:lineRule="exact"/>
        <w:rPr>
          <w:sz w:val="20"/>
          <w:szCs w:val="20"/>
          <w:color w:val="auto"/>
        </w:rPr>
      </w:pPr>
    </w:p>
    <w:p>
      <w:pPr>
        <w:ind w:left="1740"/>
        <w:spacing w:after="0"/>
        <w:tabs>
          <w:tab w:leader="none" w:pos="6240" w:val="left"/>
          <w:tab w:leader="none" w:pos="7760" w:val="left"/>
          <w:tab w:leader="none" w:pos="8200" w:val="left"/>
          <w:tab w:leader="none" w:pos="9720" w:val="left"/>
        </w:tabs>
        <w:rPr>
          <w:sz w:val="20"/>
          <w:szCs w:val="20"/>
          <w:color w:val="auto"/>
        </w:rPr>
      </w:pPr>
      <w:r>
        <w:rPr>
          <w:rFonts w:ascii="Times New Roman" w:cs="Times New Roman" w:eastAsia="Times New Roman" w:hAnsi="Times New Roman"/>
          <w:sz w:val="18"/>
          <w:szCs w:val="18"/>
          <w:color w:val="auto"/>
        </w:rPr>
        <w:t>Contingent consideration receivable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248920</wp:posOffset>
            </wp:positionV>
            <wp:extent cx="54025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2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51435</wp:posOffset>
            </wp:positionV>
            <wp:extent cx="2375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(Level 1)</w:t>
      </w:r>
    </w:p>
    <w:p>
      <w:pPr>
        <w:spacing w:after="0" w:line="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34290</wp:posOffset>
            </wp:positionV>
            <wp:extent cx="540258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2580" cy="180340"/>
                    </a:xfrm>
                    <a:prstGeom prst="rect">
                      <a:avLst/>
                    </a:prstGeom>
                    <a:noFill/>
                  </pic:spPr>
                </pic:pic>
              </a:graphicData>
            </a:graphic>
          </wp:anchor>
        </w:drawing>
      </w:r>
    </w:p>
    <w:p>
      <w:pPr>
        <w:spacing w:after="0" w:line="43" w:lineRule="exact"/>
        <w:rPr>
          <w:sz w:val="20"/>
          <w:szCs w:val="20"/>
          <w:color w:val="auto"/>
        </w:rPr>
      </w:pPr>
    </w:p>
    <w:p>
      <w:pPr>
        <w:ind w:left="1740"/>
        <w:spacing w:after="0"/>
        <w:tabs>
          <w:tab w:leader="none" w:pos="6240" w:val="left"/>
          <w:tab w:leader="none" w:pos="7540" w:val="left"/>
          <w:tab w:leader="none" w:pos="8200" w:val="left"/>
          <w:tab w:leader="none" w:pos="9480" w:val="left"/>
        </w:tabs>
        <w:rPr>
          <w:sz w:val="20"/>
          <w:szCs w:val="20"/>
          <w:color w:val="auto"/>
        </w:rPr>
      </w:pPr>
      <w:r>
        <w:rPr>
          <w:rFonts w:ascii="Times New Roman" w:cs="Times New Roman" w:eastAsia="Times New Roman" w:hAnsi="Times New Roman"/>
          <w:sz w:val="18"/>
          <w:szCs w:val="18"/>
          <w:color w:val="auto"/>
        </w:rPr>
        <w:t>Deferred compensation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1,489</w:t>
        <w:tab/>
        <w:t>$</w:t>
      </w:r>
      <w:r>
        <w:rPr>
          <w:sz w:val="20"/>
          <w:szCs w:val="20"/>
          <w:color w:val="auto"/>
        </w:rPr>
        <w:tab/>
      </w:r>
      <w:r>
        <w:rPr>
          <w:rFonts w:ascii="Times New Roman" w:cs="Times New Roman" w:eastAsia="Times New Roman" w:hAnsi="Times New Roman"/>
          <w:sz w:val="18"/>
          <w:szCs w:val="18"/>
          <w:color w:val="auto"/>
        </w:rPr>
        <w:t>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51435</wp:posOffset>
            </wp:positionV>
            <wp:extent cx="23755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If required by the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Topic of the FASB ASC, the Company’s goodwill and other identifiable intangible assets are measured at fair value on a nonrecurring basis using significant unobservable inputs (Level 3). Goodwill and other identifiable intangible assets with indefinite lives are reviewed for impairment annually, and whenever events or changes in circumstances indicate that the carrying value may not be recoverable. Long-lived assets and identifiable intangible assets are also reviewed for impairment whenever events or changes in circumstances indicate that amounts may not be recoverable. If the testing performed indicates that impairment has occurred, the Company records a non-cash impairment charge for the difference between the carrying amount of the goodwill or other intangible assets and the implied fair value of the goodwill or other intangible assets in the period the determination is made.</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December 31, 2012, the Company disclosed all the assets and liabilities held for sale at fair value with the exception of other intangible assets whose carrying value was below fair value. For other assets and liabilities except for goodwill and other intangible assets, fair value approximated their carrying amount due to their short-term nature. The following table presented the fair value of goodwill, which was the most significant component of the assets held for sale, measured on a non-recurring basis for the Company’s clinical trial services reporting unit included in assets held for sale as of December 31, 2012: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14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36830</wp:posOffset>
            </wp:positionV>
            <wp:extent cx="456247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62475" cy="180340"/>
                    </a:xfrm>
                    <a:prstGeom prst="rect">
                      <a:avLst/>
                    </a:prstGeom>
                    <a:noFill/>
                  </pic:spPr>
                </pic:pic>
              </a:graphicData>
            </a:graphic>
          </wp:anchor>
        </w:drawing>
      </w:r>
    </w:p>
    <w:p>
      <w:pPr>
        <w:spacing w:after="0" w:line="5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(Level 3)</w:t>
      </w:r>
    </w:p>
    <w:p>
      <w:pPr>
        <w:spacing w:after="0" w:line="67" w:lineRule="exact"/>
        <w:rPr>
          <w:sz w:val="20"/>
          <w:szCs w:val="20"/>
          <w:color w:val="auto"/>
        </w:rPr>
      </w:pPr>
    </w:p>
    <w:p>
      <w:pPr>
        <w:ind w:left="2140"/>
        <w:spacing w:after="0"/>
        <w:tabs>
          <w:tab w:leader="none" w:pos="7540" w:val="left"/>
          <w:tab w:leader="none" w:pos="8740" w:val="left"/>
        </w:tabs>
        <w:rPr>
          <w:sz w:val="20"/>
          <w:szCs w:val="20"/>
          <w:color w:val="auto"/>
        </w:rPr>
      </w:pPr>
      <w:r>
        <w:rPr>
          <w:rFonts w:ascii="Times New Roman" w:cs="Times New Roman" w:eastAsia="Times New Roman" w:hAnsi="Times New Roman"/>
          <w:sz w:val="18"/>
          <w:szCs w:val="18"/>
          <w:color w:val="auto"/>
        </w:rPr>
        <w:t>Clinical trial services segment goodwill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34290</wp:posOffset>
            </wp:positionV>
            <wp:extent cx="11322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51435</wp:posOffset>
            </wp:positionV>
            <wp:extent cx="11322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9"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accompanying condensed consolidated balance sheets consist of cash and cash equivalents, accounts receivable, escrow receivable, accounts payable and accrued expenses and short and long-term debt. The estimated fair value of accounts receivable, accounts payable and accrued expenses approximate their carrying amount due to the short-term nature of these instruments. As of December 31, 2012, the fair value of the Company’s term loan and revolver credit facility was calculated using discounted cash flow analysis and appropriate valuation methodologies using Level 2 inputs and available market information.</w:t>
      </w:r>
    </w:p>
    <w:p>
      <w:pPr>
        <w:spacing w:after="0" w:line="1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recorded the $3.75 million indemnity escrow funds related to the sale of its clinical trial services business as an escrow receivable (see </w:t>
      </w:r>
      <w:r>
        <w:rPr>
          <w:rFonts w:ascii="Times New Roman" w:cs="Times New Roman" w:eastAsia="Times New Roman" w:hAnsi="Times New Roman"/>
          <w:sz w:val="18"/>
          <w:szCs w:val="18"/>
          <w:i w:val="1"/>
          <w:iCs w:val="1"/>
          <w:color w:val="auto"/>
        </w:rPr>
        <w:t xml:space="preserve">Note 2-Discontinued Operations </w:t>
      </w:r>
      <w:r>
        <w:rPr>
          <w:rFonts w:ascii="Times New Roman" w:cs="Times New Roman" w:eastAsia="Times New Roman" w:hAnsi="Times New Roman"/>
          <w:sz w:val="18"/>
          <w:szCs w:val="18"/>
          <w:color w:val="auto"/>
        </w:rPr>
        <w:t>for more information), and will adjust the amount to the estimated fair value, each reporting period, based on any known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As of June 30, 2013, the fair value of the escrow receivable was calculated using Level 2 inputs and reflecting a discount for the time value of money.</w:t>
      </w:r>
    </w:p>
    <w:p>
      <w:pPr>
        <w:spacing w:after="0" w:line="18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carrying amounts and estimated fair values of the Company’s significant financial instruments that were not measured at fair value:</w:t>
      </w:r>
    </w:p>
    <w:p>
      <w:pPr>
        <w:spacing w:after="0" w:line="320"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June 30, 2013</w:t>
            </w:r>
          </w:p>
        </w:tc>
        <w:tc>
          <w:tcPr>
            <w:tcW w:w="200" w:type="dxa"/>
            <w:vAlign w:val="bottom"/>
          </w:tcPr>
          <w:p>
            <w:pPr>
              <w:spacing w:after="0"/>
              <w:rPr>
                <w:sz w:val="20"/>
                <w:szCs w:val="20"/>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2012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26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Fair</w:t>
            </w:r>
          </w:p>
        </w:tc>
        <w:tc>
          <w:tcPr>
            <w:tcW w:w="2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26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Value</w:t>
            </w:r>
          </w:p>
        </w:tc>
        <w:tc>
          <w:tcPr>
            <w:tcW w:w="2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5"/>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(amounts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Escrow Receivable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Term loan and revolver credit facility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invested its excess cash in highly rated overnight funds and other highly 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conditions and, generally, does not require collateral.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its customers. The Company’s contract terms typically require payment between 30 to 60 days from the date services are provided and are considered past due based on the particular negotiated contract terms. Overall, based on the large number of customers in differing geographic areas throughout the United States and its territories, the Company believes the concentration of credit risk is limited.</w:t>
      </w:r>
    </w:p>
    <w:p>
      <w:pPr>
        <w:spacing w:after="0" w:line="18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2013, the Company did not repurchase any shares of its common stock under its February 2008 Board authorization. During the six months ended June 30, 2012, the Company repurchased, under its February 2008 Board authorization, a total of 71,653 shares at an average price of $5.22. The cost of such purchases was approximately $0.4 million. All of the common stock was retired.</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June 30, 2013, the Company may purchase up to an additional 942,443 shares of common stock under the February 2008 Board authorization, subject to certain conditions in the Company's Credit Agreement. At June 30, 2013, the Company had approximately 31.1 million shares of common stock outstanding.</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Subject to certain conditions as described in its Loan Agreement entered into on January 9, 2013, the Company may repurchase up to an aggregate amount of $5.0 million of its Equity Interests (as defined in the Loan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Share-Based Payments</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2013, $0.6 million and $1.2 million, respectively, was included in selling, general and administrative expenses related to share-based payments. In addition, a net of 180,613 shares of common stock were issued upon vesting of restricted stock awards in the three and six months ended June 30, 2013.</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2012, $0.7 million and $1.4 million, respectively, was included in selling, general and administrative expenses related to share-based payments. In addition, a net of 161,944 shares of common stock were issued upon vesting of restricted stock awards in the three and six months ended June 30, 2012.</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2013, 309,009 shares of restricted stock at a weighted average price of $4.54 were granted to Directors and key employees of the Company. In addition, 292,500 stock appreciation rights were granted to key employees at a weighted average price of $5.21 and a weighted average valuation per share of $1.73. Similar to prior grants, the restricted stock vests 25% per year over a four year period on the anniversary date of the grant. The stock appreciation rights vest 25% per year over a four year period, expire after seven years and can only be settled with stock.</w:t>
      </w:r>
    </w:p>
    <w:p>
      <w:pPr>
        <w:spacing w:after="0" w:line="17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of the FASB ASC, the Company historically reported four business segments – nurse and allied staffing, clinical trial services, physician staffing, and other human capital management services. During the fourth quarter of 2012, the Company decided to divest its clinical trial services business segment. Their results of operations have been classified as discontinued operations for all periods presented. The remaining three business segments in continuing operations are described below:</w:t>
      </w:r>
    </w:p>
    <w:p>
      <w:pPr>
        <w:spacing w:after="0" w:line="180" w:lineRule="exact"/>
        <w:rPr>
          <w:sz w:val="20"/>
          <w:szCs w:val="20"/>
          <w:color w:val="auto"/>
        </w:rPr>
      </w:pPr>
    </w:p>
    <w:p>
      <w:pPr>
        <w:jc w:val="both"/>
        <w:ind w:left="660" w:right="440" w:hanging="328"/>
        <w:spacing w:after="0" w:line="290"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Nurse and allied staffing </w:t>
      </w:r>
      <w:r>
        <w:rPr>
          <w:rFonts w:ascii="Times New Roman" w:cs="Times New Roman" w:eastAsia="Times New Roman" w:hAnsi="Times New Roman"/>
          <w:sz w:val="17"/>
          <w:szCs w:val="17"/>
          <w:color w:val="auto"/>
        </w:rPr>
        <w:t>- The nurse and allied staffing business segment provides travel nurse and allied staffing services and per diem nurse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primarily to acute care hospitals. Nurse and allied staffing services are marketed to public and private and for-profit and not-for-profit healthcare facilities throughout the U.S. The Company aggregates the different brands that it markets to its customers in this business segment.</w:t>
      </w:r>
    </w:p>
    <w:p>
      <w:pPr>
        <w:spacing w:after="0" w:line="155" w:lineRule="exact"/>
        <w:rPr>
          <w:rFonts w:ascii="Times New Roman" w:cs="Times New Roman" w:eastAsia="Times New Roman" w:hAnsi="Times New Roman"/>
          <w:sz w:val="17"/>
          <w:szCs w:val="17"/>
          <w:color w:val="auto"/>
        </w:rPr>
      </w:pPr>
    </w:p>
    <w:p>
      <w:pPr>
        <w:ind w:left="660" w:right="220" w:hanging="328"/>
        <w:spacing w:after="0" w:line="28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The physician staffing business segment provides multi-specialty locum tenens services to the healthcare industry throughout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w:t>
      </w:r>
    </w:p>
    <w:p>
      <w:pPr>
        <w:spacing w:after="0" w:line="158"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human capital management services </w:t>
      </w:r>
      <w:r>
        <w:rPr>
          <w:rFonts w:ascii="Times New Roman" w:cs="Times New Roman" w:eastAsia="Times New Roman" w:hAnsi="Times New Roman"/>
          <w:sz w:val="18"/>
          <w:szCs w:val="18"/>
          <w:color w:val="auto"/>
        </w:rPr>
        <w:t>- The other human capital management services business segment includes the combined results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education and training and retained search businesses that both have operations within the U.S.</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management evaluates performance of each segment primarily based on revenue and contribution income. The Company’s management does not evaluate, manage or measure performance of segments using asset information; accordingly,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335" w:right="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loss from operations for the periods indicated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4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5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Pr>
          <w:p>
            <w:pPr>
              <w:spacing w:after="0"/>
              <w:rPr>
                <w:sz w:val="23"/>
                <w:szCs w:val="23"/>
                <w:color w:val="auto"/>
              </w:rPr>
            </w:pPr>
          </w:p>
        </w:tc>
      </w:tr>
      <w:tr>
        <w:trPr>
          <w:trHeight w:val="27"/>
        </w:trPr>
        <w:tc>
          <w:tcPr>
            <w:tcW w:w="5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2012 (a)</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2012 (a)</w:t>
            </w:r>
          </w:p>
        </w:tc>
      </w:tr>
      <w:tr>
        <w:trPr>
          <w:trHeight w:val="27"/>
        </w:trPr>
        <w:tc>
          <w:tcPr>
            <w:tcW w:w="5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auto"/>
              </w:rPr>
              <w:t>(amounts 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67,617</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140,288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137,154</w:t>
            </w:r>
          </w:p>
        </w:tc>
      </w:tr>
      <w:tr>
        <w:trPr>
          <w:trHeight w:val="27"/>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Physician staffing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30,939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60,198</w:t>
            </w:r>
          </w:p>
        </w:tc>
      </w:tr>
      <w:tr>
        <w:trPr>
          <w:trHeight w:val="24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10,291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21,295</w:t>
            </w: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108,847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221,084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218,647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income (b):</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Nurse and allied staffing (c)</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5,260</w:t>
            </w:r>
          </w:p>
        </w:tc>
      </w:tr>
      <w:tr>
        <w:trPr>
          <w:trHeight w:val="27"/>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Physicians staffing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5,084</w:t>
            </w:r>
          </w:p>
        </w:tc>
      </w:tr>
      <w:tr>
        <w:trPr>
          <w:trHeight w:val="24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1,385</w:t>
            </w: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4,753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11,729</w:t>
            </w:r>
          </w:p>
        </w:tc>
      </w:tr>
      <w:tr>
        <w:trPr>
          <w:trHeight w:val="297"/>
        </w:trPr>
        <w:tc>
          <w:tcPr>
            <w:tcW w:w="5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Unallocated Corporate overhead (c)</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5,470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11,396</w:t>
            </w:r>
          </w:p>
        </w:tc>
      </w:tr>
      <w:tr>
        <w:trPr>
          <w:trHeight w:val="24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2,763</w:t>
            </w:r>
          </w:p>
        </w:tc>
      </w:tr>
      <w:tr>
        <w:trPr>
          <w:trHeight w:val="27"/>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w:t>
            </w:r>
          </w:p>
        </w:tc>
      </w:tr>
      <w:tr>
        <w:trPr>
          <w:trHeight w:val="24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charge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18,732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18,732</w:t>
            </w: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w:t>
            </w:r>
          </w:p>
        </w:tc>
      </w:tr>
      <w:tr>
        <w:trPr>
          <w:trHeight w:val="20"/>
        </w:trPr>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660" w:right="72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periods have been restated to conform to the 2013 presentation of the Company’s former clinical trial services business segment from continuing operations to discontinued operations.</w:t>
      </w:r>
    </w:p>
    <w:p>
      <w:pPr>
        <w:spacing w:after="0" w:line="161" w:lineRule="exact"/>
        <w:rPr>
          <w:rFonts w:ascii="Times New Roman" w:cs="Times New Roman" w:eastAsia="Times New Roman" w:hAnsi="Times New Roman"/>
          <w:sz w:val="18"/>
          <w:szCs w:val="18"/>
          <w:color w:val="auto"/>
        </w:rPr>
      </w:pPr>
    </w:p>
    <w:p>
      <w:pPr>
        <w:ind w:left="660" w:right="100" w:hanging="652"/>
        <w:spacing w:after="0" w:line="289"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defines contribution income as income or loss from operations before depreciation, amortization, restructuring costs, legal settlement charges, impairment charges and corporate expenses not specifically identified to a reporting segment. Contribution income is a financial measure used by management when assessing segment performance and is provided in accordance with the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Topic of the FASB ASC.</w:t>
      </w:r>
    </w:p>
    <w:p>
      <w:pPr>
        <w:spacing w:after="0" w:line="104" w:lineRule="exact"/>
        <w:rPr>
          <w:rFonts w:ascii="Times New Roman" w:cs="Times New Roman" w:eastAsia="Times New Roman" w:hAnsi="Times New Roman"/>
          <w:sz w:val="17"/>
          <w:szCs w:val="17"/>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the Company refined its methodology for allocating certain corporate overhead expenses to its nurse and allied staffing segment expenses to more accurately reflect this segment’s profitability. Prior year information has been reclassified to conform to current year presentation.</w:t>
      </w:r>
    </w:p>
    <w:p>
      <w:pPr>
        <w:spacing w:after="0" w:line="158"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4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July 2013, the Company entered into an agreement to lease 41,607 square feet of space in Peachtree Corners, Georgia for its physician staffing business. The commitment is for ten years, eight months, subject to adjustment and earlier termination as provided in the lease, and totals approximately $4.2 million, excluding operating costs. The lease also contains certain lease incentives including a tenant improvement allowance of up to $1.5 million, or which any excess may be used for moving expenses. The commencement of the lease is expected to be in the first quarter of 2014.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Contingencies</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late 2012, Alice Ogues, a former employee of Travel Staff, LLC (then CC Staffing, Inc.) commenced a putative wage and hour class action against the Company. The case is pending in the United States District Court for the Northern District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1" w:right="259" w:bottom="1440" w:gutter="0" w:footer="0" w:header="0"/>
        </w:sectPr>
      </w:pPr>
    </w:p>
    <w:bookmarkStart w:id="16" w:name="page17"/>
    <w:bookmarkEnd w:id="16"/>
    <w:p>
      <w:pPr>
        <w:spacing w:after="0" w:line="255" w:lineRule="auto"/>
        <w:rPr>
          <w:sz w:val="20"/>
          <w:szCs w:val="20"/>
          <w:color w:val="auto"/>
        </w:rPr>
      </w:pPr>
      <w:r>
        <w:rPr>
          <w:rFonts w:ascii="Times New Roman" w:cs="Times New Roman" w:eastAsia="Times New Roman" w:hAnsi="Times New Roman"/>
          <w:sz w:val="18"/>
          <w:szCs w:val="18"/>
          <w:color w:val="auto"/>
        </w:rPr>
        <w:t>California, under the caption Ogues v. CC Staffing, Inc., Case No. 12-cv-6135-JCS. The Plaintiff seeks to represent a class of all individuals employed by the company as non-exempt workers from December 4, 2008 to the present and alleges that Travel Staff: (1) failed to provide meal periods; (2) failed to provide rest breaks; (3) failed to pay minimum and overtime wages; (4) failed to timely pay wages during employment; (5) made unlawful deductions from wages; (6) failed to provide accurate itemized wage statements; (7) waiting time penalties; and (8) unfair competition. In June 2013, the parties reached a settlement in principle for $750,000, and are negotiating the terms of an agreement. Preliminary and final approval hearing dates have not yet been set by the court. Accordingly, during the second quarter of 2013, the Company accrued a reserve for this claim which is included in other current liabilities and legal settlement charge on its condensed consolidated balance sheets and statements of operations, respectively.</w:t>
      </w:r>
    </w:p>
    <w:p>
      <w:pPr>
        <w:spacing w:after="0" w:line="18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On September 8, 2010, the Company's subsidiary, Cross Country TravCorps, Inc. became the subject of an indemnity lawsuit (New Hanover Regional Medical Center vs. Cross Country TravCorps, Inc., d/b/a Cross Country Staffing, and Christina Lynn White) filed in the New Hanover County Civil Superior Court, State of North Carolina. Plaintiff alleged that a former employee of Cross Country TravCorps was negligent in caring for a patient which resulted in the death of that patient. New Hanover Regional Medical Center settled the claim pre-suit and subsequently brought an indemnity claim against the former nurse and Cross Country TravCorps for the actions of the nurse pursuant to the Staffing Agreement between Cross Country TravCorps and the hospital.</w:t>
      </w:r>
    </w:p>
    <w:p>
      <w:pPr>
        <w:spacing w:after="0" w:line="16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April 19, 2013, an arbitration panel found the former nurse negligently caused the death of the patient and that New Hanover Regional Medical Center had no active negligence contributing to that death. Furthermore, the arbitration panel found that the facility was entitled to recover compensatory damages from the former nurse and Cross Country Staffing in the amount of approximately $2.0 million, plus pre-judgment interest (from September 8, 2010) at 8% per year. In addition, New Hanover Regional Medical Center was entitled to recover from Cross Country prejudgment interest on the compensatory damages from March 31, 2008 through September 7, 2010 at the rate of 8% per year and approximately $41,000 in attorneys' fees. The panel also found that, but for the negligence of the former nurse, Cross Country would have no liability to New Hanover Regional Medical Center; therefore, as a matter of equity Cross Country was entitled to recover indemnity from the former nurse to the full extent Cross Country actually paid New Hanover Regional Medical Center any portion of the award (other than the prejudgment interest from March 31, 2008 through September 7, 2010 and the approximately $41,000 in attorneys' fees). The former nurse had insurance coverage for this claim with $2.0 million (individual)/$4.0 million (aggregate) limits and no deductible. In addition, the Company has excess coverage that was expected to cover the amount of loss over $2.0 million.</w:t>
      </w:r>
    </w:p>
    <w:p>
      <w:pPr>
        <w:spacing w:after="0" w:line="200" w:lineRule="exact"/>
        <w:rPr>
          <w:sz w:val="20"/>
          <w:szCs w:val="20"/>
          <w:color w:val="auto"/>
        </w:rPr>
      </w:pPr>
    </w:p>
    <w:p>
      <w:pPr>
        <w:spacing w:after="0" w:line="21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second quarter of 2013, the former nurse's insurance carrier paid New Hanover Regional Medical Center $2,000,000 and Cross Country made an indemnity payment to the facility in the amount of $920,450. Cross Country has been reimbursed $883,450 from its excess carrier and anticipates full reimbursement of any remaining costs.</w:t>
      </w:r>
    </w:p>
    <w:p>
      <w:pPr>
        <w:spacing w:after="0" w:line="19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In the opinion of management, the outcome of these other matters will not have a significant effect on the Company's consolidated financial position or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&amp; Other State Non-income Tax Liabilities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2013, the Company accrued $0.1 million for additional estimates for current year activity. During the three and six months ended June 30, 2012, based on revised estimates of probable settlement, an expected state non-income tax audit assessment, and additional estimates for current year activity, the Company accrued an additional pretax liability related to these non-income tax matters of approximately $0.5 million primarily related to the 2005-2011 tax years. The expense is included in selling, general and administrative expenses on its condensed consolidated statements of operations and the liability is reflected in other current liabilities as of December 31, 2012 and June 30, 2013, on its condensed consolidated balance sheets. The Company is working with professional tax advisors and state authorities to resolve these matters.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income tax provision and the corresponding annual effective tax rate are based on expected income, statutory tax rates and tax planning opportunities available in the various jurisdictions in which the Company operates. For interim financial reporting, except in circumstances as described in the following paragraph, the Company estimates the annual effective tax rate based on projected taxable income for the full year and records a quarterly tax provision in accordance with the expected annual effective tax rate. As the year progresses, the Company refines the estimates of the year's taxable income as new information becomes available, including year-to-date financial results. This continual estimation process often results in a change to the Company's expected annual effective tax rate for the year. When this occurs, the Company adjusts the income tax provision during the quarter in which the change in estimate occurs so that the year-to-date income tax provision reflects the expected annual effective tax rate. Significant judgment is required in determining our annual effective tax rate and in evaluating our tax positions.</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When projected taxable income for the full year is close to break-even, the expected annual effective tax rate becomes volatile and will distort the income tax provision for an interim period. When this happens the Company calculates the income tax provision or benefit using the year-to-date effective tax rate in accordance with the Income Taxes Topic of the ASC (ASC 740, paragraphs 270-30-18). This cut-off method results in an income tax provision or benefit based solely on the year-to-date pretax income or loss as adjusted for permanent differences on a pro rata basis.</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For the period ended June 30, 2013 the Company has calculated its effective tax rate based on year-to-date results (under ASC 740-280-30-18) as opposed to estimating its annual effective tax rate. Company’s effective tax rate for continuing operations for the three and six months ended June 30, 2013 was 15.2% and 21.4%, respectively, including the impact of discrete items. The effective tax rate is lower than the statutory rates primarily due to the impact of the non-deductibility of certain per diem expenses, state taxes and foreign taxes offsetting the tax benefit arising from the loss from continuing operations.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Unrecognized tax benefits are included in other current liabilities and other long term liabilities on the Company's condensed consolidated balance sheets. In accordance with the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of the FASB ASC, a reconciliation of the beginning and ending amounts of unrecognized tax benefits, including estimated interest and penalties,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6080" w:type="dxa"/>
            <w:vAlign w:val="bottom"/>
            <w:gridSpan w:val="2"/>
          </w:tcPr>
          <w:p>
            <w:pPr>
              <w:jc w:val="right"/>
              <w:ind w:right="3650"/>
              <w:spacing w:after="0"/>
              <w:rPr>
                <w:sz w:val="20"/>
                <w:szCs w:val="20"/>
                <w:color w:val="auto"/>
              </w:rPr>
            </w:pPr>
            <w:r>
              <w:rPr>
                <w:rFonts w:ascii="Times New Roman" w:cs="Times New Roman" w:eastAsia="Times New Roman" w:hAnsi="Times New Roman"/>
                <w:sz w:val="18"/>
                <w:szCs w:val="18"/>
                <w:b w:val="1"/>
                <w:bCs w:val="1"/>
                <w:color w:val="auto"/>
              </w:rPr>
              <w:t>Unrecognized Tax Benefits</w:t>
            </w:r>
          </w:p>
        </w:tc>
        <w:tc>
          <w:tcPr>
            <w:tcW w:w="940" w:type="dxa"/>
            <w:vAlign w:val="bottom"/>
          </w:tcPr>
          <w:p>
            <w:pPr>
              <w:spacing w:after="0"/>
              <w:rPr>
                <w:sz w:val="19"/>
                <w:szCs w:val="19"/>
                <w:color w:val="auto"/>
              </w:rPr>
            </w:pPr>
          </w:p>
        </w:tc>
      </w:tr>
      <w:tr>
        <w:trPr>
          <w:trHeight w:val="210"/>
        </w:trPr>
        <w:tc>
          <w:tcPr>
            <w:tcW w:w="4400" w:type="dxa"/>
            <w:vAlign w:val="bottom"/>
          </w:tcPr>
          <w:p>
            <w:pPr>
              <w:spacing w:after="0"/>
              <w:rPr>
                <w:sz w:val="18"/>
                <w:szCs w:val="18"/>
                <w:color w:val="auto"/>
              </w:rPr>
            </w:pPr>
          </w:p>
        </w:tc>
        <w:tc>
          <w:tcPr>
            <w:tcW w:w="6080" w:type="dxa"/>
            <w:vAlign w:val="bottom"/>
            <w:gridSpan w:val="2"/>
          </w:tcPr>
          <w:p>
            <w:pPr>
              <w:jc w:val="right"/>
              <w:ind w:right="3910"/>
              <w:spacing w:after="0"/>
              <w:rPr>
                <w:sz w:val="20"/>
                <w:szCs w:val="20"/>
                <w:color w:val="auto"/>
              </w:rPr>
            </w:pPr>
            <w:r>
              <w:rPr>
                <w:rFonts w:ascii="Times New Roman" w:cs="Times New Roman" w:eastAsia="Times New Roman" w:hAnsi="Times New Roman"/>
                <w:sz w:val="16"/>
                <w:szCs w:val="16"/>
                <w:color w:val="auto"/>
              </w:rPr>
              <w:t>(amounts in thousands)</w:t>
            </w:r>
          </w:p>
        </w:tc>
        <w:tc>
          <w:tcPr>
            <w:tcW w:w="940" w:type="dxa"/>
            <w:vAlign w:val="bottom"/>
          </w:tcPr>
          <w:p>
            <w:pPr>
              <w:spacing w:after="0"/>
              <w:rPr>
                <w:sz w:val="18"/>
                <w:szCs w:val="18"/>
                <w:color w:val="auto"/>
              </w:rPr>
            </w:pPr>
          </w:p>
        </w:tc>
      </w:tr>
      <w:tr>
        <w:trPr>
          <w:trHeight w:val="371"/>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January 1, 2013</w:t>
            </w:r>
          </w:p>
        </w:tc>
        <w:tc>
          <w:tcPr>
            <w:tcW w:w="60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5,203</w:t>
            </w:r>
          </w:p>
        </w:tc>
      </w:tr>
      <w:tr>
        <w:trPr>
          <w:trHeight w:val="27"/>
        </w:trPr>
        <w:tc>
          <w:tcPr>
            <w:tcW w:w="44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based on tax provisions related to prior years</w:t>
            </w:r>
          </w:p>
        </w:tc>
        <w:tc>
          <w:tcPr>
            <w:tcW w:w="5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based on tax provisions related to current year</w:t>
            </w:r>
          </w:p>
        </w:tc>
        <w:tc>
          <w:tcPr>
            <w:tcW w:w="5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r>
      <w:tr>
        <w:trPr>
          <w:trHeight w:val="27"/>
        </w:trPr>
        <w:tc>
          <w:tcPr>
            <w:tcW w:w="44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of tax provisions related to prior year</w:t>
            </w:r>
          </w:p>
        </w:tc>
        <w:tc>
          <w:tcPr>
            <w:tcW w:w="55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57"/>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June 30, 2013</w:t>
            </w:r>
          </w:p>
        </w:tc>
        <w:tc>
          <w:tcPr>
            <w:tcW w:w="554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5,286</w:t>
            </w:r>
          </w:p>
        </w:tc>
      </w:tr>
      <w:tr>
        <w:trPr>
          <w:trHeight w:val="20"/>
        </w:trPr>
        <w:tc>
          <w:tcPr>
            <w:tcW w:w="44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June 30, 2013, the Company had approximately $4.8 million of unrecognized tax benefits, net of deferred taxes, which would affect the effective tax rate if recognized. During the six months ended June 30, 2013, the Company had gross increases of $0.3 million to its current year unrecognized tax benefits related to federal and state tax issues. In addition, the Company had gross decreases of $0.2 million to its unrecognized benefits related to settlements.</w:t>
      </w:r>
    </w:p>
    <w:p>
      <w:pPr>
        <w:spacing w:after="0" w:line="176"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The Company had accrued approximately $0.9 million for the payment of interest and penalties at both June 30, 2013 and December 31, 2012.</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tax years 2004, 2005 and 2008 through 2011 remain open to examination by the major taxing jurisdictions in which the Company is subject to tax, with the exception of certain states in which the statute of limitations has been extended. In mid-July of 2013, the Company received a notice of proposed audit adjustments from the State of New York relating to the examination of its tax years ending December 31, 2006 through 2009. The Company is reviewing the proposed adjustments but is not currently able to make a reasonable estimate of a possible loss or range of losses.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33" w:right="239" w:bottom="1440" w:gutter="0" w:footer="0" w:header="0"/>
        </w:sectPr>
      </w:pPr>
    </w:p>
    <w:bookmarkStart w:id="18" w:name="page19"/>
    <w:bookmarkEnd w:id="18"/>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COST REDUCTION PLAN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second quarter of 2013, the Company initiated a restructuring plan to reduce operating costs. As of June 30, 2013, the Company has incurred approximately $0.4 million primarily related to senior management employee severance pay. These costs are included as restructuring costs in the condensed consolidated statements of operations.</w:t>
      </w:r>
    </w:p>
    <w:p>
      <w:pPr>
        <w:spacing w:after="0" w:line="172"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July 2013, the FASB issued Accounting Standards Update 2013-11, </w:t>
      </w:r>
      <w:r>
        <w:rPr>
          <w:rFonts w:ascii="Times New Roman" w:cs="Times New Roman" w:eastAsia="Times New Roman" w:hAnsi="Times New Roman"/>
          <w:sz w:val="18"/>
          <w:szCs w:val="18"/>
          <w:i w:val="1"/>
          <w:iCs w:val="1"/>
          <w:color w:val="auto"/>
        </w:rPr>
        <w:t>Income Taxes - Presentation of an Unrecognized Tax Benefit When a Net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 Carry forward, a Similar Tax Loss, or a Tax Credit Carry forwards Exists </w:t>
      </w:r>
      <w:r>
        <w:rPr>
          <w:rFonts w:ascii="Times New Roman" w:cs="Times New Roman" w:eastAsia="Times New Roman" w:hAnsi="Times New Roman"/>
          <w:sz w:val="18"/>
          <w:szCs w:val="18"/>
          <w:color w:val="auto"/>
        </w:rPr>
        <w:t>(ASU 2013-11). ASU 2013-11 requires entities to present the unrecognized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in the financial statements as a liability and not combine it with deferred tax assets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assessment of whether a deferred tax asset is available is based on the unrecognized tax benefit and deferred tax asset that exist at the reporting date and should be made presuming disallowance of the tax position at the reporting date. ASU 2013-11 is effective for annual and interim periods for fiscal years beginning on or after December 15, 2013. The Company is currently evaluating its impact on the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76" w:right="239" w:bottom="1440" w:gutter="0" w:footer="0" w:header="0"/>
        </w:sectPr>
      </w:pPr>
    </w:p>
    <w:bookmarkStart w:id="19" w:name="page20"/>
    <w:bookmarkEnd w:id="1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present a consolidation of all its operations.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filed for the year ended December 31, 2012, and is intended to assist the reader in understanding the financial results and condition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a diversified leader in healthcare staffing services offering an extensive suite of staffing and outsourcing services to the healthcare market. We report our financial results according to three business segments: (1) nurse and allied staffing, (2) physician staffing, and (3) other human capital management services. We believe we are one of the top two providers of nurse and allied staffing services; one of the top four providers of temporary physician staffing (locum tenens) services; and one of the top four providers of retained physician and healthcare executive search services. We are also a leading provider of education and training programs specifically for the healthcare marketplace.</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 diversified revenue mix across business sectors and healthcare customers. For the quarter ended June 30, 2013, our nurse and allied staffing business segment represented approximately 61.0% of our revenue and is comprised of travel and per diem nurse staffing, and allied health staffing. Travel nurse staffing represented approximately 46% of our total revenue and 76% of our nurse and allied staffing business segment revenue. Other nurse and allied staffing services include the placement of allied healthcare professionals, such as rehabilitation therapists, radiology technicians, nurse practitioners and respiratory therapists. Our physician staffing business segment represented approximately 29.7% of our second quarter 2013 revenue and consists of temporary physician staffing services (locum tenens). Our other human capital management services business segment represented approximately 9.3% of our revenue and consists of education and training and retained search services.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quarter ended June 30, 2013, our revenue was $110.8 million, and we had a loss from continuing operations of $1.4 million, or $0.05 per diluted share which included legal settlement and restructuring charges of approximately $1.1 million ($0.7 million after tax) or $0.02 per diluted share. Cash flow from operations for the six months ended was $4.4 million. We used a portion of the net proceeds from the sale of our clinical trial services business to repay all $29.3 million of our then outstanding debt. We ended the second quarter of 2013 with $25.9 million of cash and cash equivalents and total debt of $0.4 million primarily related to capital lease obligations.</w:t>
      </w:r>
    </w:p>
    <w:p>
      <w:pPr>
        <w:spacing w:after="0" w:line="18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general, we evaluate our financial condition and operating results by revenue, contribution income (see Segment Information), and net income (loss). We also use measurement of our cash flow generation and operating and leverage ratios to help us assess our financial condition. In addition, we monitor several key volume and profitability indicators such as number of open orders, contract bookings, number of FTEs, days filled and price.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Nurse and Allied Staffing</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Overall demand in the second quarter has pulled-back from higher levels seen early in the first quarter following the end of a very strong flu season. A lull in electronic medical record (EMR) technology implementations, and the normal seasonality of this business also contributed to a decline in demand. However, contribution income margins improved in the second quarter as a result of: 1) an increase in bill rates which are up 3% year over year; 2) an increase in bill/pay spread; and 3) a reduction in housing costs.</w:t>
      </w:r>
    </w:p>
    <w:p>
      <w:pPr>
        <w:spacing w:after="0" w:line="180"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While we experienced a decline in demand for our nurse and allied staffing services from the first quarter, since April demand has stabilized. Demand was generally soft due to lower hospital admissions. EMR positions were also down in the second quarter but we expect to see an increase in demand for EMR toward the end of the third quarter and into the fourth quarter and are beginning to see those orders come in July. We also expect to generate demand from several new MSP awards that are currently being implemented.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Physician Staffing</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physician staffing business had a strong quarter with revenue up 7% year-over-year and 17% sequentially. Growth was up across most specialties but was particularly strong in primary care, anesthesiology and emergency medicine.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008" w:right="239" w:bottom="1440" w:gutter="0" w:footer="0" w:header="0"/>
        </w:sectPr>
      </w:pPr>
    </w:p>
    <w:bookmarkStart w:id="20" w:name="page21"/>
    <w:bookmarkEnd w:id="20"/>
    <w:p>
      <w:pPr>
        <w:ind w:right="40"/>
        <w:spacing w:after="0" w:line="258" w:lineRule="auto"/>
        <w:rPr>
          <w:sz w:val="20"/>
          <w:szCs w:val="20"/>
          <w:color w:val="auto"/>
        </w:rPr>
      </w:pPr>
      <w:r>
        <w:rPr>
          <w:rFonts w:ascii="Times New Roman" w:cs="Times New Roman" w:eastAsia="Times New Roman" w:hAnsi="Times New Roman"/>
          <w:sz w:val="18"/>
          <w:szCs w:val="18"/>
          <w:color w:val="auto"/>
        </w:rPr>
        <w:t>We continue to believe this business will grow revenue in 2013, but have limited visibility given the shorter term nature of contract placements in comparison to our nursing business. We believe the future outlook for the physician staffing industry is positive as demand for physicians is projected to increase due to the demographics of a growing and aging population along with healthcare reform that is expected to increase utilization of our services. The needs will be particularly strong in the primary care specialties due to recent decreases in medical school graduates entering the primary care field. We believe our physician staffing services business is well positioned to respond to the current and future needs of its healthcare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condensed consolidated statements of operations data expressed as a percentage of revenue: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26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70"/>
        </w:trPr>
        <w:tc>
          <w:tcPr>
            <w:tcW w:w="5660" w:type="dxa"/>
            <w:vAlign w:val="bottom"/>
          </w:tcPr>
          <w:p>
            <w:pPr>
              <w:spacing w:after="0"/>
              <w:rPr>
                <w:sz w:val="23"/>
                <w:szCs w:val="23"/>
                <w:color w:val="auto"/>
              </w:rPr>
            </w:pPr>
          </w:p>
        </w:tc>
        <w:tc>
          <w:tcPr>
            <w:tcW w:w="16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Pr>
          <w:p>
            <w:pPr>
              <w:spacing w:after="0"/>
              <w:rPr>
                <w:sz w:val="23"/>
                <w:szCs w:val="23"/>
                <w:color w:val="auto"/>
              </w:rPr>
            </w:pPr>
          </w:p>
        </w:tc>
      </w:tr>
      <w:tr>
        <w:trPr>
          <w:trHeight w:val="27"/>
        </w:trPr>
        <w:tc>
          <w:tcPr>
            <w:tcW w:w="5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5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5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74.3</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5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Bad debt expense</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costs</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settlement charge</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charge</w:t>
            </w:r>
          </w:p>
        </w:tc>
        <w:tc>
          <w:tcPr>
            <w:tcW w:w="16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8.6</w:t>
            </w:r>
          </w:p>
        </w:tc>
      </w:tr>
      <w:tr>
        <w:trPr>
          <w:trHeight w:val="237"/>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20"/>
                <w:szCs w:val="20"/>
                <w:color w:val="auto"/>
              </w:rPr>
            </w:pP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5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5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1"/>
                <w:szCs w:val="21"/>
                <w:color w:val="auto"/>
              </w:rPr>
            </w:pPr>
          </w:p>
        </w:tc>
        <w:tc>
          <w:tcPr>
            <w:tcW w:w="16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5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5"/>
        </w:trPr>
        <w:tc>
          <w:tcPr>
            <w:tcW w:w="566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41"/>
        </w:trPr>
        <w:tc>
          <w:tcPr>
            <w:tcW w:w="5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before income taxes</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5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r>
      <w:tr>
        <w:trPr>
          <w:trHeight w:val="225"/>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income taxes</w:t>
            </w:r>
          </w:p>
        </w:tc>
        <w:tc>
          <w:tcPr>
            <w:tcW w:w="16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5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February 15, 2013, we completed the sale of our clinical trial services business to ICON Clinical Research, Inc. and ICON Clinical Research UK Limited (the “Buyer”) for an aggregate $52.0 million in cash, subject to certain adjustments. The agreement included a provision for an earn-out of up to $3.75 million related to certain performance-based milestones. The maximum earn-out amount of $3.75 million was deposited in escrow by Buyer as security for the earn-out payment, if any. The $3.75 million earn-out related to certain performance-based milestones has been treated as contingent consideration and we assigned no value to this earn-out as of June 30, 2013 based on recent information available to us including a revised revenue forecast for the Arena Contract (as defined in the agreement). In addition, the FTE earn-out (as defined in the agreement) was not earned, and as a result $1.5 million of the original escrow was released to the Buyer in the second quarter of 2013, leaving a balance of $2.25 million as of June 30, 2013. (see </w:t>
      </w:r>
      <w:r>
        <w:rPr>
          <w:rFonts w:ascii="Times New Roman" w:cs="Times New Roman" w:eastAsia="Times New Roman" w:hAnsi="Times New Roman"/>
          <w:sz w:val="18"/>
          <w:szCs w:val="18"/>
          <w:i w:val="1"/>
          <w:iCs w:val="1"/>
          <w:color w:val="auto"/>
        </w:rPr>
        <w:t>Note 7 – Fair Value Measurements</w:t>
      </w:r>
      <w:r>
        <w:rPr>
          <w:rFonts w:ascii="Times New Roman" w:cs="Times New Roman" w:eastAsia="Times New Roman" w:hAnsi="Times New Roman"/>
          <w:sz w:val="18"/>
          <w:szCs w:val="18"/>
          <w:color w:val="auto"/>
        </w:rPr>
        <w:t>, to our condensed consolidated financial statements for more information).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$52.0 million purchase price, paid at closing, $3.75 million was also placed in escrow for a period of 18 months following the closing to provide partial security to the Buyer in the event of any breach of the representations, warranties and covenants of the Company. We recorded the $3.75 million indemnity escrow funds as an escrow receivable, and will adjust the amount, each reporting period, based on any known information that may arise that would be reasonable and estimable.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96" w:right="2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We have agreed to provide certain transitional services to the Buyer for a period of up to 6 months, subject to extension in certain circumstances (including our prior written consent).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sale was a result of an extensive review of our business and the changing competitive landscape in the pharmaceutical outsourcing industry. This segment consisted of service offerings that include traditional contract staffing and functional outsourcing, as well as drug safety monitoring and regulatory services to pharmaceutical and biotechnology customers. As of June 30, 2013, our clinical trial services segment has been classified as discontinued operations and its results of operations have been classified for all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right="60"/>
        <w:spacing w:after="0" w:line="313" w:lineRule="auto"/>
        <w:rPr>
          <w:sz w:val="20"/>
          <w:szCs w:val="20"/>
          <w:color w:val="auto"/>
        </w:rPr>
      </w:pPr>
      <w:r>
        <w:rPr>
          <w:rFonts w:ascii="Times New Roman" w:cs="Times New Roman" w:eastAsia="Times New Roman" w:hAnsi="Times New Roman"/>
          <w:sz w:val="17"/>
          <w:szCs w:val="17"/>
          <w:color w:val="auto"/>
        </w:rPr>
        <w:t>In September 2008, we consummated the acquisition of substantially all of the assets of privately-held MDA Holdings, Inc. and its subsidiaries and all of the outstanding stock of a subsidiary of MDA Holdings, Inc. (collectively, MDA). As of June 30, 2013, an indemnification escrow account of $3.6 million exists.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Trademarks and Other Identifiable Intangible Assets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Goodwill, trademarks and other intangible assets represented 59.0% of our stockholders’ equity as of June 30, 2013. Goodwill, trademarks and other identifiable intangible assets from acquisitions were $62.7 million, $48.7 million and $13.4 million, respectively, net of accumulated amortization, at June 30, 2013. In accordance with the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Topic of the FASB ASC, goodwill and certain other identifiable intangible assets are not subject to amortization; instead, we review impairment annually at year-end, or whenever events or changes in circumstances indicate the carrying amount may not be recoverable.</w:t>
      </w:r>
    </w:p>
    <w:p>
      <w:pPr>
        <w:spacing w:after="0" w:line="18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Other identifiable intangible assets, which are subject to amortization, are being amortized using the straight-line method over their estimated useful lives ranging from 5 to 15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of the FASB ASC, we historically reported four business segments – nurse and allied staffing, clinical trial services, physician staffing, and other human capital management services. During the fourth quarter of 2012, we decided to divest our clinical trial services business segment. Their results of operations have been classified as discontinued operations for periods presented. See </w:t>
      </w:r>
      <w:r>
        <w:rPr>
          <w:rFonts w:ascii="Times New Roman" w:cs="Times New Roman" w:eastAsia="Times New Roman" w:hAnsi="Times New Roman"/>
          <w:sz w:val="18"/>
          <w:szCs w:val="18"/>
          <w:i w:val="1"/>
          <w:iCs w:val="1"/>
          <w:color w:val="auto"/>
        </w:rPr>
        <w:t>Note 2- Discontinued Operations</w:t>
      </w:r>
      <w:r>
        <w:rPr>
          <w:rFonts w:ascii="Times New Roman" w:cs="Times New Roman" w:eastAsia="Times New Roman" w:hAnsi="Times New Roman"/>
          <w:sz w:val="18"/>
          <w:szCs w:val="18"/>
          <w:color w:val="auto"/>
        </w:rPr>
        <w:t>. The remaining three business segments in continuing operations are described below:</w:t>
      </w:r>
    </w:p>
    <w:p>
      <w:pPr>
        <w:spacing w:after="0" w:line="180" w:lineRule="exact"/>
        <w:rPr>
          <w:sz w:val="20"/>
          <w:szCs w:val="20"/>
          <w:color w:val="auto"/>
        </w:rPr>
      </w:pPr>
    </w:p>
    <w:p>
      <w:pPr>
        <w:ind w:left="660" w:right="320" w:hanging="328"/>
        <w:spacing w:after="0" w:line="267"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Nurse and allied staffing - </w:t>
      </w:r>
      <w:r>
        <w:rPr>
          <w:rFonts w:ascii="Times New Roman" w:cs="Times New Roman" w:eastAsia="Times New Roman" w:hAnsi="Times New Roman"/>
          <w:sz w:val="18"/>
          <w:szCs w:val="18"/>
          <w:color w:val="auto"/>
        </w:rPr>
        <w:t>The nurse and allied staffing business segment provides travel nurse and allied staffing services and per diem nurse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staffing services primarily to acute care hospitals. Nurse and allied staffing services are marketed to public and private and for-profit and not-for-profit healthcare facilities throughout the U.S.</w:t>
      </w:r>
    </w:p>
    <w:p>
      <w:pPr>
        <w:spacing w:after="0" w:line="17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Physician staffing - </w:t>
      </w:r>
      <w:r>
        <w:rPr>
          <w:rFonts w:ascii="Times New Roman" w:cs="Times New Roman" w:eastAsia="Times New Roman" w:hAnsi="Times New Roman"/>
          <w:sz w:val="18"/>
          <w:szCs w:val="18"/>
          <w:color w:val="auto"/>
        </w:rPr>
        <w:t>The physician staffing business segment provides multi-specialty locum tenens to the healthcare industry throughout the U.S.</w:t>
      </w:r>
    </w:p>
    <w:p>
      <w:pPr>
        <w:spacing w:after="0" w:line="225" w:lineRule="exact"/>
        <w:rPr>
          <w:rFonts w:ascii="Times New Roman" w:cs="Times New Roman" w:eastAsia="Times New Roman" w:hAnsi="Times New Roman"/>
          <w:sz w:val="18"/>
          <w:szCs w:val="18"/>
          <w:b w:val="1"/>
          <w:bCs w:val="1"/>
          <w:color w:val="auto"/>
        </w:rPr>
      </w:pPr>
    </w:p>
    <w:p>
      <w:pPr>
        <w:ind w:left="660" w:right="220" w:hanging="328"/>
        <w:spacing w:after="0" w:line="284"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Other human capital management services - </w:t>
      </w:r>
      <w:r>
        <w:rPr>
          <w:rFonts w:ascii="Times New Roman" w:cs="Times New Roman" w:eastAsia="Times New Roman" w:hAnsi="Times New Roman"/>
          <w:sz w:val="18"/>
          <w:szCs w:val="18"/>
          <w:color w:val="auto"/>
        </w:rPr>
        <w:t>The other human capital management services business segment includes the combined results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education and training and retained search businesses that both have operations within the U.S.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loss from operations for the periods indicated are as follows:</w:t>
      </w:r>
    </w:p>
    <w:p>
      <w:pPr>
        <w:spacing w:after="0" w:line="383"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0"/>
                <w:szCs w:val="20"/>
                <w:color w:val="auto"/>
              </w:rPr>
            </w:pPr>
          </w:p>
        </w:tc>
        <w:tc>
          <w:tcPr>
            <w:tcW w:w="20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4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23"/>
                <w:szCs w:val="23"/>
                <w:color w:val="auto"/>
              </w:rPr>
            </w:pPr>
          </w:p>
        </w:tc>
        <w:tc>
          <w:tcPr>
            <w:tcW w:w="20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7"/>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2012 (a)</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2012 (a)</w:t>
            </w:r>
          </w:p>
        </w:tc>
      </w:tr>
      <w:tr>
        <w:trPr>
          <w:trHeight w:val="27"/>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(amounts in thousands)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67,617</w:t>
            </w:r>
          </w:p>
        </w:tc>
        <w:tc>
          <w:tcPr>
            <w:tcW w:w="1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140,288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137,154</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Physician staffing</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30,939</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60,198</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10,291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21,295</w:t>
            </w: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108,847</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221,084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218,647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income (b):</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Nurse and allied staffing (c)</w:t>
            </w: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5,260</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Physicians staffing</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5,084</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1,385</w:t>
            </w: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4,753</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11,729</w:t>
            </w:r>
          </w:p>
        </w:tc>
      </w:tr>
      <w:tr>
        <w:trPr>
          <w:trHeight w:val="324"/>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overhead (c)</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5,470</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11,396</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2,763</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 charge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w:t>
            </w:r>
          </w:p>
        </w:tc>
        <w:tc>
          <w:tcPr>
            <w:tcW w:w="2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18,732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18,732</w:t>
            </w: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5" w:lineRule="exact"/>
        <w:rPr>
          <w:sz w:val="20"/>
          <w:szCs w:val="20"/>
          <w:color w:val="auto"/>
        </w:rPr>
      </w:pPr>
    </w:p>
    <w:p>
      <w:pPr>
        <w:ind w:left="660" w:right="7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periods have been restated to conform to the 2013 presentation of our former clinical trial services business segment from continuing operations to discontinued operations.</w:t>
      </w:r>
    </w:p>
    <w:p>
      <w:pPr>
        <w:spacing w:after="0" w:line="161" w:lineRule="exact"/>
        <w:rPr>
          <w:rFonts w:ascii="Times New Roman" w:cs="Times New Roman" w:eastAsia="Times New Roman" w:hAnsi="Times New Roman"/>
          <w:sz w:val="18"/>
          <w:szCs w:val="18"/>
          <w:color w:val="auto"/>
        </w:rPr>
      </w:pPr>
    </w:p>
    <w:p>
      <w:pPr>
        <w:jc w:val="both"/>
        <w:ind w:left="660" w:right="2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define contribution income or loss from operations before depreciation, amortization, restructuring costs, legal settlement charges, impairment charges, and other corporate expenses not specifically identified to a reporting segment. Contribution income is a measure used by management to access operations and is provided in accordance with the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of the FASB ASC.</w:t>
      </w:r>
    </w:p>
    <w:p>
      <w:pPr>
        <w:spacing w:after="0" w:line="122"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we refined our methodology for allocating certain corporate overhead expenses to our nurse and allied staffing segment expenses to more accurately reflect this segment’s profitability. Prior year information has been reclassified to conform to current year presentation.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Results for the Three Months Ended June 30, 2013 compared to the Three Months Ended June 30, 2012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 from services increased 1.8%, to $110.8 million for the three months ended June 30, 2013, as compared to $108.8 million for the three months ended June 30, 2012. The increase was due to higher revenue from our physician staffing segment, partially offset by a decrease in revenue from our nurse and allied staffing segment.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Nurse and allied staffing</w:t>
      </w:r>
    </w:p>
    <w:p>
      <w:pPr>
        <w:spacing w:after="0" w:line="227"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Revenue from our nurse and allied staffing business segment decreased slightly to $67.5 million in the three months ended June 30, 2013, from $67.6 million in the three months ended June 30, 2012. Lower staffing volume more than offset higher bill rates in the three months ended June 30, 2013.</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average number of nurse and allied staffing FTEs on contract during the three months ended June 30, 2013, decreased 3.5% from the three months ended June 30, 2012. The average nurse and allied staffing revenue per FTE per day increased 3.6% in the three months ended June 30, 2013 compared to the three months ended June 30, 2012, due to an increase in our average bill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Physician staffing</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Revenue from our physician staffing business increased 6.5% to $33.0 million for the three months ended June 30, 2013, compared to $30.9 million in the three months ended June 30, 2012. The increase in revenue is due to a combination of higher volume and higher bill rates in the three months ended June 30, 2013 compared to the three months ended June 30, 2012.</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Physician staffing days filled is equivalent to total hours filled during the respective period divided by eight hours. Physician staffing days filled increased 2.6% to 21,999 days in the three months ended June 30, 2013, compared to 21,447 days in the three months ended June 30, 2012. Revenue per day filled for the three months ended June 30, 2013 was $1,498, a 3.8% increase from the three months ended June 30, 2012. Revenue per day filled is calculated by dividing total physician staffing revenue by days filled for the respective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human capital management services</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Revenue from other human capital management services for the three months ended June 30, 2013, was relatively flat at $10.3 million for the three months ended June 30, 2012 and 2013. Reduced seminar attendance in our education and training business was offset by a slight increase in revenue from our retained search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Direct operating expenses are comprised primarily of field employee compensation and independent contractor expenses, housing expenses, travel expenses and field insurance expenses. Direct operating expenses increased $1.2 million, or 1.5%, to $82.9 million for the three months ended June 30, 2013, as compared to $81.7 million for three months ended June 30, 2012.</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a percentage of total revenue, direct operating expenses represented 74.9% of revenue for the three months ended June 30, 2013, and 75.1% for the three months ended June 30, 2012.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3.8%, to $26.6 million for the three months ended June 30, 2013, as compared to $27.6 million for the three months ended June 30, 2012. As a percentage of total revenue, selling, general and administrative expenses were 24.0% and 25.4%, for the three months ended June 30, 2013 and 2012, respectively. The decrease is primarily due to lower accruals for estimated state non-income taxes and lower healthcare costs in the three months ended June 30, 2013. Selling, general and administrative expenses in the three months ended June 30, 2012 included $0.5 million of increased accruals for estimated state non-income taxes primarily related to estimates for the 2005-2011 tax years.</w:t>
      </w:r>
    </w:p>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Included in selling, general and administrative expenses are unallocated corporate overhead of $5.6 million for three months ended June 30, 2013, compared to $5.5 million for the three months ended June 30, 2012. As a percentage of consolidated revenue, unallocated corporate overhead was 5.0% for the three month periods ended June 30, 2013 and 2012. Share-based compensation, included in unallocated corporate overhead, was $0.6 million and $0.7 million in the three months ended June 30, 2013 and 2012,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Bad debt expense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three months ended June 30, 2013, we recorded $0.1 million of reserves for bad debt representing 0.1% of consolidated revenue from services. The increase in our reserve for bad debt related to the aging of certain accounts. In the three months ended June 30, 2012, we recorded $0.2 million of reserves for bad debt representing 0.2% of consolidated revenue from services.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78"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Nurse and allied staffing</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Contribution income from our nurse and allied staffing segment for the three months ended June 30, 2013, increased $1.9 million or 105.1%, to $3.7 million from $1.8 million in three months ended June 30, 2012. As a percentage of segment revenue, contribution income was 5.5% for the three months ended June 30, 2013, and 2.7% for the three months ended June 30, 2012. The margin improvement was primarily due to lower selling, general, and administrative expenses and housing costs, and improved bill/pay spreads in the three months ended June 30, 2013 compared to the three months ended June 30, 2012. In addition, the three months ended June 30, 2012 included $0.3 million of additional pretax liability accrual for certain non-income tax matters, primarily related to 2005-2011 tax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Physician staffing</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Contribution income from physician staffing for the three months ended June 30, 2013 decreased $0.2 million or 8.2% to $2.5 million, from $2.7 million in the three months ended June 30, 2012. As a percentage of segment revenue, contribution income was 7.5% in the three months ended June 30, 2013 and 8.7% in the three months ended June 30, 2012. This decrease was primarily due to a combination of unfavorable professional liability claims development and higher physician compensation, partially offset by lower health insurance costs in the three months ended June 30, 2013 compared to the three months ended June 30, 2012.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human capital management services</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Contribution income from other human capital management services for the three months ended June 30, 2013 increased 94.2%, to $0.5 million, from $0.3 million in the three months ended June 30, 2012. Contribution income as a percentage of segment revenue was 5.2% for the three months ended June 30, 2013 and 2.7% for the three months ended June 30, 2012. The increase in contribution income margin was partly due to accruals for estimated state non-income based taxes in the prior year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 the three months ended June 30, 2013, totaled $1.6 million as compared to $1.9 million for the three months ended June 30, 2012. As a percentage of consolidated revenue, depreciation and amortization expense was 1.4% for the three months ended June 30, 2013 and 1.8% for the three months ended June 30, 2012.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2013, we initiated a restructuring plan to reduce operating costs and recorded a restructuring charge of $0.4 million, pretax, primarily related to senior management severance pay. Severance costs are included as restructuring costs in the condensed consolidated statements of operations. No similar charges were recorded in the three months ended June 30, 2012.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 Charge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June 30, 2013, we agreed in principle to settle a wage and hour class action lawsuit in California for $0.75 million, subject to a final binding agreement and approval by the court. The amount was accrued in the second quarter of 2013. See </w:t>
      </w:r>
      <w:r>
        <w:rPr>
          <w:rFonts w:ascii="Times New Roman" w:cs="Times New Roman" w:eastAsia="Times New Roman" w:hAnsi="Times New Roman"/>
          <w:sz w:val="18"/>
          <w:szCs w:val="18"/>
          <w:i w:val="1"/>
          <w:iCs w:val="1"/>
          <w:color w:val="auto"/>
        </w:rPr>
        <w:t>Note 10- Commitments and Contingencies</w:t>
      </w:r>
      <w:r>
        <w:rPr>
          <w:rFonts w:ascii="Times New Roman" w:cs="Times New Roman" w:eastAsia="Times New Roman" w:hAnsi="Times New Roman"/>
          <w:sz w:val="18"/>
          <w:szCs w:val="18"/>
          <w:color w:val="auto"/>
        </w:rPr>
        <w:t xml:space="preserve"> to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Impairment charge in the three months ended June 30, 2012 represented impairment of goodwill for the nurse and allied staffing segment due to the results of an interim impairment analysis pursuant to the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Topic of the FASB ASC. We determined that the fair value of our nurse and allied staffing segment was lower than the respective carrying value. The decrease in value was due to slower than expected booking momentum and reduced contribution income in our first and second quarters of 2012 which lowered the anticipated growth trend used for goodwill impairment testing. Pursuant to the second step of the interim impairment testing we were required to calculate an implied fair value of goodwill based on a hypothetical purchase price allocation. Based on these results, we determined a pre-tax goodwill impairment charge of $18.7 million as of June 30, 2012.</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792" w:right="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totaled $0.2 million for the three months ended June 30, 2013 compared to $0.6 million for the three months ended June 30, 2012. The decrease in interest expense was primarily due to lower average borrowings. The effective interest rate on our borrowings was 2.1% through February 15, 2013 (the day we repaid our outstanding debt with proceeds from the sale of clinical trial services business). The effective interest rate on our borrowings was 2.1% for the three month periods ended June 30, 2012. 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 to our condensed consolidated financial statements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Income tax benefit from continuing operations totaled $0.3 million for the three months ended June 30, 2013, as compared to $3.1 million for the three months ended June 30, 2012. The effective tax rate was 15.2% and 13.9% in the three months ended June 30, 2013 and 2012, respectively. The effective tax rate is lower than statutory rates primarily due to the impact of certain non-deductible per diem payments and foreign taxes, which reduced our income tax benefit in both the three months ended June 30, 2013 and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income taxes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Income (loss) from discontinued operations, net of income taxes includes the results from the sale of the clinical trial services business which is classified as discontinued in the three months ended June 30, 2013. The clinical trial services business had income from operations before income taxes of $1.1 million in the quarter ended June 30, 2012. See </w:t>
      </w:r>
      <w:r>
        <w:rPr>
          <w:rFonts w:ascii="Times New Roman" w:cs="Times New Roman" w:eastAsia="Times New Roman" w:hAnsi="Times New Roman"/>
          <w:sz w:val="18"/>
          <w:szCs w:val="18"/>
          <w:i w:val="1"/>
          <w:iCs w:val="1"/>
          <w:color w:val="auto"/>
        </w:rPr>
        <w:t>Note 2 –Discontinued Operations</w:t>
      </w:r>
      <w:r>
        <w:rPr>
          <w:rFonts w:ascii="Times New Roman" w:cs="Times New Roman" w:eastAsia="Times New Roman" w:hAnsi="Times New Roman"/>
          <w:sz w:val="18"/>
          <w:szCs w:val="18"/>
          <w:color w:val="auto"/>
        </w:rPr>
        <w:t>, to our condensed consolidated financial statements for more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Results for the Six Months Ended June 30, 2013 compared to the Six Months Ended June 30, 2012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Revenue from services increased 1.1%, to $221.1 million for the six months ended June 30, 2013, as compared to $218.6 million for the six months ended June 30, 2012. The increase was due to higher revenue from our nurse and allied and physician staffing businesses, partially offset by a decrease in revenue from our other human capital management services business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Nurse and allied staffing</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from our nurse and allied staffing business segment increased 2.3%, to $140.3 million in the six months ended June 30, 2013, from $137.2 million in the six months ended June 30, 2012 due to higher average bill rates in the three months ended June 30, 2013.</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average number of nurse and allied staffing FTEs on contract during the six months ended June 30, 2013, decreased 0.3% from the six months ended June 30, 2012. The average nurse and allied staffing revenue per FTE per day increased 3.2% in the six months ended June 30, 2013 compared to the six months ended June 30, 2012, due to the increase in our average bill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Physician staffing</w:t>
      </w:r>
    </w:p>
    <w:p>
      <w:pPr>
        <w:spacing w:after="0" w:line="22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Revenue from our physician staffing business increased 1.4% to $61.0 million for the six months ended June 30, 2013, compared to $60.2 million in the six months ended June 30, 2012. The increase in revenue is primarily due to higher revenue per days filled in the six months ended June 30, 2013 compared to the six months ended June 30, 2012.</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Physician staffing days filled is equivalent to total hours filled during the respective period divided by eight hours. Physician staffing days filled decreased 3.0% to 40,801 days in the six months ended June 30, 2013, compared to 42,064 days in the six months ended June 30, 2012. Revenue per day filled for the six months ended June 30, 2013 was $1,496, a 4.5% increase from the six months ended June 30, 2012. Revenue per day filled is calculated by dividing total physician staffing revenue by days filled for the respective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human capital management services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Revenue from other human capital management services for the six months ended June 30, 2013, decreased 1.5 million, or 7.1%, to $19.8 million from $21.3 million in the six months ended June 30, 2012, reflecting a lower number of seminars and lower revenue from our search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576"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Direct operating expenses are comprised primarily of field employee compensation and independent contractor expenses, housing expenses, travel expenses and field insurance expenses. Direct operating expenses increased $1.9 million, or 1.2%, to $164.4 million for the six months ended June 30, 2013, as compared to for six months ended June 30, 2012. As a percentage of total revenue, direct operating expenses represented 74.3% of revenue for the six months ended June 30, 2013 and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3.4%, to $53.7 million for the six months ended June 30, 2013, as compared to $55.5 million for the six months ended June 30, 2012. As a percentage of total revenue, selling, general and administrative expenses were 24.3% and 25.4%, for the six months ended June 30, 2013 and 2012, respectively. The decrease is partly due to lower accruals for estimated state non-income taxes in the six months ended June 30, 2013. Selling, general and administrative expenses in the six months ended June 30, 2012 included $0.5 million of increased accruals for estimated state non-income taxes primarily related to estimates for the 2005-2011 tax years.</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Included in selling, general and administrative expenses are unallocated corporate overhead of $12.0 million for six months ended June 30, 2013, compared to $11.4 million for the six months ended June 30, 2012. As a percentage of consolidated revenue, unallocated corporate overhead was 5.4% and 5.2% for the six month periods ended June 30, 2013 and 2012, respectively. Share-based compensation, included in unallocated corporate overhead, was $1.2 million and $1.4 million in the six months ended June 30, 2013 and 2012,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Bad debt expense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2013, we recorded $0.6 million of reserves for bad debt representing 0.3% of consolidated revenue from services. The increase in our reserve for bad debt related to the aging of certain accounts. In the six months ended June 30, 2012, we recorded $0.3 million of reserves for bad debt representing 0.1% of consolidated revenue from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Nurse and allied staffing</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Contribution income from our nurse and allied staffing segment for the six months ended June 30, 2013, increased 71.8%, to $9.0 million from $5.3 million in six months ended June 30, 2012. As a percentage of segment revenue, contribution income was 6.4% for the six months ended June 30, 2013, and 3.8% for the six months ended June 30, 2012. The margin improvement was primarily due to a combination of lower housing costs and lower professional liability expenses, related to a specific case that was settled, as well as lower selling, general and administrative expenses in the six months ended June 30, 2013 compared to the six months ended June 30, 2012. Selling, general and administrative expenses in this business segment included $0.3 million of increased accruals for estimated state non-income taxes in the six months ended June 30, 2012. See </w:t>
      </w:r>
      <w:r>
        <w:rPr>
          <w:rFonts w:ascii="Times New Roman" w:cs="Times New Roman" w:eastAsia="Times New Roman" w:hAnsi="Times New Roman"/>
          <w:sz w:val="18"/>
          <w:szCs w:val="18"/>
          <w:i w:val="1"/>
          <w:iCs w:val="1"/>
          <w:color w:val="auto"/>
        </w:rPr>
        <w:t>Note 10- Commitments and Contingencies</w:t>
      </w:r>
      <w:r>
        <w:rPr>
          <w:rFonts w:ascii="Times New Roman" w:cs="Times New Roman" w:eastAsia="Times New Roman" w:hAnsi="Times New Roman"/>
          <w:sz w:val="18"/>
          <w:szCs w:val="18"/>
          <w:color w:val="auto"/>
        </w:rPr>
        <w:t xml:space="preserve"> to our condensed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Physician staffing</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Contribution income from physician staffing for the six months ended June 30, 2013 decreased 8.9% to $4.6 million, from $5.1 million in the six months ended June 30, 2012. As a percentage of segment revenue, contribution income was 7.6% in the six months ended June 30, 2013 and 8.4% in the six months ended June 30, 2012. This decrease was primarily due to a combination of higher physician compensation and unfavorable professional liability claims development partially offset by lower health insurance costs in the six months ended June 30, 2013 compared to the six months ended June 30, 2012.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human capital management services</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Contribution income from other human capital management services for the six months ended June 30, 2013 decreased 40.5%, to $0.8 million, from $1.4 million in the six months ended June 30, 2012. Contribution income as a percentage of segment revenue was 4.2% for the six months ended June 30, 2013 and 6.5% for the six months ended June 30, 2012. The decrease in contribution income margin was primarily due to an increase in selling, general and administrative expenses and negative operating leverage in our retained search business. Our retained search business has the highest fixed cost structure of all of our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92" w:right="239" w:bottom="1440" w:gutter="0" w:footer="0" w:header="0"/>
        </w:sectPr>
      </w:pPr>
    </w:p>
    <w:bookmarkStart w:id="27" w:name="page28"/>
    <w:bookmarkEnd w:id="27"/>
    <w:p>
      <w:pPr>
        <w:ind w:right="220"/>
        <w:spacing w:after="0" w:line="282" w:lineRule="auto"/>
        <w:rPr>
          <w:sz w:val="20"/>
          <w:szCs w:val="20"/>
          <w:color w:val="auto"/>
        </w:rPr>
      </w:pPr>
      <w:r>
        <w:rPr>
          <w:rFonts w:ascii="Times New Roman" w:cs="Times New Roman" w:eastAsia="Times New Roman" w:hAnsi="Times New Roman"/>
          <w:sz w:val="18"/>
          <w:szCs w:val="18"/>
          <w:color w:val="auto"/>
        </w:rPr>
        <w:t>businesses. Due to this high fixed cost structure, when revenue declines, the business suffers a disproportionate decline in contribution margin. Conversely, when revenue increases, it should produce a disproportionately strong margin improvement.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 the six months ended June 30, 2013, totaled $3.2 million as compared to $3.9 million for the six months ended June 30, 2012. As a percentage of consolidated revenue, depreciation and amortization expense was 1.4% for the six months ended June 30, 2013 and 1.8% for the six months ended June 30, 2012.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2013, we initiated a restructuring plan to reduce operating costs and recorded a restructuring charge of $0.4 million, pretax, related to senior management severance pay. Severance costs are included as restructuring costs in the condensed consolidated statements of operations. No similar charges were recorded in the six months ended June 30, 2012.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 Charge</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During the six months ended June 30, 2013, we agreed in principle to settle a wage and hour class action lawsuit in California for $0.75 million, subject to a final binding agreement and approval by the court. The amount was accrued in the second quarter of 2013. See </w:t>
      </w:r>
      <w:r>
        <w:rPr>
          <w:rFonts w:ascii="Times New Roman" w:cs="Times New Roman" w:eastAsia="Times New Roman" w:hAnsi="Times New Roman"/>
          <w:sz w:val="18"/>
          <w:szCs w:val="18"/>
          <w:i w:val="1"/>
          <w:iCs w:val="1"/>
          <w:color w:val="auto"/>
        </w:rPr>
        <w:t>Note 10- Commitments and Contingencies</w:t>
      </w:r>
      <w:r>
        <w:rPr>
          <w:rFonts w:ascii="Times New Roman" w:cs="Times New Roman" w:eastAsia="Times New Roman" w:hAnsi="Times New Roman"/>
          <w:sz w:val="18"/>
          <w:szCs w:val="18"/>
          <w:color w:val="auto"/>
        </w:rPr>
        <w:t xml:space="preserve"> to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Impairment charge in the six months ended June 30, 2012 represented impairment of goodwill for the nurse and allied staffing segment due to the results of an interim impairment analysis pursuant to the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Topic of the FASB ASC. We determined that the fair value of our nurse and allied staffing segment was lower than the respective carrying value. The decrease in value was due to slower than expected booking momentum and reduced contribution income in our first and second quarters of 2012 which lowered the anticipated growth trend used for goodwill impairment testing. Pursuant to the second step of the interim impairment testing we were required to calculate an implied fair value of goodwill based on a hypothetical purchase price allocation. Based on these results, we determined a pre-tax goodwill impairment charge of $18.7 million as of June 30, 2012.</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Loss on early extinguishment of debt of $1.4 million in the six months ended June 30, 2013 relates to the write off of unamortized debt issuance costs related to our prior credit agreement. 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 to our condensed consolidated financial statements for more information. No similar costs were incurred in the six months ended June 30, 2012.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totaled $0.4 million for the six months ended June 30, 2013 compared to $1.2 million for the six months ended June 30, 2012. The decrease in interest expense was primarily due to lower average borrowings. The effective interest rate on our borrowings was 2.1% through February 15, 2013 (the day we repaid our outstanding debt with proceeds from the sale of clinical trial services business). The effective interest rate on our borrowings was 2.2% for the six month periods ended June 30, 2012. 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 to our condensed consolidated financial statements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tax benefit from continuing operations totaled $0.8 million for the six months ended June 30, 2013, as compared to $5.0 million for the six months ended June 30, 2012. The effective tax rate was 21.4% and 21.5% in the six months ended June 30, 2013 and 2012, respectively. The effective tax rate is lower than statutory rates primarily due to the impact of certain non-deductible per diem payments and foreign taxes, which reduced our income tax benefit in both the six months ended June 30, 2013 and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income taxes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Income (loss) from discontinued operations, net of income taxes includes the results from the sale of the clinical trial services business which is classified as discontinued in the six months ended June 30, 2013. The clinical trial services business had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580" w:right="259" w:bottom="1440" w:gutter="0" w:footer="0" w:header="0"/>
        </w:sectPr>
      </w:pPr>
    </w:p>
    <w:bookmarkStart w:id="28" w:name="page29"/>
    <w:bookmarkEnd w:id="28"/>
    <w:p>
      <w:pPr>
        <w:spacing w:after="0" w:line="261" w:lineRule="auto"/>
        <w:rPr>
          <w:sz w:val="20"/>
          <w:szCs w:val="20"/>
          <w:color w:val="auto"/>
        </w:rPr>
      </w:pPr>
      <w:r>
        <w:rPr>
          <w:rFonts w:ascii="Times New Roman" w:cs="Times New Roman" w:eastAsia="Times New Roman" w:hAnsi="Times New Roman"/>
          <w:sz w:val="18"/>
          <w:szCs w:val="18"/>
          <w:color w:val="auto"/>
        </w:rPr>
        <w:t xml:space="preserve">income from operations before income taxes of $0.5 million in the six months ended June 30, 2013 compared to $1.9 million in the six months ended June 30, 2012. The income from discontinued operations, net of tax of $2.5 million included a $4.1 million gain ($2.2 million net of taxes) on the sale of our clinical trial services business in the six months ended June 30, 2013. See </w:t>
      </w:r>
      <w:r>
        <w:rPr>
          <w:rFonts w:ascii="Times New Roman" w:cs="Times New Roman" w:eastAsia="Times New Roman" w:hAnsi="Times New Roman"/>
          <w:sz w:val="18"/>
          <w:szCs w:val="18"/>
          <w:i w:val="1"/>
          <w:iCs w:val="1"/>
          <w:color w:val="auto"/>
        </w:rPr>
        <w:t>Note 2 –Discontinued Operations</w:t>
      </w:r>
      <w:r>
        <w:rPr>
          <w:rFonts w:ascii="Times New Roman" w:cs="Times New Roman" w:eastAsia="Times New Roman" w:hAnsi="Times New Roman"/>
          <w:sz w:val="18"/>
          <w:szCs w:val="18"/>
          <w:color w:val="auto"/>
        </w:rPr>
        <w:t>, to our condensed consolidated financial statements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June 30, 2013, we had a current ratio, defined as the amount of current assets divided by current liabilities, of 3 to 1. Working capital increased $4.8 million to $77.5 million as of June 30, 2013 from $72.8 million as of December 31, 2012.</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operating cash flows constitute our primary source of liquidity, and historically, have been sufficient to fund our working capital, capital expenditures, internal business expansion and debt service. We believe that operating cash flows and cash on hand, along with amounts available under our Loan Agreement, will be sufficient to meet these needs during the next twelve months.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$4.4 million in the six months ended June 30, 2013, compared to cash provided by operating activities of $3.8 million in the six months ended June 30, 2012. The number of days’ sales outstanding, excluding clinical trial services business, was 52 days at June 30, 2013 and December 31, 2012.</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Investing activities provided $45.5 million in the six months ended June 30, 2013, compared to a use of $1.8 million in the six months ended June 30, 2013. During the six months ended June 30, 2013, we sold the clinical trial services business. The net proceeds from the sale of this business segment were $45.9 million which included costs to sell the business. We used $0.4 million for capital expenditures in the six months ended June 30, 2013 compared to $1.7 million in the six months ended June 30, 2012.</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2013, was $34.3 million compared to $6.4 million during the six months ended June 30, 2012, primarily related to net payments on our total debt in both periods. During the six months ended June 30, 2013, we repaid total debt, net of borrowings, in the amount of $33.5 million primarily using the proceeds from the sale of clinical trial services business. In addition, we used $0.5 million to pay debt issuance costs related to our Loan Agreement (as described in Credit Facility below). In the six months ended June 30, 2012, we repaid total debt, net of borrowings, of $5.8 million using cash on hand and cash flow from operations. In addition, we used $0.4 million for stock repurchases, as described in the Stockholders' Equity section.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June 30, 2013, there are 942,443 shares remaining under our February 2008 Board authorization and 31.1 million shares of common stock outstanding. Subject to certain conditions as described in the Loan Agreement entered into on January 9, 2013, we may repurchase up to an aggregate amount of $5.0 million of our Equity Interests (as defined in the Loan Agreement). During the six months ended June 30, 2013, we did not repurchase any shares under our February 2008 Board of Directors’ authorization.</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2012, we repurchased 71,653 shares at an average price of $5.22, under our February 2008 Board of Directors’ authorization. The cost of such purchases was $0.4 million. All of the common stock was retired.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Payments</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2013, 309,009 shares of restricted stock at a weighted average price of $4.54 were granted to Directors and key employees. In addition, 292,500 stock appreciation rights were granted to key employees at a weighted average price of $5.21 and a weighted average valuation per share of $1.73. Similar to prior grants, the restricted stock vests 25% per year over a four year period on the anniversary date of the grant. The stock appreciation rights vest 25% per year over a four year period, expire after seven years and can only be settled with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227" w:lineRule="exact"/>
        <w:rPr>
          <w:sz w:val="20"/>
          <w:szCs w:val="20"/>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On January 9, 2013, we terminated our commitments under senior secured credit agreement (July 2012 Credit Agreement) and entered into a Loan and Security Agreement (Loan Agreement), by and among us and certain of our domestic subsidiaries, as borrowers, and Bank of America, N.A., as agent.</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Loan Agreement provides for: a three-year senior secured asset-based revolving credit facility in the aggregate principal amount of up to $65.0 million (as described below), which includes a subfacility for swingline loans up to an amount equal to 10% of the aggregate Revolver Commitments, and a $20.0 million subfacility for standby letters of credit. As of June 30, 2013, we had no revolver borrowings outstanding under this Loan Agreement. As of June 30, 2013, the availability under the Loan Agreement was approximately $39.6 million based on its May accounts receivable. We had $11.8 million of letters of credit outstanding as of June 30, 2013.</w:t>
      </w:r>
    </w:p>
    <w:p>
      <w:pPr>
        <w:spacing w:after="0" w:line="1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Swingline loans and letters of credit issued under the Loan Agreement reduce available revolving credit commitments on a dollar-for-dollar basis. Subject to certain conditions, we are permitted, at any time prior to the maturity date for the revolving credit facility, to increase the total revolving credit commitments in an aggregate principal amount of up to $20.0 million, with additional commitments from Lenders or new commitments from financial institutions, subject to certain conditions as described in the Loan Agreement. Pursuant to the Loan Agreement, the aggregate amount of advances under the Line of Credit (Borrowing Base) cannot exceed the lesser of (a) (i) $65.0 million, or (ii) 85% of eligible billed accounts receivable as defined in the Loan Agreement; plus</w:t>
      </w:r>
    </w:p>
    <w:p>
      <w:pPr>
        <w:spacing w:after="0" w:line="3" w:lineRule="exact"/>
        <w:rPr>
          <w:sz w:val="20"/>
          <w:szCs w:val="20"/>
          <w:color w:val="auto"/>
        </w:rPr>
      </w:pPr>
    </w:p>
    <w:p>
      <w:pPr>
        <w:ind w:right="120" w:firstLine="8"/>
        <w:spacing w:after="0" w:line="261"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lesser of (i) 85% of eligible unbilled accounts receivable and (ii) $12.0 million; minus (c) reserves as defined by the Loan Agreement, which include one week’s worth of W-2 payroll and fees payable to independent contractors.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initial proceeds from the revolving credit facility were used to finance the repayment of our existing indebtedness under our prior credit agreement and the payment of fees and expenses. The repayment of the term loan portion of our outstanding debt in the first quarter of 2013 is treated as extinguishment of debt, and, as a result, we recognized a loss on extinguishment in the first quarter of 2013, related to the write-off of unamortized net debt issuance costs of approximately $0.3 million. The repayment of the revolver portion of our outstanding debt in the first quarter of 2013 is treated partially as extinguishment and partially as a modification. The fees related to the modified portion of $0.1 million relate to the continuation of credit provided by Bank of America, N.A. in its Loan Agreement. We wrote-off the remaining unamortized net debt issuance costs of approximately $1.1 million in the first quarter of 2013.</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revolving credit facility will be used to provide ongoing working capital and for other general corporate purposes of the Company and its subsidiaries. The initial interest rate spreads and fees under the Loan Agreement are based on LIBOR plus 1.5% or Base Rate plus 0.50%. The LIBOR and Base Rate margins are subject to performance pricing adjustments, commencing September 1, 2013, pursuant to a pricing matrix based on the Company’s excess availability under the revolving credit facility, and would increase by 200 basis points if an event of default exists.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Loan Agreement contains customary representations, warranties, and affirmative covenants. The Loan Agreement also contains customary negative covenants; including covenants with respect to, among other things, (i) indebtedness, (ii) liens, (iii) investments, (iv) significant corporate changes, including mergers and acquisitions, (v) dispositions, (vi) dividend, distributions and other restricted payments, (vii) transactions with affiliates and (viii) restrictive agreements. In addition, if our availability under the revolving credit facility is less than the greater of (i) 12.5% of the Loan Cap, as defined, and (ii) $6.25 million, we are required to meet a minimum fixed charge coverage ratio of 1.0, as defined in the Loan Agreement. The Loan Agreement also contains customary events of default, such as payment defaults, cross-defaults to other material indebtedness, bankruptcy and insolvency, the occurrence of a defined change in control and the failure to observe covenants or conditions under the credit facility documents. Our obligations under the Loan Agreement are guaranteed by all material domestic subsidiaries of the Company that are not co-borrowers (Subsidiary Guarantors). As collateral security for their obligations under the Loan Agreement and guarantees thereof, the Company and the Subsidiary Guarantors have granted to Bank of America, N.A., a security interest in substantially all of their tangible and intangible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2012 Credit Agreement</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entered into July 2012 Credit Agreement on July 10, 2012 , by and among us, as borrower, a syndicate of lenders, Wells Fargo Bank, National Association, as administrative agent, swingline lender and issuing lender, Bank of America, N.A., as syndication agent, and U.S. Bank National Association, as documentation agent. The July 2012 Credit Agreement provided for: (i) a five-year senior secured term loan facility in the aggregate principal amount of $25.0 million, and (ii) a five-year senior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576" w:right="259" w:bottom="1440" w:gutter="0" w:footer="0" w:header="0"/>
        </w:sectPr>
      </w:pPr>
    </w:p>
    <w:bookmarkStart w:id="30" w:name="page31"/>
    <w:bookmarkEnd w:id="30"/>
    <w:p>
      <w:pPr>
        <w:ind w:right="40"/>
        <w:spacing w:after="0" w:line="258" w:lineRule="auto"/>
        <w:rPr>
          <w:sz w:val="20"/>
          <w:szCs w:val="20"/>
          <w:color w:val="auto"/>
        </w:rPr>
      </w:pPr>
      <w:r>
        <w:rPr>
          <w:rFonts w:ascii="Times New Roman" w:cs="Times New Roman" w:eastAsia="Times New Roman" w:hAnsi="Times New Roman"/>
          <w:sz w:val="18"/>
          <w:szCs w:val="18"/>
          <w:color w:val="auto"/>
        </w:rPr>
        <w:t>secured revolving credit facility in the aggregate principal amount of up to $50.0 million, which included a $10.0 million subfacility for swingline loans, and a $20.0 million subfacility for standby letters of credit. Swingline loans and letters of credit issued under the July 2012 Credit Agreement reduced available revolving credit commitments on a dollar-for-dollar basis. Subject to certain conditions under the Credit Agreement, the Company was permitted, at any time prior to the maturity date for the revolving credit facility, to increase its total revolving credit commitments in an aggregate principal amount of up to $25.0 million.</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revolving credit facility was to be used to provide ongoing working capital and for other general corporate purposes of the Company and its subsidiaries. Through December 31, 2012, interest on the term loan and revolving credit portion of the July 2012 Credit Agreement was based on LIBOR plus a margin of 2.50% or Base Rate (as defined by the July 2012 Credit Agreement, as modified) plus a margin of 1.50%. In addition, we were required to pay a quarterly commitment fee on its average daily unused portion of the revolving loan facility of 0.50%. The interest rate spreads and fees fluctuated during the term of the July 2012 Credit Agreement based on the consolidated total leverage ratio at each calculation date, as defined.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Off-Balance Sheet Arrangements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did not have any off-balance sheet arrangements and, as of June 30, 2013, there were no material changes in our contractual obligations and other commitments since December 31, 2012.</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July 2013, we entered into an agreement to lease 41,607 square feet of space in Peachtree Corners, Georgia for our physician staffing business. The commitment is for ten years and eight months, subject to adjustment and earlier termination as provided in the lease, and totals approximately $4.2 million, excluding operating costs. The lease also contains certain lease incentives including a tenant improvement allowance of up to $1.5 million, or which any excess may be used for moving expenses. The commencement of the lease is expected to be in the first quarter of 2014.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remain consistent with those reported in our Annual Report on Form 10-K. However, we have updated the specific details within the critical accounting policy relating to legal matters as stated below.</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subject to various claims and legal actions in the ordinary course of our business. Some of these matters include professional liability and employee-related matters. Our hospital and healthcare facility clients may also become subject to claims, governmental inquiries and investigations and legal actions to which we may become a party relating to services provided by our professionals. From time to time, and depending upon the particular facts and circumstances, we may be subject to indemnification obligations under our contracts with our hospital and healthcare facility clients relating to these matters. Material pending legal proceedings brought against the Company, other than ordinary routine litigation incidental to the business, is described in Item 1. Legal Proceedings.</w:t>
      </w:r>
    </w:p>
    <w:p>
      <w:pPr>
        <w:spacing w:after="0" w:line="188" w:lineRule="exact"/>
        <w:rPr>
          <w:sz w:val="20"/>
          <w:szCs w:val="20"/>
          <w:color w:val="auto"/>
        </w:rPr>
      </w:pPr>
    </w:p>
    <w:p>
      <w:pPr>
        <w:ind w:left="660" w:hanging="328"/>
        <w:spacing w:after="0" w:line="255"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late 2012, Alice Ogues, a former employee of Travel Staff, LLC (then CC Staffing, Inc.) commenced a putative wage and hour class action against the company. The case is pending in the United States District Court for the Northern District of California, under the caption </w:t>
      </w:r>
      <w:r>
        <w:rPr>
          <w:rFonts w:ascii="Times New Roman" w:cs="Times New Roman" w:eastAsia="Times New Roman" w:hAnsi="Times New Roman"/>
          <w:sz w:val="18"/>
          <w:szCs w:val="18"/>
          <w:i w:val="1"/>
          <w:iCs w:val="1"/>
          <w:color w:val="auto"/>
        </w:rPr>
        <w:t>Ogues v. CC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Staffing, Inc.</w:t>
      </w:r>
      <w:r>
        <w:rPr>
          <w:rFonts w:ascii="Times New Roman" w:cs="Times New Roman" w:eastAsia="Times New Roman" w:hAnsi="Times New Roman"/>
          <w:sz w:val="18"/>
          <w:szCs w:val="18"/>
          <w:color w:val="auto"/>
        </w:rPr>
        <w:t>, Case No. 12-cv-6135-JCS. The Plaintiff seeks to represent a class of all individuals employed by the company as non-exempt workers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December 4, 2008 to the present and alleges that Travel Staff: (1) failed to provide meal periods; (2) failed to provide rest breaks; (3) failed to pay minimum and overtime wages; (4) failed to timely pay wages during employment; (5) made unlawful deductions from wages; (6) failed to provide accurate itemized wage statements; (7) waiting time penalties; and (8) unfair competition. In June 2013, the parties reached a settlement in principle for $0.75 million, and are negotiating the terms of an agreement. Preliminary and final approval hearing dates have not yet been set by the court.</w:t>
      </w:r>
    </w:p>
    <w:p>
      <w:pPr>
        <w:spacing w:after="0" w:line="185"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8, 2010, the Company's subsidiary, Cross Country TravCorps, Inc. became the subject of an indemnity lawsuit (New Hanover Regional Medical Center vs. Cross Country TravCorps, Inc., d/b/a Cross Country Staffing, and Christina Lynn White) filed in the New Hanover County Civil Superior Court, State of North Carolina. Plaintiff alleged that a former employee of Cross Country TravCorps was negligent in caring for a patient which resulted in the death of that patient. New Hanover Regional Medical Center settled the claim pre-suit and subsequently brought an indemnity claim against the former nurse and Cross Country TravCorps for the actions of the nurse pursuant to the Staffing Agreement between Cross Country TravCorps and the hospital.</w:t>
      </w:r>
    </w:p>
    <w:p>
      <w:pPr>
        <w:spacing w:after="0" w:line="187" w:lineRule="exact"/>
        <w:rPr>
          <w:rFonts w:ascii="Times New Roman" w:cs="Times New Roman" w:eastAsia="Times New Roman" w:hAnsi="Times New Roman"/>
          <w:sz w:val="18"/>
          <w:szCs w:val="18"/>
          <w:color w:val="auto"/>
        </w:rPr>
      </w:pPr>
    </w:p>
    <w:p>
      <w:pPr>
        <w:ind w:left="66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19, 2013, an arbitration panel found the former nurse negligently caused the death of the patient and that New Hanover Regional Medical Center had no active negligence contributing to that death. Furthermore, the arbitration panel found that the facility was entitled to recover compensatory damages from the former nurse and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580" w:right="279" w:bottom="1440" w:gutter="0" w:footer="0" w:header="0"/>
        </w:sectPr>
      </w:pPr>
    </w:p>
    <w:bookmarkStart w:id="31" w:name="page32"/>
    <w:bookmarkEnd w:id="31"/>
    <w:p>
      <w:pPr>
        <w:ind w:left="660" w:right="20"/>
        <w:spacing w:after="0" w:line="255" w:lineRule="auto"/>
        <w:rPr>
          <w:sz w:val="20"/>
          <w:szCs w:val="20"/>
          <w:color w:val="auto"/>
        </w:rPr>
      </w:pPr>
      <w:r>
        <w:rPr>
          <w:rFonts w:ascii="Times New Roman" w:cs="Times New Roman" w:eastAsia="Times New Roman" w:hAnsi="Times New Roman"/>
          <w:sz w:val="18"/>
          <w:szCs w:val="18"/>
          <w:color w:val="auto"/>
        </w:rPr>
        <w:t>Cross Country Staffing in the amount of approximately $2.0 million, plus pre-judgment interest (from September 8, 2010) at 8% per year. In addition, New Hanover Regional Medical Center was entitled to recover from Cross Country prejudgment interest on the compensatory damages from March 31, 2008 through September 7, 2010 at the rate of 8% per year and approximately $41,000 in attorneys' fees. The panel also found that, but for the negligence of the former nurse, Cross Country would have no liability to New Hanover Regional Medical Center; therefore, as a matter of equity Cross Country was entitled to recover indemnity from the former nurse to the full extent Cross Country actually paid New Hanover Regional Medical Center any portion of the award (other than the prejudgment interest from March 31, 2008 through September 7, 2010 and the approximately $41,000 in attorneys' fees). The former nurse had insurance coverage for this claim with $2.0 million (individual)/$4.0 million (aggregate) limits and no deductible. In addition, the Company has excess coverage that was expected to cover the amount of loss over $2.0 million.</w:t>
      </w:r>
    </w:p>
    <w:p>
      <w:pPr>
        <w:spacing w:after="0" w:line="185" w:lineRule="exact"/>
        <w:rPr>
          <w:sz w:val="20"/>
          <w:szCs w:val="20"/>
          <w:color w:val="auto"/>
        </w:rPr>
      </w:pPr>
    </w:p>
    <w:p>
      <w:pPr>
        <w:ind w:left="660" w:right="140"/>
        <w:spacing w:after="0" w:line="266" w:lineRule="auto"/>
        <w:rPr>
          <w:sz w:val="20"/>
          <w:szCs w:val="20"/>
          <w:color w:val="auto"/>
        </w:rPr>
      </w:pPr>
      <w:r>
        <w:rPr>
          <w:rFonts w:ascii="Times New Roman" w:cs="Times New Roman" w:eastAsia="Times New Roman" w:hAnsi="Times New Roman"/>
          <w:sz w:val="18"/>
          <w:szCs w:val="18"/>
          <w:color w:val="auto"/>
        </w:rPr>
        <w:t>During the second quarter of 2013, the former nurse's insurance carrier paid New Hanover Regional Medical Center $2,000,000 and Cross Country made an indemnity payment to the facility in the amount of $920,450. Cross Country has been reimbursed $883,450 from its excess carrier and anticipates full reimbursement of any remaining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in a net deferred tax asset position on our condensed consolidated balance sheet as of June 30, 2013. We have determined that it is more likely than not that the net deferred tax asset will be realized in the future with the exception of a specific state portion of the net deferred tax asset for which a valuation allowance of $0.5 million has been recorded. Refer to our Management’s Discussion and Analysis – Critical Accounting Principles and Estimates in our Form 10-K for further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Critical Accounting Principles and Estimates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other critical accounting principles and estimates remain consistent with those reported in our Annual Report on Form 10-K for the year ended December 31, 2012,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2013, the FASB issued ASU 2013-02, </w:t>
      </w:r>
      <w:r>
        <w:rPr>
          <w:rFonts w:ascii="Times New Roman" w:cs="Times New Roman" w:eastAsia="Times New Roman" w:hAnsi="Times New Roman"/>
          <w:sz w:val="18"/>
          <w:szCs w:val="18"/>
          <w:i w:val="1"/>
          <w:iCs w:val="1"/>
          <w:color w:val="auto"/>
        </w:rPr>
        <w:t>Comprehensive Income (Topic 220): Reporting of Amounts Reclassified Out of 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Income </w:t>
      </w:r>
      <w:r>
        <w:rPr>
          <w:rFonts w:ascii="Times New Roman" w:cs="Times New Roman" w:eastAsia="Times New Roman" w:hAnsi="Times New Roman"/>
          <w:sz w:val="18"/>
          <w:szCs w:val="18"/>
          <w:color w:val="auto"/>
        </w:rPr>
        <w:t>(ASU 2013-02). ASU 2013-02 adds new disclosure requirements for items reclassified out of accumulated other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(AOCI), including (1) disaggregating and separately presenting changes in AOCI balances by component and (2) presenting significant items reclassified out of AOCI either on the face of the statement where net income is presented or as a separate disclosure in the notes to the financial statements. It does not amend any existing requirements for reporting net income or other comprehensive income in the financial statements. The ASU is effective for fiscal years beginning after December 15, 2012 (and interim periods within those years), and is to be applied prospectively. We adopted this guidance in the first quarter of 2013.</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March 2013, the FASB issued ASU 2013-05, </w:t>
      </w:r>
      <w:r>
        <w:rPr>
          <w:rFonts w:ascii="Times New Roman" w:cs="Times New Roman" w:eastAsia="Times New Roman" w:hAnsi="Times New Roman"/>
          <w:sz w:val="18"/>
          <w:szCs w:val="18"/>
          <w:i w:val="1"/>
          <w:iCs w:val="1"/>
          <w:color w:val="auto"/>
        </w:rPr>
        <w:t>Foreign Currency Matters (Topic 830), Parent’s Accounting for the Cumulative Translation Adjustment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Derecognition of Certain Subsidiaries or Groups of Assets within a Foreign Entity or of an Investment in a Foreign Entity (a consensus of the FASB Emerging Issues Task Force </w:t>
      </w:r>
      <w:r>
        <w:rPr>
          <w:rFonts w:ascii="Times New Roman" w:cs="Times New Roman" w:eastAsia="Times New Roman" w:hAnsi="Times New Roman"/>
          <w:sz w:val="18"/>
          <w:szCs w:val="18"/>
          <w:color w:val="auto"/>
        </w:rPr>
        <w:t>(ASU 2013-05). The objective of ASU 2013-05 is to resolve the diversity in practice as to the release of the cumulative translation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into net income when a parent either sells a part or all of its investment in a foreign entity or no longer holds a controlling financial interest in a subsidiary or group of assets that is a nonprofit activity or a business (other than a sale of in substance real estate or conveyance of oil and gas mineral rights) within a foreign entity. ASU 2013-05 clarifies that a cumulative translation adjustment (CTA) should be released into earnings when an entity ceases to have a controlling financial interest in a subsidiary or group of assets within a consolidated foreign entity and the sale or transfer results in the complete or substantially complete liquidation of the foreign entity. For sales of an equity method investment that is a foreign entity, a pro rata portion of CTA attributable to the investment would be recognized in earnings when the investment is sold. When an entity sells either a part or all of its investment in a consolidated foreign entity, CTA would be recognized in earnings only if the sale results in the parent no longer having a controlling financial interest in the foreign entity. In addition, CTA should be recognized in earnings in a business combination achieved in stages (i.e., a step acquisition). This ASU is effective for years beginning after December 15, 2013. Early adoption is permitted. We adopted this guidance and released into earnings $2.3 million of cumulative currency translation related to the sale of clinical trial services business in the first quarter of 2013, which was included in the income (loss) from discontinued operations, net of income taxes on the condensed consolidated statements of operations.</w:t>
      </w:r>
    </w:p>
    <w:p>
      <w:pPr>
        <w:spacing w:after="0" w:line="18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In July 2013, the FASB issued Accounting Standards Update 2013-11, </w:t>
      </w:r>
      <w:r>
        <w:rPr>
          <w:rFonts w:ascii="Times New Roman" w:cs="Times New Roman" w:eastAsia="Times New Roman" w:hAnsi="Times New Roman"/>
          <w:sz w:val="18"/>
          <w:szCs w:val="18"/>
          <w:i w:val="1"/>
          <w:iCs w:val="1"/>
          <w:color w:val="auto"/>
        </w:rPr>
        <w:t>Income Taxes - Presentation of an Unrecognized Tax Benefit When a Net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 Carry forward, a Similar Tax Loss, or a Tax Credit Carry forwards Exists </w:t>
      </w:r>
      <w:r>
        <w:rPr>
          <w:rFonts w:ascii="Times New Roman" w:cs="Times New Roman" w:eastAsia="Times New Roman" w:hAnsi="Times New Roman"/>
          <w:sz w:val="18"/>
          <w:szCs w:val="18"/>
          <w:color w:val="auto"/>
        </w:rPr>
        <w:t>(ASU 2013-11).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80" w:right="239" w:bottom="1440" w:gutter="0" w:footer="0" w:header="0"/>
        </w:sectPr>
      </w:pPr>
    </w:p>
    <w:bookmarkStart w:id="32" w:name="page33"/>
    <w:bookmarkEnd w:id="32"/>
    <w:p>
      <w:pPr>
        <w:spacing w:after="0" w:line="255" w:lineRule="auto"/>
        <w:rPr>
          <w:sz w:val="20"/>
          <w:szCs w:val="20"/>
          <w:color w:val="auto"/>
        </w:rPr>
      </w:pPr>
      <w:r>
        <w:rPr>
          <w:rFonts w:ascii="Times New Roman" w:cs="Times New Roman" w:eastAsia="Times New Roman" w:hAnsi="Times New Roman"/>
          <w:sz w:val="18"/>
          <w:szCs w:val="18"/>
          <w:color w:val="auto"/>
        </w:rPr>
        <w:t>ASU 2013-11 requires entities to present the unrecognized tax benefits in the financial statements as a liability and not combine it with deferred tax assets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assessment of whether a deferred tax asset is available is based on the unrecognized tax benefit and deferred tax asset that exist at the reporting date and should be made presuming disallowance of the tax position at the reporting date. ASU 2013-11 is effective for annual and interim periods for fiscal years beginning on or after December 15, 2013. We are currently evaluating its impact on the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ectPr>
          <w:pgSz w:w="11900" w:h="16838" w:orient="portrait"/>
          <w:cols w:equalWidth="0" w:num="1">
            <w:col w:w="11280"/>
          </w:cols>
          <w:pgMar w:left="24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risks as disclosed in our Annual Report on Form 10-K filed for the year ended December 31, 2012.</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carried out an evaluation, under the supervision and with the participation of the Company’s Chief Executive Officer and Chief Financial Officer, of the effectiveness of the design and operation of the Company’s “disclosure controls and procedures” (as defined in Rules 13a-15(e) and 15d-15(e) under the Exchange Act), as of the end of the period covered by this report. Based upon the evaluation, the Company’s Chief Executive Officer and Chief Financial Officer concluded that the Company’s disclosure controls and procedures are effective. Disclosure controls and procedures are designed to ensure that information required to be disclosed in Company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evaluation has not identified any changes in the Company’s internal controls over financial reporting or in other factors that occurred during the last fiscal quarter that have materially affected or that are reasonably likely to materially affect the Company’s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37" w:right="239" w:bottom="1440" w:gutter="0" w:footer="0" w:header="0"/>
        </w:sectPr>
      </w:pPr>
    </w:p>
    <w:bookmarkStart w:id="34" w:name="page35"/>
    <w:bookmarkEnd w:id="3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 late 2012, Alice Ogues, a former employee of Travel Staff, LLC (then CC Staffing, Inc.) commenced a putative wage and hour class action against the company. The case is pending in the United States District Court for the Northern District of California, under the caption </w:t>
      </w:r>
      <w:r>
        <w:rPr>
          <w:rFonts w:ascii="Times New Roman" w:cs="Times New Roman" w:eastAsia="Times New Roman" w:hAnsi="Times New Roman"/>
          <w:sz w:val="18"/>
          <w:szCs w:val="18"/>
          <w:i w:val="1"/>
          <w:iCs w:val="1"/>
          <w:color w:val="auto"/>
        </w:rPr>
        <w:t>Ogues v. CC Staffing, Inc.</w:t>
      </w:r>
      <w:r>
        <w:rPr>
          <w:rFonts w:ascii="Times New Roman" w:cs="Times New Roman" w:eastAsia="Times New Roman" w:hAnsi="Times New Roman"/>
          <w:sz w:val="18"/>
          <w:szCs w:val="18"/>
          <w:color w:val="auto"/>
        </w:rPr>
        <w:t>, Case No. 12-cv-6135-JCS. The Plaintiff seeks to represent a class of all individuals employed by the company as non-exempt workers from December 4, 2008 to the present and alleges that Travel Staff: (1) failed to provide meal periods; (2) failed to provide rest breaks; (3) failed to pay minimum and overtime wages;</w:t>
      </w:r>
    </w:p>
    <w:p>
      <w:pPr>
        <w:spacing w:after="0" w:line="3" w:lineRule="exact"/>
        <w:rPr>
          <w:sz w:val="20"/>
          <w:szCs w:val="20"/>
          <w:color w:val="auto"/>
        </w:rPr>
      </w:pPr>
    </w:p>
    <w:p>
      <w:pPr>
        <w:ind w:right="20" w:firstLine="8"/>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timely pay wages during employment; (5) made unlawful deductions from wages; (6) failed to provide accurate itemized wage statements; (7) waiting time penalties; and (8) unfair competition. In June 2013, the parties reached a settlement in principle for $0.75 million, and are negotiating the terms of an agreement. Preliminary and final approval hearing dates have not yet been set by the court.</w:t>
      </w:r>
    </w:p>
    <w:p>
      <w:pPr>
        <w:spacing w:after="0" w:line="18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On September 8, 2010, the Company's subsidiary, Cross Country TravCorps, Inc. became the subject of an indemnity lawsuit (New Hanover Regional Medical Center vs. Cross Country TravCorps, Inc., d/b/a Cross Country Staffing, and Christina Lynn White) filed in the New Hanover County Civil Superior Court, State of North Carolina. Plaintiff alleged that a former employee of Cross Country TravCorps was negligent in caring for a patient which resulted in the death of that patient. New Hanover Regional Medical Center settled the claim pre-suit and subsequently brought an indemnity claim against the former nurse and Cross Country TravCorps for the actions of the nurse pursuant to the Staffing Agreement between Cross Country TravCorps and the hospital.</w:t>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19, 2013, an arbitration panel found the former nurse negligently caused the death of the patient and that New Hanover Regional Medical Center had no active negligence contributing to that death. Furthermore, the arbitration panel found that the facility was entitled to recover compensatory damages from the former nurse and Cross Country Staffing in the amount of approximately $2.0 million, plus pre-judgment interest (from September 8, 2010) at 8% per year. In addition, New Hanover Regional Medical Center was entitled to recover from Cross Country prejudgment interest on the compensatory damages from March 31, 2008 through September 7, 2010 at the rate of 8% per year and approximately $41,000 in attorneys' fees. The panel also found that, but for the negligence of the former nurse, Cross Country would have no liability to New Hanover Regional Medical Center; therefore, as a matter of equity Cross Country was entitled to recover indemnity from the former nurse to the full extent Cross Country actually paid New Hanover Regional Medical Center any portion of the award (other than the prejudgment interest from March 31, 2008 through September 7, 2010 and the approximately $41,000 in attorneys' fees). The former nurse had insurance coverage for this claim with $2.0 million (individual)/$4.0 million (aggregate) limits and no deductible. In addition, the Company has excess coverage that was expected to cover the amount of loss over $2.0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2013, the former nurse's insurance carrier paid New Hanover Regional Medical Center $2,000,000 and Cross Country made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payment to the facility in the amount of $920,450. Cross Country has been reimbursed $883,450 from its excess carrier and anticipates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of any remaining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also subject to other legal proceedings and claims that arise in the ordinary course of business. In the opinion of management, the outcome of these other matters will not have a significant effect on our consolidated financial position or results of operations.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to our Risk Factors as previously disclosed in our Form 10-K for the year ended December 31, 2012.</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immediately following signature page.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240" w:top="117" w:right="319" w:bottom="1440" w:gutter="0" w:footer="0" w:header="0"/>
        </w:sectPr>
      </w:pPr>
    </w:p>
    <w:bookmarkStart w:id="35" w:name="page36"/>
    <w:bookmarkEnd w:id="3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189" w:lineRule="exact"/>
        <w:rPr>
          <w:sz w:val="20"/>
          <w:szCs w:val="20"/>
          <w:color w:val="auto"/>
        </w:rPr>
      </w:pPr>
    </w:p>
    <w:p>
      <w:pPr>
        <w:ind w:left="40"/>
        <w:spacing w:after="0"/>
        <w:tabs>
          <w:tab w:leader="none" w:pos="5720" w:val="left"/>
          <w:tab w:leader="none" w:pos="6300" w:val="left"/>
        </w:tabs>
        <w:rPr>
          <w:sz w:val="20"/>
          <w:szCs w:val="20"/>
          <w:color w:val="auto"/>
        </w:rPr>
      </w:pPr>
      <w:r>
        <w:rPr>
          <w:rFonts w:ascii="Times New Roman" w:cs="Times New Roman" w:eastAsia="Times New Roman" w:hAnsi="Times New Roman"/>
          <w:sz w:val="18"/>
          <w:szCs w:val="18"/>
          <w:color w:val="auto"/>
        </w:rPr>
        <w:t>Date: August 7,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Emil Hensel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Emil Hensel</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 and Director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Financial Officer and Principal</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80"/>
          </w:cols>
          <w:pgMar w:left="240" w:top="576" w:right="3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94"/>
        </w:trPr>
        <w:tc>
          <w:tcPr>
            <w:tcW w:w="16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No.</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4"/>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1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Agreement, dated July 18, 2013, between Peachtree II and III, a Georgia limited liability company, and MDA Holdings, Inc.</w:t>
            </w: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Rule 13a-14(a) and Rule 15d-14 (a) by William J. Grubbs, President and Chief Executive Officer</w:t>
            </w:r>
          </w:p>
        </w:tc>
      </w:tr>
      <w:tr>
        <w:trPr>
          <w:trHeight w:val="39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Rule 13a-14(a) and Rule 15d-14 (a) by Emil Hensel, Chief Financial Officer</w:t>
            </w:r>
          </w:p>
        </w:tc>
      </w:tr>
      <w:tr>
        <w:trPr>
          <w:trHeight w:val="39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by William J. Grubbs, President and Chief Executive Officer</w:t>
            </w: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by Emil Hensel, Chief Financial Officer</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70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34</w:t>
            </w:r>
          </w:p>
        </w:tc>
      </w:tr>
    </w:tbl>
    <w:p>
      <w:pPr>
        <w:sectPr>
          <w:pgSz w:w="11900" w:h="16838" w:orient="portrait"/>
          <w:cols w:equalWidth="0" w:num="1">
            <w:col w:w="11420"/>
          </w:cols>
          <w:pgMar w:left="240" w:top="360" w:right="239" w:bottom="1440" w:gutter="0" w:footer="0" w:header="0"/>
        </w:sectPr>
      </w:pPr>
    </w:p>
    <w:bookmarkStart w:id="37" w:name="page38"/>
    <w:bookmarkEnd w:id="37"/>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OFFICE LEASE AGREEMENT</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BETWEEN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Peachtree II and III, L.L.C., a Georgia limited liability company</w:t>
      </w: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AS LANDLORD</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AND</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MDA HOLDINGS, INC.</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AS TENANT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July 18, 2013</w:t>
      </w:r>
    </w:p>
    <w:p>
      <w:pPr>
        <w:sectPr>
          <w:pgSz w:w="11900" w:h="16838" w:orient="portrait"/>
          <w:cols w:equalWidth="0" w:num="1">
            <w:col w:w="9019"/>
          </w:cols>
          <w:pgMar w:left="1440" w:top="1440" w:right="1440" w:bottom="1440" w:gutter="0" w:footer="0" w:header="0"/>
        </w:sectPr>
      </w:pPr>
    </w:p>
    <w:bookmarkStart w:id="38" w:name="page39"/>
    <w:bookmarkEnd w:id="38"/>
    <w:p>
      <w:pPr>
        <w:jc w:val="right"/>
        <w:ind w:right="333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w:t>
            </w: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Definitions and Basic Provisions  1</w:t>
            </w:r>
          </w:p>
        </w:tc>
        <w:tc>
          <w:tcPr>
            <w:tcW w:w="560" w:type="dxa"/>
            <w:vAlign w:val="bottom"/>
          </w:tcPr>
          <w:p>
            <w:pPr>
              <w:spacing w:after="0"/>
              <w:rPr>
                <w:sz w:val="23"/>
                <w:szCs w:val="23"/>
                <w:color w:val="auto"/>
              </w:rPr>
            </w:pPr>
          </w:p>
        </w:tc>
      </w:tr>
      <w:tr>
        <w:trPr>
          <w:trHeight w:val="270"/>
        </w:trPr>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2.</w:t>
            </w: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Lease Grant  1</w:t>
            </w:r>
          </w:p>
        </w:tc>
        <w:tc>
          <w:tcPr>
            <w:tcW w:w="560" w:type="dxa"/>
            <w:vAlign w:val="bottom"/>
          </w:tcPr>
          <w:p>
            <w:pPr>
              <w:spacing w:after="0"/>
              <w:rPr>
                <w:sz w:val="23"/>
                <w:szCs w:val="23"/>
                <w:color w:val="auto"/>
              </w:rPr>
            </w:pPr>
          </w:p>
        </w:tc>
      </w:tr>
      <w:tr>
        <w:trPr>
          <w:trHeight w:val="270"/>
        </w:trPr>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3.</w:t>
            </w: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Tender of Possession  1</w:t>
            </w:r>
          </w:p>
        </w:tc>
        <w:tc>
          <w:tcPr>
            <w:tcW w:w="560" w:type="dxa"/>
            <w:vAlign w:val="bottom"/>
          </w:tcPr>
          <w:p>
            <w:pPr>
              <w:spacing w:after="0"/>
              <w:rPr>
                <w:sz w:val="23"/>
                <w:szCs w:val="23"/>
                <w:color w:val="auto"/>
              </w:rPr>
            </w:pPr>
          </w:p>
        </w:tc>
      </w:tr>
      <w:tr>
        <w:trPr>
          <w:trHeight w:val="270"/>
        </w:trPr>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4.</w:t>
            </w:r>
          </w:p>
        </w:tc>
        <w:tc>
          <w:tcPr>
            <w:tcW w:w="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Rent</w:t>
            </w:r>
          </w:p>
        </w:tc>
        <w:tc>
          <w:tcPr>
            <w:tcW w:w="2640" w:type="dxa"/>
            <w:vAlign w:val="bottom"/>
          </w:tcPr>
          <w:p>
            <w:pPr>
              <w:jc w:val="right"/>
              <w:ind w:right="2372"/>
              <w:spacing w:after="0"/>
              <w:rPr>
                <w:sz w:val="20"/>
                <w:szCs w:val="20"/>
                <w:color w:val="auto"/>
              </w:rPr>
            </w:pPr>
            <w:r>
              <w:rPr>
                <w:rFonts w:ascii="Times New Roman" w:cs="Times New Roman" w:eastAsia="Times New Roman" w:hAnsi="Times New Roman"/>
                <w:sz w:val="22"/>
                <w:szCs w:val="22"/>
                <w:color w:val="auto"/>
              </w:rPr>
              <w:t>2</w:t>
            </w:r>
          </w:p>
        </w:tc>
        <w:tc>
          <w:tcPr>
            <w:tcW w:w="560" w:type="dxa"/>
            <w:vAlign w:val="bottom"/>
          </w:tcPr>
          <w:p>
            <w:pPr>
              <w:spacing w:after="0"/>
              <w:rPr>
                <w:sz w:val="23"/>
                <w:szCs w:val="23"/>
                <w:color w:val="auto"/>
              </w:rPr>
            </w:pPr>
          </w:p>
        </w:tc>
      </w:tr>
      <w:tr>
        <w:trPr>
          <w:trHeight w:val="270"/>
        </w:trPr>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5.</w:t>
            </w:r>
          </w:p>
        </w:tc>
        <w:tc>
          <w:tcPr>
            <w:tcW w:w="38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Delinquent Payment; Handling Charges  2</w:t>
            </w:r>
          </w:p>
        </w:tc>
      </w:tr>
      <w:tr>
        <w:trPr>
          <w:trHeight w:val="270"/>
        </w:trPr>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6.</w:t>
            </w:r>
          </w:p>
        </w:tc>
        <w:tc>
          <w:tcPr>
            <w:tcW w:w="33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Services; Utilities; Common Areas</w:t>
            </w:r>
          </w:p>
        </w:tc>
        <w:tc>
          <w:tcPr>
            <w:tcW w:w="5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260" w:type="dxa"/>
            <w:vAlign w:val="bottom"/>
          </w:tcPr>
          <w:p>
            <w:pPr>
              <w:spacing w:after="0"/>
              <w:rPr>
                <w:sz w:val="23"/>
                <w:szCs w:val="23"/>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w:t>
            </w:r>
          </w:p>
        </w:tc>
        <w:tc>
          <w:tcPr>
            <w:tcW w:w="26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Services  3</w:t>
            </w:r>
          </w:p>
        </w:tc>
        <w:tc>
          <w:tcPr>
            <w:tcW w:w="560" w:type="dxa"/>
            <w:vAlign w:val="bottom"/>
          </w:tcPr>
          <w:p>
            <w:pPr>
              <w:spacing w:after="0"/>
              <w:rPr>
                <w:sz w:val="23"/>
                <w:szCs w:val="23"/>
                <w:color w:val="auto"/>
              </w:rPr>
            </w:pPr>
          </w:p>
        </w:tc>
      </w:tr>
      <w:tr>
        <w:trPr>
          <w:trHeight w:val="281"/>
        </w:trPr>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Janitorial Services</w:t>
            </w:r>
          </w:p>
        </w:tc>
        <w:tc>
          <w:tcPr>
            <w:tcW w:w="5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4</w:t>
            </w:r>
          </w:p>
        </w:tc>
      </w:tr>
    </w:tbl>
    <w:p>
      <w:pPr>
        <w:ind w:left="1100" w:hanging="444"/>
        <w:spacing w:after="0"/>
        <w:tabs>
          <w:tab w:leader="none" w:pos="11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Areas  4</w:t>
      </w:r>
    </w:p>
    <w:p>
      <w:pPr>
        <w:spacing w:after="0" w:line="5"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Parking  5</w:t>
      </w:r>
    </w:p>
    <w:p>
      <w:pPr>
        <w:spacing w:after="0" w:line="17" w:lineRule="exact"/>
        <w:rPr>
          <w:sz w:val="20"/>
          <w:szCs w:val="20"/>
          <w:color w:val="auto"/>
        </w:rPr>
      </w:pPr>
    </w:p>
    <w:p>
      <w:pPr>
        <w:spacing w:after="0"/>
        <w:tabs>
          <w:tab w:leader="none" w:pos="340" w:val="left"/>
          <w:tab w:leader="none" w:pos="5640" w:val="left"/>
        </w:tabs>
        <w:rPr>
          <w:sz w:val="20"/>
          <w:szCs w:val="20"/>
          <w:color w:val="auto"/>
        </w:rPr>
      </w:pPr>
      <w:r>
        <w:rPr>
          <w:rFonts w:ascii="Times New Roman" w:cs="Times New Roman" w:eastAsia="Times New Roman" w:hAnsi="Times New Roman"/>
          <w:sz w:val="22"/>
          <w:szCs w:val="22"/>
          <w:color w:val="auto"/>
        </w:rPr>
        <w:t>7.</w:t>
        <w:tab/>
        <w:t>Alterations; Repairs; Maintenance; Signs; Security System</w:t>
        <w:tab/>
        <w:t>5</w:t>
      </w:r>
    </w:p>
    <w:p>
      <w:pPr>
        <w:spacing w:after="0" w:line="17" w:lineRule="exact"/>
        <w:rPr>
          <w:sz w:val="20"/>
          <w:szCs w:val="20"/>
          <w:color w:val="auto"/>
        </w:rPr>
      </w:pPr>
    </w:p>
    <w:p>
      <w:pPr>
        <w:ind w:left="1100" w:hanging="444"/>
        <w:spacing w:after="0"/>
        <w:tabs>
          <w:tab w:leader="none" w:pos="11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Alterations  5</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Repairs; Maintenance  7</w:t>
      </w:r>
    </w:p>
    <w:p>
      <w:pPr>
        <w:spacing w:after="0" w:line="17"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Landlord  7</w:t>
      </w:r>
    </w:p>
    <w:p>
      <w:pPr>
        <w:spacing w:after="0" w:line="17"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Tenant  7</w:t>
      </w:r>
    </w:p>
    <w:p>
      <w:pPr>
        <w:spacing w:after="0" w:line="17" w:lineRule="exact"/>
        <w:rPr>
          <w:sz w:val="20"/>
          <w:szCs w:val="20"/>
          <w:color w:val="auto"/>
        </w:rPr>
      </w:pPr>
    </w:p>
    <w:p>
      <w:pPr>
        <w:ind w:left="1300"/>
        <w:spacing w:after="0"/>
        <w:tabs>
          <w:tab w:leader="none" w:pos="1800" w:val="left"/>
          <w:tab w:leader="none" w:pos="3880" w:val="left"/>
        </w:tabs>
        <w:rPr>
          <w:sz w:val="20"/>
          <w:szCs w:val="20"/>
          <w:color w:val="auto"/>
        </w:rPr>
      </w:pPr>
      <w:r>
        <w:rPr>
          <w:rFonts w:ascii="Times New Roman" w:cs="Times New Roman" w:eastAsia="Times New Roman" w:hAnsi="Times New Roman"/>
          <w:sz w:val="22"/>
          <w:szCs w:val="22"/>
          <w:color w:val="auto"/>
        </w:rPr>
        <w:t>(iii)</w:t>
        <w:tab/>
        <w:t>Performance of Work</w:t>
        <w:tab/>
        <w:t>9</w:t>
      </w:r>
    </w:p>
    <w:p>
      <w:pPr>
        <w:spacing w:after="0" w:line="17" w:lineRule="exact"/>
        <w:rPr>
          <w:sz w:val="20"/>
          <w:szCs w:val="20"/>
          <w:color w:val="auto"/>
        </w:rPr>
      </w:pPr>
    </w:p>
    <w:p>
      <w:pPr>
        <w:ind w:left="1100" w:hanging="444"/>
        <w:spacing w:after="0"/>
        <w:tabs>
          <w:tab w:leader="none" w:pos="11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Mechanic’s Liens  9</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Signs  10</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System  10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8.</w:t>
            </w:r>
          </w:p>
        </w:tc>
        <w:tc>
          <w:tcPr>
            <w:tcW w:w="2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Use  11</w:t>
            </w:r>
          </w:p>
        </w:tc>
      </w:tr>
      <w:tr>
        <w:trPr>
          <w:trHeight w:val="283"/>
        </w:trPr>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9.</w:t>
            </w:r>
          </w:p>
        </w:tc>
        <w:tc>
          <w:tcPr>
            <w:tcW w:w="28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Assignment and Subletting  12</w:t>
            </w:r>
          </w:p>
        </w:tc>
      </w:tr>
    </w:tbl>
    <w:p>
      <w:pPr>
        <w:ind w:left="1100" w:hanging="444"/>
        <w:spacing w:after="0"/>
        <w:tabs>
          <w:tab w:leader="none" w:pos="11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12</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Standards  12</w:t>
      </w:r>
    </w:p>
    <w:p>
      <w:pPr>
        <w:spacing w:after="0" w:line="17" w:lineRule="exact"/>
        <w:rPr>
          <w:sz w:val="20"/>
          <w:szCs w:val="20"/>
          <w:color w:val="auto"/>
        </w:rPr>
      </w:pPr>
    </w:p>
    <w:p>
      <w:pPr>
        <w:ind w:left="660"/>
        <w:spacing w:after="0"/>
        <w:tabs>
          <w:tab w:leader="none" w:pos="1080" w:val="left"/>
          <w:tab w:leader="none" w:pos="3060" w:val="left"/>
        </w:tabs>
        <w:rPr>
          <w:sz w:val="20"/>
          <w:szCs w:val="20"/>
          <w:color w:val="auto"/>
        </w:rPr>
      </w:pPr>
      <w:r>
        <w:rPr>
          <w:rFonts w:ascii="Times New Roman" w:cs="Times New Roman" w:eastAsia="Times New Roman" w:hAnsi="Times New Roman"/>
          <w:sz w:val="22"/>
          <w:szCs w:val="22"/>
          <w:color w:val="auto"/>
        </w:rPr>
        <w:t>(c)</w:t>
        <w:tab/>
        <w:t>Request for Consent</w:t>
        <w:tab/>
        <w:t>12</w:t>
      </w:r>
    </w:p>
    <w:p>
      <w:pPr>
        <w:spacing w:after="0" w:line="17" w:lineRule="exact"/>
        <w:rPr>
          <w:sz w:val="20"/>
          <w:szCs w:val="20"/>
          <w:color w:val="auto"/>
        </w:rPr>
      </w:pPr>
    </w:p>
    <w:p>
      <w:pPr>
        <w:ind w:left="660"/>
        <w:spacing w:after="0"/>
        <w:tabs>
          <w:tab w:leader="none" w:pos="1080" w:val="left"/>
          <w:tab w:leader="none" w:pos="3240" w:val="left"/>
        </w:tabs>
        <w:rPr>
          <w:sz w:val="20"/>
          <w:szCs w:val="20"/>
          <w:color w:val="auto"/>
        </w:rPr>
      </w:pPr>
      <w:r>
        <w:rPr>
          <w:rFonts w:ascii="Times New Roman" w:cs="Times New Roman" w:eastAsia="Times New Roman" w:hAnsi="Times New Roman"/>
          <w:sz w:val="22"/>
          <w:szCs w:val="22"/>
          <w:color w:val="auto"/>
        </w:rPr>
        <w:t>(d)</w:t>
        <w:tab/>
        <w:t>Conditions to Consent</w:t>
        <w:tab/>
        <w:t>13</w:t>
      </w:r>
    </w:p>
    <w:p>
      <w:pPr>
        <w:spacing w:after="0" w:line="17" w:lineRule="exact"/>
        <w:rPr>
          <w:sz w:val="20"/>
          <w:szCs w:val="20"/>
          <w:color w:val="auto"/>
        </w:rPr>
      </w:pPr>
    </w:p>
    <w:p>
      <w:pPr>
        <w:ind w:left="660"/>
        <w:spacing w:after="0"/>
        <w:tabs>
          <w:tab w:leader="none" w:pos="1080" w:val="left"/>
          <w:tab w:leader="none" w:pos="3560" w:val="left"/>
        </w:tabs>
        <w:rPr>
          <w:sz w:val="20"/>
          <w:szCs w:val="20"/>
          <w:color w:val="auto"/>
        </w:rPr>
      </w:pPr>
      <w:r>
        <w:rPr>
          <w:rFonts w:ascii="Times New Roman" w:cs="Times New Roman" w:eastAsia="Times New Roman" w:hAnsi="Times New Roman"/>
          <w:sz w:val="22"/>
          <w:szCs w:val="22"/>
          <w:color w:val="auto"/>
        </w:rPr>
        <w:t>(e)</w:t>
        <w:tab/>
        <w:t>Attornment by Subtenants</w:t>
        <w:tab/>
        <w:t>13</w:t>
      </w:r>
    </w:p>
    <w:p>
      <w:pPr>
        <w:spacing w:after="0" w:line="1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Cancellation  14</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Compensation  15</w:t>
      </w:r>
    </w:p>
    <w:p>
      <w:pPr>
        <w:spacing w:after="0" w:line="17" w:lineRule="exact"/>
        <w:rPr>
          <w:sz w:val="20"/>
          <w:szCs w:val="20"/>
          <w:color w:val="auto"/>
        </w:rPr>
      </w:pPr>
    </w:p>
    <w:p>
      <w:pPr>
        <w:spacing w:after="0"/>
        <w:tabs>
          <w:tab w:leader="none" w:pos="460" w:val="left"/>
          <w:tab w:leader="none" w:pos="4500" w:val="left"/>
        </w:tabs>
        <w:rPr>
          <w:sz w:val="20"/>
          <w:szCs w:val="20"/>
          <w:color w:val="auto"/>
        </w:rPr>
      </w:pPr>
      <w:r>
        <w:rPr>
          <w:rFonts w:ascii="Times New Roman" w:cs="Times New Roman" w:eastAsia="Times New Roman" w:hAnsi="Times New Roman"/>
          <w:sz w:val="22"/>
          <w:szCs w:val="22"/>
          <w:color w:val="auto"/>
        </w:rPr>
        <w:t>10.</w:t>
        <w:tab/>
        <w:t>Insurance; Waivers; Subrogation; Indemnity</w:t>
        <w:tab/>
        <w:t>16</w:t>
      </w:r>
    </w:p>
    <w:p>
      <w:pPr>
        <w:spacing w:after="0" w:line="17"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34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20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Tenant’s Insurance. .</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83"/>
        </w:trPr>
        <w:tc>
          <w:tcPr>
            <w:tcW w:w="34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20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Landlord’s Insurance</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bl>
    <w:p>
      <w:pPr>
        <w:ind w:left="1100" w:hanging="444"/>
        <w:spacing w:after="0"/>
        <w:tabs>
          <w:tab w:leader="none" w:pos="11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Waiver of Subrogation.   18</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Indemnity.   18</w:t>
      </w:r>
    </w:p>
    <w:p>
      <w:pPr>
        <w:spacing w:after="0" w:line="17" w:lineRule="exact"/>
        <w:rPr>
          <w:sz w:val="20"/>
          <w:szCs w:val="20"/>
          <w:color w:val="auto"/>
        </w:rPr>
      </w:pPr>
    </w:p>
    <w:p>
      <w:pPr>
        <w:spacing w:after="0"/>
        <w:tabs>
          <w:tab w:leader="none" w:pos="440" w:val="left"/>
          <w:tab w:leader="none" w:pos="5900" w:val="left"/>
        </w:tabs>
        <w:rPr>
          <w:sz w:val="20"/>
          <w:szCs w:val="20"/>
          <w:color w:val="auto"/>
        </w:rPr>
      </w:pPr>
      <w:r>
        <w:rPr>
          <w:rFonts w:ascii="Times New Roman" w:cs="Times New Roman" w:eastAsia="Times New Roman" w:hAnsi="Times New Roman"/>
          <w:sz w:val="22"/>
          <w:szCs w:val="22"/>
          <w:color w:val="auto"/>
        </w:rPr>
        <w:t>11.</w:t>
        <w:tab/>
        <w:t>Subordination; Attornment; Notice to Landlord’s Mortgagee</w:t>
      </w:r>
      <w:r>
        <w:rPr>
          <w:sz w:val="20"/>
          <w:szCs w:val="20"/>
          <w:color w:val="auto"/>
        </w:rPr>
        <w:tab/>
      </w:r>
      <w:r>
        <w:rPr>
          <w:rFonts w:ascii="Times New Roman" w:cs="Times New Roman" w:eastAsia="Times New Roman" w:hAnsi="Times New Roman"/>
          <w:sz w:val="19"/>
          <w:szCs w:val="19"/>
          <w:color w:val="auto"/>
        </w:rPr>
        <w:t>19</w:t>
      </w:r>
    </w:p>
    <w:p>
      <w:pPr>
        <w:spacing w:after="0" w:line="17" w:lineRule="exact"/>
        <w:rPr>
          <w:sz w:val="20"/>
          <w:szCs w:val="20"/>
          <w:color w:val="auto"/>
        </w:rPr>
      </w:pPr>
    </w:p>
    <w:p>
      <w:pPr>
        <w:ind w:left="1100" w:hanging="444"/>
        <w:spacing w:after="0"/>
        <w:tabs>
          <w:tab w:leader="none" w:pos="11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Subordination  19</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Attornment  19</w:t>
      </w:r>
    </w:p>
    <w:p>
      <w:pPr>
        <w:spacing w:after="0" w:line="17" w:lineRule="exact"/>
        <w:rPr>
          <w:sz w:val="20"/>
          <w:szCs w:val="20"/>
          <w:color w:val="auto"/>
        </w:rPr>
      </w:pPr>
    </w:p>
    <w:p>
      <w:pPr>
        <w:ind w:left="660"/>
        <w:spacing w:after="0"/>
        <w:tabs>
          <w:tab w:leader="none" w:pos="1080" w:val="left"/>
          <w:tab w:leader="none" w:pos="4060" w:val="left"/>
        </w:tabs>
        <w:rPr>
          <w:sz w:val="20"/>
          <w:szCs w:val="20"/>
          <w:color w:val="auto"/>
        </w:rPr>
      </w:pPr>
      <w:r>
        <w:rPr>
          <w:rFonts w:ascii="Times New Roman" w:cs="Times New Roman" w:eastAsia="Times New Roman" w:hAnsi="Times New Roman"/>
          <w:sz w:val="22"/>
          <w:szCs w:val="22"/>
          <w:color w:val="auto"/>
        </w:rPr>
        <w:t>(c)</w:t>
        <w:tab/>
        <w:t>Notice to Landlord’s Mortgagee</w:t>
        <w:tab/>
        <w:t>19</w:t>
      </w:r>
    </w:p>
    <w:p>
      <w:pPr>
        <w:spacing w:after="0" w:line="17" w:lineRule="exact"/>
        <w:rPr>
          <w:sz w:val="20"/>
          <w:szCs w:val="20"/>
          <w:color w:val="auto"/>
        </w:rPr>
      </w:pPr>
    </w:p>
    <w:p>
      <w:pPr>
        <w:ind w:left="660"/>
        <w:spacing w:after="0"/>
        <w:tabs>
          <w:tab w:leader="none" w:pos="1080" w:val="left"/>
          <w:tab w:leader="none" w:pos="5280" w:val="left"/>
        </w:tabs>
        <w:rPr>
          <w:sz w:val="20"/>
          <w:szCs w:val="20"/>
          <w:color w:val="auto"/>
        </w:rPr>
      </w:pPr>
      <w:r>
        <w:rPr>
          <w:rFonts w:ascii="Times New Roman" w:cs="Times New Roman" w:eastAsia="Times New Roman" w:hAnsi="Times New Roman"/>
          <w:sz w:val="22"/>
          <w:szCs w:val="22"/>
          <w:color w:val="auto"/>
        </w:rPr>
        <w:t>(d)</w:t>
        <w:tab/>
        <w:t>Landlord’s Mortgagee’s Protection Provisions</w:t>
        <w:tab/>
        <w:t>19</w:t>
      </w:r>
    </w:p>
    <w:p>
      <w:pPr>
        <w:spacing w:after="0" w:line="17" w:lineRule="exact"/>
        <w:rPr>
          <w:sz w:val="20"/>
          <w:szCs w:val="20"/>
          <w:color w:val="auto"/>
        </w:rPr>
      </w:pPr>
    </w:p>
    <w:p>
      <w:pPr>
        <w:spacing w:after="0"/>
        <w:tabs>
          <w:tab w:leader="none" w:pos="460" w:val="left"/>
          <w:tab w:leader="none" w:pos="2620" w:val="left"/>
        </w:tabs>
        <w:rPr>
          <w:sz w:val="20"/>
          <w:szCs w:val="20"/>
          <w:color w:val="auto"/>
        </w:rPr>
      </w:pPr>
      <w:r>
        <w:rPr>
          <w:rFonts w:ascii="Times New Roman" w:cs="Times New Roman" w:eastAsia="Times New Roman" w:hAnsi="Times New Roman"/>
          <w:sz w:val="22"/>
          <w:szCs w:val="22"/>
          <w:color w:val="auto"/>
        </w:rPr>
        <w:t>12.</w:t>
        <w:tab/>
        <w:t>Rules and Regulations</w:t>
        <w:tab/>
        <w:t>19</w:t>
      </w:r>
    </w:p>
    <w:p>
      <w:pPr>
        <w:spacing w:after="0" w:line="17" w:lineRule="exact"/>
        <w:rPr>
          <w:sz w:val="20"/>
          <w:szCs w:val="20"/>
          <w:color w:val="auto"/>
        </w:rPr>
      </w:pPr>
    </w:p>
    <w:p>
      <w:pPr>
        <w:ind w:left="480" w:hanging="472"/>
        <w:spacing w:after="0"/>
        <w:tabs>
          <w:tab w:leader="none" w:pos="4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Condemnation  19</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Taking  20</w:t>
      </w:r>
    </w:p>
    <w:p>
      <w:pPr>
        <w:spacing w:after="0" w:line="17"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34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3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Partial Taking - Tenant’s Rights</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20</w:t>
            </w:r>
          </w:p>
        </w:tc>
      </w:tr>
      <w:tr>
        <w:trPr>
          <w:trHeight w:val="283"/>
        </w:trPr>
        <w:tc>
          <w:tcPr>
            <w:tcW w:w="34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30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6"/>
              </w:rPr>
              <w:t>Partial Taking - Landlord’s Rights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219"/>
          </w:cols>
          <w:pgMar w:left="240" w:top="621" w:right="1440" w:bottom="1440" w:gutter="0" w:footer="0" w:header="0"/>
        </w:sectPr>
      </w:pP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219"/>
          </w:cols>
          <w:pgMar w:left="240" w:top="621" w:right="1440" w:bottom="1440" w:gutter="0" w:footer="0" w:header="0"/>
          <w:type w:val="continuous"/>
        </w:sectPr>
      </w:pPr>
    </w:p>
    <w:bookmarkStart w:id="39" w:name="page40"/>
    <w:bookmarkEnd w:id="39"/>
    <w:p>
      <w:pPr>
        <w:ind w:left="660"/>
        <w:spacing w:after="0"/>
        <w:tabs>
          <w:tab w:leader="none" w:pos="1080" w:val="left"/>
          <w:tab w:leader="none" w:pos="1880" w:val="left"/>
        </w:tabs>
        <w:rPr>
          <w:sz w:val="20"/>
          <w:szCs w:val="20"/>
          <w:color w:val="auto"/>
        </w:rPr>
      </w:pPr>
      <w:r>
        <w:rPr>
          <w:rFonts w:ascii="Times New Roman" w:cs="Times New Roman" w:eastAsia="Times New Roman" w:hAnsi="Times New Roman"/>
          <w:sz w:val="22"/>
          <w:szCs w:val="22"/>
          <w:color w:val="auto"/>
        </w:rPr>
        <w:t>(d)</w:t>
        <w:tab/>
        <w:t>Award</w:t>
      </w:r>
      <w:r>
        <w:rPr>
          <w:sz w:val="20"/>
          <w:szCs w:val="20"/>
          <w:color w:val="auto"/>
        </w:rPr>
        <w:tab/>
      </w:r>
      <w:r>
        <w:rPr>
          <w:rFonts w:ascii="Times New Roman" w:cs="Times New Roman" w:eastAsia="Times New Roman" w:hAnsi="Times New Roman"/>
          <w:sz w:val="19"/>
          <w:szCs w:val="19"/>
          <w:color w:val="auto"/>
        </w:rPr>
        <w:t>20</w:t>
      </w:r>
    </w:p>
    <w:p>
      <w:pPr>
        <w:spacing w:after="0" w:line="30" w:lineRule="exact"/>
        <w:rPr>
          <w:sz w:val="20"/>
          <w:szCs w:val="20"/>
          <w:color w:val="auto"/>
        </w:rPr>
      </w:pPr>
    </w:p>
    <w:p>
      <w:pPr>
        <w:spacing w:after="0"/>
        <w:tabs>
          <w:tab w:leader="none" w:pos="460" w:val="left"/>
          <w:tab w:leader="none" w:pos="2620" w:val="left"/>
        </w:tabs>
        <w:rPr>
          <w:sz w:val="20"/>
          <w:szCs w:val="20"/>
          <w:color w:val="auto"/>
        </w:rPr>
      </w:pPr>
      <w:r>
        <w:rPr>
          <w:rFonts w:ascii="Times New Roman" w:cs="Times New Roman" w:eastAsia="Times New Roman" w:hAnsi="Times New Roman"/>
          <w:sz w:val="22"/>
          <w:szCs w:val="22"/>
          <w:color w:val="auto"/>
        </w:rPr>
        <w:t>14.</w:t>
        <w:tab/>
        <w:t>Fire or Other Casualty</w:t>
      </w:r>
      <w:r>
        <w:rPr>
          <w:sz w:val="20"/>
          <w:szCs w:val="20"/>
          <w:color w:val="auto"/>
        </w:rPr>
        <w:tab/>
      </w:r>
      <w:r>
        <w:rPr>
          <w:rFonts w:ascii="Times New Roman" w:cs="Times New Roman" w:eastAsia="Times New Roman" w:hAnsi="Times New Roman"/>
          <w:sz w:val="19"/>
          <w:szCs w:val="19"/>
          <w:color w:val="auto"/>
        </w:rPr>
        <w:t>20</w:t>
      </w:r>
    </w:p>
    <w:p>
      <w:pPr>
        <w:spacing w:after="0" w:line="17" w:lineRule="exact"/>
        <w:rPr>
          <w:sz w:val="20"/>
          <w:szCs w:val="20"/>
          <w:color w:val="auto"/>
        </w:rPr>
      </w:pPr>
    </w:p>
    <w:p>
      <w:pPr>
        <w:ind w:left="1100" w:hanging="444"/>
        <w:spacing w:after="0"/>
        <w:tabs>
          <w:tab w:leader="none" w:pos="11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Repair Estimate  20</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Rights  20</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Rights  21</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Repair Obligation  21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0" w:type="dxa"/>
            <w:vAlign w:val="bottom"/>
          </w:tcPr>
          <w:p>
            <w:pPr>
              <w:spacing w:after="0"/>
              <w:rPr>
                <w:sz w:val="22"/>
                <w:szCs w:val="22"/>
                <w:color w:val="auto"/>
              </w:rPr>
            </w:pPr>
          </w:p>
        </w:tc>
        <w:tc>
          <w:tcPr>
            <w:tcW w:w="2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  Abatement of Rent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15.</w:t>
            </w: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Personal Property Taxes</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9"/>
              </w:rPr>
              <w:t>21</w:t>
            </w:r>
          </w:p>
        </w:tc>
      </w:tr>
      <w:tr>
        <w:trPr>
          <w:trHeight w:val="283"/>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16.</w:t>
            </w: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Events of Default  21</w:t>
            </w:r>
          </w:p>
        </w:tc>
        <w:tc>
          <w:tcPr>
            <w:tcW w:w="420" w:type="dxa"/>
            <w:vAlign w:val="bottom"/>
          </w:tcPr>
          <w:p>
            <w:pPr>
              <w:spacing w:after="0"/>
              <w:rPr>
                <w:sz w:val="24"/>
                <w:szCs w:val="24"/>
                <w:color w:val="auto"/>
              </w:rPr>
            </w:pPr>
          </w:p>
        </w:tc>
      </w:tr>
    </w:tbl>
    <w:p>
      <w:pPr>
        <w:ind w:left="1100" w:hanging="444"/>
        <w:spacing w:after="0"/>
        <w:tabs>
          <w:tab w:leader="none" w:pos="11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Default  21</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Abandonment  21</w:t>
      </w:r>
    </w:p>
    <w:p>
      <w:pPr>
        <w:spacing w:after="0" w:line="17" w:lineRule="exact"/>
        <w:rPr>
          <w:sz w:val="20"/>
          <w:szCs w:val="20"/>
          <w:color w:val="auto"/>
        </w:rPr>
      </w:pPr>
    </w:p>
    <w:p>
      <w:pPr>
        <w:ind w:left="660"/>
        <w:spacing w:after="0"/>
        <w:tabs>
          <w:tab w:leader="none" w:pos="1080" w:val="left"/>
          <w:tab w:leader="none" w:pos="6340" w:val="left"/>
        </w:tabs>
        <w:rPr>
          <w:sz w:val="20"/>
          <w:szCs w:val="20"/>
          <w:color w:val="auto"/>
        </w:rPr>
      </w:pPr>
      <w:r>
        <w:rPr>
          <w:rFonts w:ascii="Times New Roman" w:cs="Times New Roman" w:eastAsia="Times New Roman" w:hAnsi="Times New Roman"/>
          <w:sz w:val="22"/>
          <w:szCs w:val="22"/>
          <w:color w:val="auto"/>
        </w:rPr>
        <w:t>(c)</w:t>
        <w:tab/>
        <w:t>Estoppel/Financial Statement/Commencement Date Letter</w:t>
        <w:tab/>
        <w:t>22</w:t>
      </w:r>
    </w:p>
    <w:p>
      <w:pPr>
        <w:spacing w:after="0" w:line="17" w:lineRule="exact"/>
        <w:rPr>
          <w:sz w:val="20"/>
          <w:szCs w:val="20"/>
          <w:color w:val="auto"/>
        </w:rPr>
      </w:pPr>
    </w:p>
    <w:p>
      <w:pPr>
        <w:ind w:left="1100" w:hanging="444"/>
        <w:spacing w:after="0"/>
        <w:tabs>
          <w:tab w:leader="none" w:pos="11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22</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Mechanic’s Liens  22</w:t>
      </w:r>
    </w:p>
    <w:p>
      <w:pPr>
        <w:spacing w:after="0" w:line="1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Defaults  22</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Insolvency  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17.</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Remedies  22</w:t>
            </w:r>
          </w:p>
        </w:tc>
        <w:tc>
          <w:tcPr>
            <w:tcW w:w="2820" w:type="dxa"/>
            <w:vAlign w:val="bottom"/>
          </w:tcPr>
          <w:p>
            <w:pPr>
              <w:spacing w:after="0"/>
              <w:rPr>
                <w:sz w:val="22"/>
                <w:szCs w:val="22"/>
                <w:color w:val="auto"/>
              </w:rPr>
            </w:pPr>
          </w:p>
        </w:tc>
      </w:tr>
      <w:tr>
        <w:trPr>
          <w:trHeight w:val="270"/>
        </w:trPr>
        <w:tc>
          <w:tcPr>
            <w:tcW w:w="380" w:type="dxa"/>
            <w:vAlign w:val="bottom"/>
          </w:tcPr>
          <w:p>
            <w:pPr>
              <w:spacing w:after="0"/>
              <w:rPr>
                <w:sz w:val="23"/>
                <w:szCs w:val="23"/>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w:t>
            </w:r>
          </w:p>
        </w:tc>
        <w:tc>
          <w:tcPr>
            <w:tcW w:w="19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Termination of Lease</w:t>
            </w:r>
          </w:p>
        </w:tc>
        <w:tc>
          <w:tcPr>
            <w:tcW w:w="2820" w:type="dxa"/>
            <w:vAlign w:val="bottom"/>
          </w:tcPr>
          <w:p>
            <w:pPr>
              <w:jc w:val="right"/>
              <w:ind w:right="2292"/>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380" w:type="dxa"/>
            <w:vAlign w:val="bottom"/>
          </w:tcPr>
          <w:p>
            <w:pPr>
              <w:spacing w:after="0"/>
              <w:rPr>
                <w:sz w:val="23"/>
                <w:szCs w:val="23"/>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(b)</w:t>
            </w:r>
          </w:p>
        </w:tc>
        <w:tc>
          <w:tcPr>
            <w:tcW w:w="4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Termination of Possession  23</w:t>
            </w:r>
          </w:p>
        </w:tc>
      </w:tr>
      <w:tr>
        <w:trPr>
          <w:trHeight w:val="270"/>
        </w:trPr>
        <w:tc>
          <w:tcPr>
            <w:tcW w:w="380" w:type="dxa"/>
            <w:vAlign w:val="bottom"/>
          </w:tcPr>
          <w:p>
            <w:pPr>
              <w:spacing w:after="0"/>
              <w:rPr>
                <w:sz w:val="23"/>
                <w:szCs w:val="23"/>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w:t>
            </w:r>
          </w:p>
        </w:tc>
        <w:tc>
          <w:tcPr>
            <w:tcW w:w="4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Perform Acts on Behalf of Tenant  23</w:t>
            </w:r>
          </w:p>
        </w:tc>
      </w:tr>
      <w:tr>
        <w:trPr>
          <w:trHeight w:val="270"/>
        </w:trPr>
        <w:tc>
          <w:tcPr>
            <w:tcW w:w="380" w:type="dxa"/>
            <w:vAlign w:val="bottom"/>
          </w:tcPr>
          <w:p>
            <w:pPr>
              <w:spacing w:after="0"/>
              <w:rPr>
                <w:sz w:val="23"/>
                <w:szCs w:val="23"/>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(d)</w:t>
            </w:r>
          </w:p>
        </w:tc>
        <w:tc>
          <w:tcPr>
            <w:tcW w:w="19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Alteration of Locks</w:t>
            </w:r>
          </w:p>
        </w:tc>
        <w:tc>
          <w:tcPr>
            <w:tcW w:w="2820" w:type="dxa"/>
            <w:vAlign w:val="bottom"/>
          </w:tcPr>
          <w:p>
            <w:pPr>
              <w:jc w:val="right"/>
              <w:ind w:right="2432"/>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18.</w:t>
            </w:r>
          </w:p>
        </w:tc>
        <w:tc>
          <w:tcPr>
            <w:tcW w:w="5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9"/>
              </w:rPr>
              <w:t>Payment by Tenant; Non-Waiver; Cumulative Remedies  23</w:t>
            </w:r>
          </w:p>
        </w:tc>
      </w:tr>
      <w:tr>
        <w:trPr>
          <w:trHeight w:val="283"/>
        </w:trPr>
        <w:tc>
          <w:tcPr>
            <w:tcW w:w="38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w:t>
            </w:r>
          </w:p>
        </w:tc>
        <w:tc>
          <w:tcPr>
            <w:tcW w:w="19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Payment by Tenant</w:t>
            </w:r>
          </w:p>
        </w:tc>
        <w:tc>
          <w:tcPr>
            <w:tcW w:w="2820" w:type="dxa"/>
            <w:vAlign w:val="bottom"/>
          </w:tcPr>
          <w:p>
            <w:pPr>
              <w:jc w:val="right"/>
              <w:ind w:right="2472"/>
              <w:spacing w:after="0"/>
              <w:rPr>
                <w:sz w:val="20"/>
                <w:szCs w:val="20"/>
                <w:color w:val="auto"/>
              </w:rPr>
            </w:pPr>
            <w:r>
              <w:rPr>
                <w:rFonts w:ascii="Times New Roman" w:cs="Times New Roman" w:eastAsia="Times New Roman" w:hAnsi="Times New Roman"/>
                <w:sz w:val="22"/>
                <w:szCs w:val="22"/>
                <w:color w:val="auto"/>
                <w:w w:val="99"/>
              </w:rPr>
              <w:t>23</w:t>
            </w:r>
          </w:p>
        </w:tc>
      </w:tr>
    </w:tbl>
    <w:p>
      <w:pPr>
        <w:ind w:left="1100" w:hanging="444"/>
        <w:spacing w:after="0"/>
        <w:tabs>
          <w:tab w:leader="none" w:pos="110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Waiver  24</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Cumulative Remedies  24</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Designation  24</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Counterclaims  24</w:t>
      </w:r>
    </w:p>
    <w:p>
      <w:pPr>
        <w:spacing w:after="0" w:line="17"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Lien  25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20.</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Surrender of Premises  25</w:t>
            </w:r>
          </w:p>
        </w:tc>
      </w:tr>
      <w:tr>
        <w:trPr>
          <w:trHeight w:val="270"/>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21.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Holding Over  25</w:t>
            </w:r>
          </w:p>
        </w:tc>
      </w:tr>
      <w:tr>
        <w:trPr>
          <w:trHeight w:val="283"/>
        </w:trPr>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22.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Certain Rights Reserved by Landlord  26</w:t>
            </w:r>
          </w:p>
        </w:tc>
      </w:tr>
    </w:tbl>
    <w:p>
      <w:pPr>
        <w:ind w:left="1100" w:hanging="444"/>
        <w:spacing w:after="0"/>
        <w:tabs>
          <w:tab w:leader="none" w:pos="11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Building Operations  26</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26</w:t>
      </w:r>
    </w:p>
    <w:p>
      <w:pPr>
        <w:spacing w:after="0" w:line="17" w:lineRule="exact"/>
        <w:rPr>
          <w:sz w:val="20"/>
          <w:szCs w:val="20"/>
          <w:color w:val="auto"/>
        </w:rPr>
      </w:pPr>
    </w:p>
    <w:p>
      <w:pPr>
        <w:ind w:left="660"/>
        <w:spacing w:after="0"/>
        <w:tabs>
          <w:tab w:leader="none" w:pos="1080" w:val="left"/>
          <w:tab w:leader="none" w:pos="3480" w:val="left"/>
        </w:tabs>
        <w:rPr>
          <w:sz w:val="20"/>
          <w:szCs w:val="20"/>
          <w:color w:val="auto"/>
        </w:rPr>
      </w:pPr>
      <w:r>
        <w:rPr>
          <w:rFonts w:ascii="Times New Roman" w:cs="Times New Roman" w:eastAsia="Times New Roman" w:hAnsi="Times New Roman"/>
          <w:sz w:val="22"/>
          <w:szCs w:val="22"/>
          <w:color w:val="auto"/>
        </w:rPr>
        <w:t>(c)</w:t>
        <w:tab/>
        <w:t>Repairs and Maintenance</w:t>
        <w:tab/>
        <w:t>26</w:t>
      </w:r>
    </w:p>
    <w:p>
      <w:pPr>
        <w:spacing w:after="0" w:line="17" w:lineRule="exact"/>
        <w:rPr>
          <w:sz w:val="20"/>
          <w:szCs w:val="20"/>
          <w:color w:val="auto"/>
        </w:rPr>
      </w:pPr>
    </w:p>
    <w:p>
      <w:pPr>
        <w:ind w:left="660"/>
        <w:spacing w:after="0"/>
        <w:tabs>
          <w:tab w:leader="none" w:pos="1080" w:val="left"/>
          <w:tab w:leader="none" w:pos="4420" w:val="left"/>
        </w:tabs>
        <w:rPr>
          <w:sz w:val="20"/>
          <w:szCs w:val="20"/>
          <w:color w:val="auto"/>
        </w:rPr>
      </w:pPr>
      <w:r>
        <w:rPr>
          <w:rFonts w:ascii="Times New Roman" w:cs="Times New Roman" w:eastAsia="Times New Roman" w:hAnsi="Times New Roman"/>
          <w:sz w:val="22"/>
          <w:szCs w:val="22"/>
          <w:color w:val="auto"/>
        </w:rPr>
        <w:t>(d)</w:t>
        <w:tab/>
        <w:t>Prospective Purchasers and Lenders</w:t>
        <w:tab/>
        <w:t>26</w:t>
      </w:r>
    </w:p>
    <w:p>
      <w:pPr>
        <w:spacing w:after="0" w:line="17" w:lineRule="exact"/>
        <w:rPr>
          <w:sz w:val="20"/>
          <w:szCs w:val="20"/>
          <w:color w:val="auto"/>
        </w:rPr>
      </w:pPr>
    </w:p>
    <w:p>
      <w:pPr>
        <w:ind w:left="1100" w:hanging="444"/>
        <w:spacing w:after="0"/>
        <w:tabs>
          <w:tab w:leader="none" w:pos="11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Prospective Tenants  26</w:t>
      </w:r>
    </w:p>
    <w:p>
      <w:pPr>
        <w:spacing w:after="0" w:line="17"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Substitution Space  27</w:t>
      </w:r>
    </w:p>
    <w:p>
      <w:pPr>
        <w:spacing w:after="0" w:line="17"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Hazardous Materials  27</w:t>
      </w:r>
    </w:p>
    <w:p>
      <w:pPr>
        <w:spacing w:after="0" w:line="17"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Miscellaneous  29</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Transfer  29</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Liability  29</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Force Majeure  29</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Brokerage  29</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Estoppel Certificates  29</w:t>
      </w:r>
    </w:p>
    <w:p>
      <w:pPr>
        <w:spacing w:after="0" w:line="1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30</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219"/>
          </w:cols>
          <w:pgMar w:left="240" w:top="625" w:right="1440" w:bottom="1440" w:gutter="0" w:footer="0" w:header="0"/>
        </w:sectPr>
      </w:pP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219"/>
          </w:cols>
          <w:pgMar w:left="240" w:top="625" w:right="1440" w:bottom="1440" w:gutter="0" w:footer="0" w:header="0"/>
          <w:type w:val="continuous"/>
        </w:sectPr>
      </w:pPr>
    </w:p>
    <w:bookmarkStart w:id="40" w:name="page41"/>
    <w:bookmarkEnd w:id="40"/>
    <w:p>
      <w:pPr>
        <w:ind w:left="660"/>
        <w:spacing w:after="0"/>
        <w:tabs>
          <w:tab w:leader="none" w:pos="1080" w:val="left"/>
          <w:tab w:leader="none" w:pos="2340" w:val="left"/>
        </w:tabs>
        <w:rPr>
          <w:sz w:val="20"/>
          <w:szCs w:val="20"/>
          <w:color w:val="auto"/>
        </w:rPr>
      </w:pPr>
      <w:r>
        <w:rPr>
          <w:rFonts w:ascii="Times New Roman" w:cs="Times New Roman" w:eastAsia="Times New Roman" w:hAnsi="Times New Roman"/>
          <w:sz w:val="22"/>
          <w:szCs w:val="22"/>
          <w:color w:val="auto"/>
        </w:rPr>
        <w:t>(g)</w:t>
        <w:tab/>
        <w:t>Separability</w:t>
        <w:tab/>
        <w:t>30</w:t>
      </w:r>
    </w:p>
    <w:p>
      <w:pPr>
        <w:spacing w:after="0" w:line="30" w:lineRule="exact"/>
        <w:rPr>
          <w:sz w:val="20"/>
          <w:szCs w:val="20"/>
          <w:color w:val="auto"/>
        </w:rPr>
      </w:pPr>
    </w:p>
    <w:p>
      <w:pPr>
        <w:ind w:left="660"/>
        <w:spacing w:after="0"/>
        <w:tabs>
          <w:tab w:leader="none" w:pos="1080" w:val="left"/>
          <w:tab w:leader="none" w:pos="3840" w:val="left"/>
        </w:tabs>
        <w:rPr>
          <w:sz w:val="20"/>
          <w:szCs w:val="20"/>
          <w:color w:val="auto"/>
        </w:rPr>
      </w:pPr>
      <w:r>
        <w:rPr>
          <w:rFonts w:ascii="Times New Roman" w:cs="Times New Roman" w:eastAsia="Times New Roman" w:hAnsi="Times New Roman"/>
          <w:sz w:val="22"/>
          <w:szCs w:val="22"/>
          <w:color w:val="auto"/>
        </w:rPr>
        <w:t>(h)</w:t>
        <w:tab/>
        <w:t>Amendments; Binding Effect</w:t>
        <w:tab/>
        <w:t>30</w:t>
      </w:r>
    </w:p>
    <w:p>
      <w:pPr>
        <w:spacing w:after="0" w:line="17" w:lineRule="exact"/>
        <w:rPr>
          <w:sz w:val="20"/>
          <w:szCs w:val="20"/>
          <w:color w:val="auto"/>
        </w:rPr>
      </w:pPr>
    </w:p>
    <w:p>
      <w:pPr>
        <w:ind w:left="1060" w:hanging="404"/>
        <w:spacing w:after="0"/>
        <w:tabs>
          <w:tab w:leader="none" w:pos="10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Quiet Enjoyment  30</w:t>
      </w:r>
    </w:p>
    <w:p>
      <w:pPr>
        <w:spacing w:after="0" w:line="17"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Merger  30</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Offer  30</w:t>
      </w:r>
    </w:p>
    <w:p>
      <w:pPr>
        <w:spacing w:after="0" w:line="17"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Entire Agreement  30</w:t>
      </w:r>
    </w:p>
    <w:p>
      <w:pPr>
        <w:spacing w:after="0" w:line="275" w:lineRule="exact"/>
        <w:rPr>
          <w:sz w:val="20"/>
          <w:szCs w:val="20"/>
          <w:color w:val="auto"/>
        </w:rPr>
      </w:pPr>
    </w:p>
    <w:p>
      <w:pPr>
        <w:ind w:left="1100" w:hanging="444"/>
        <w:spacing w:after="0"/>
        <w:tabs>
          <w:tab w:leader="none" w:pos="11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31</w:t>
      </w:r>
    </w:p>
    <w:p>
      <w:pPr>
        <w:spacing w:after="0" w:line="29"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Recording  31</w:t>
      </w:r>
    </w:p>
    <w:p>
      <w:pPr>
        <w:spacing w:after="0" w:line="275" w:lineRule="exact"/>
        <w:rPr>
          <w:sz w:val="20"/>
          <w:szCs w:val="20"/>
          <w:color w:val="auto"/>
        </w:rPr>
      </w:pPr>
    </w:p>
    <w:p>
      <w:pPr>
        <w:ind w:left="1100" w:hanging="444"/>
        <w:spacing w:after="0"/>
        <w:tabs>
          <w:tab w:leader="none" w:pos="11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Reports  31</w:t>
      </w:r>
    </w:p>
    <w:p>
      <w:pPr>
        <w:spacing w:after="0" w:line="2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Fees  31</w:t>
      </w:r>
    </w:p>
    <w:p>
      <w:pPr>
        <w:spacing w:after="0" w:line="1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Telecommunications  31</w:t>
      </w:r>
    </w:p>
    <w:p>
      <w:pPr>
        <w:spacing w:after="0" w:line="17"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Representations and Warranties.  32</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Confidentiality  32</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Authority  32</w:t>
      </w:r>
    </w:p>
    <w:p>
      <w:pPr>
        <w:spacing w:after="0" w:line="17"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Usufruct  33</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Adjacent Excavation  33</w:t>
      </w:r>
    </w:p>
    <w:p>
      <w:pPr>
        <w:spacing w:after="0" w:line="1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On-Site Refueling  33</w:t>
      </w:r>
    </w:p>
    <w:p>
      <w:pPr>
        <w:spacing w:after="0" w:line="17" w:lineRule="exact"/>
        <w:rPr>
          <w:sz w:val="20"/>
          <w:szCs w:val="20"/>
          <w:color w:val="auto"/>
        </w:rPr>
      </w:pPr>
    </w:p>
    <w:p>
      <w:pPr>
        <w:ind w:left="660"/>
        <w:spacing w:after="0"/>
        <w:tabs>
          <w:tab w:leader="none" w:pos="1080" w:val="left"/>
          <w:tab w:leader="none" w:pos="2640" w:val="left"/>
        </w:tabs>
        <w:rPr>
          <w:sz w:val="20"/>
          <w:szCs w:val="20"/>
          <w:color w:val="auto"/>
        </w:rPr>
      </w:pPr>
      <w:r>
        <w:rPr>
          <w:rFonts w:ascii="Times New Roman" w:cs="Times New Roman" w:eastAsia="Times New Roman" w:hAnsi="Times New Roman"/>
          <w:sz w:val="22"/>
          <w:szCs w:val="22"/>
          <w:color w:val="auto"/>
        </w:rPr>
        <w:t>(z)</w:t>
        <w:tab/>
        <w:t>List of Exhibits</w:t>
        <w:tab/>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219"/>
          </w:cols>
          <w:pgMar w:left="240" w:top="625"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BASIC LEASE INFORMATION</w:t>
      </w:r>
    </w:p>
    <w:p>
      <w:pPr>
        <w:spacing w:after="0" w:line="22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This Basic Lease Information is attached to and incorporated by reference to an Office Lease Agreement between Landlord and Tenant, as defined below.</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Lease Date:</w:t>
            </w:r>
          </w:p>
        </w:tc>
        <w:tc>
          <w:tcPr>
            <w:tcW w:w="32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July 18, 2013</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Landlord:</w:t>
            </w:r>
          </w:p>
        </w:tc>
        <w:tc>
          <w:tcPr>
            <w:tcW w:w="6540" w:type="dxa"/>
            <w:vAlign w:val="bottom"/>
            <w:gridSpan w:val="17"/>
          </w:tcPr>
          <w:p>
            <w:pPr>
              <w:spacing w:after="0"/>
              <w:rPr>
                <w:sz w:val="20"/>
                <w:szCs w:val="20"/>
                <w:color w:val="auto"/>
              </w:rPr>
            </w:pPr>
            <w:r>
              <w:rPr>
                <w:rFonts w:ascii="Times New Roman" w:cs="Times New Roman" w:eastAsia="Times New Roman" w:hAnsi="Times New Roman"/>
                <w:sz w:val="22"/>
                <w:szCs w:val="22"/>
                <w:color w:val="auto"/>
              </w:rPr>
              <w:t>Peachtree II and III, L.L.C., a Georgia limited liability company</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Tenant:</w:t>
            </w:r>
          </w:p>
        </w:tc>
        <w:tc>
          <w:tcPr>
            <w:tcW w:w="6540" w:type="dxa"/>
            <w:vAlign w:val="bottom"/>
            <w:gridSpan w:val="17"/>
          </w:tcPr>
          <w:p>
            <w:pPr>
              <w:spacing w:after="0"/>
              <w:rPr>
                <w:sz w:val="20"/>
                <w:szCs w:val="20"/>
                <w:color w:val="auto"/>
              </w:rPr>
            </w:pPr>
            <w:r>
              <w:rPr>
                <w:rFonts w:ascii="Times New Roman" w:cs="Times New Roman" w:eastAsia="Times New Roman" w:hAnsi="Times New Roman"/>
                <w:sz w:val="22"/>
                <w:szCs w:val="22"/>
                <w:color w:val="auto"/>
              </w:rPr>
              <w:t>MDA Holdings, Inc., a Delaware corporation</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Premises:</w:t>
            </w:r>
          </w:p>
        </w:tc>
        <w:tc>
          <w:tcPr>
            <w:tcW w:w="8980" w:type="dxa"/>
            <w:vAlign w:val="bottom"/>
            <w:gridSpan w:val="20"/>
          </w:tcPr>
          <w:p>
            <w:pPr>
              <w:spacing w:after="0"/>
              <w:rPr>
                <w:sz w:val="20"/>
                <w:szCs w:val="20"/>
                <w:color w:val="auto"/>
              </w:rPr>
            </w:pPr>
            <w:r>
              <w:rPr>
                <w:rFonts w:ascii="Times New Roman" w:cs="Times New Roman" w:eastAsia="Times New Roman" w:hAnsi="Times New Roman"/>
                <w:sz w:val="22"/>
                <w:szCs w:val="22"/>
                <w:color w:val="auto"/>
              </w:rPr>
              <w:t>Suite No. 300 containing a total of 41,607 rentable square feet, in the building commonly known as</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8980" w:type="dxa"/>
            <w:vAlign w:val="bottom"/>
            <w:gridSpan w:val="20"/>
          </w:tcPr>
          <w:p>
            <w:pPr>
              <w:spacing w:after="0" w:line="235" w:lineRule="exact"/>
              <w:rPr>
                <w:sz w:val="20"/>
                <w:szCs w:val="20"/>
                <w:color w:val="auto"/>
              </w:rPr>
            </w:pPr>
            <w:r>
              <w:rPr>
                <w:rFonts w:ascii="Times New Roman" w:cs="Times New Roman" w:eastAsia="Times New Roman" w:hAnsi="Times New Roman"/>
                <w:sz w:val="22"/>
                <w:szCs w:val="22"/>
                <w:color w:val="auto"/>
                <w:w w:val="98"/>
              </w:rPr>
              <w:t>4775 Peachtree Industrial Blvd. (the “</w:t>
            </w:r>
            <w:r>
              <w:rPr>
                <w:rFonts w:ascii="Times New Roman" w:cs="Times New Roman" w:eastAsia="Times New Roman" w:hAnsi="Times New Roman"/>
                <w:sz w:val="22"/>
                <w:szCs w:val="22"/>
                <w:b w:val="1"/>
                <w:bCs w:val="1"/>
                <w:color w:val="auto"/>
                <w:w w:val="98"/>
              </w:rPr>
              <w:t>Building</w:t>
            </w:r>
            <w:r>
              <w:rPr>
                <w:rFonts w:ascii="Times New Roman" w:cs="Times New Roman" w:eastAsia="Times New Roman" w:hAnsi="Times New Roman"/>
                <w:sz w:val="22"/>
                <w:szCs w:val="22"/>
                <w:color w:val="auto"/>
                <w:w w:val="98"/>
              </w:rPr>
              <w:t>”), and whose street address is 4775 Peachtree Industrial</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280" w:type="dxa"/>
            <w:vAlign w:val="bottom"/>
            <w:gridSpan w:val="6"/>
            <w:vMerge w:val="restart"/>
          </w:tcPr>
          <w:p>
            <w:pPr>
              <w:spacing w:after="0"/>
              <w:rPr>
                <w:sz w:val="20"/>
                <w:szCs w:val="20"/>
                <w:color w:val="auto"/>
              </w:rPr>
            </w:pPr>
            <w:r>
              <w:rPr>
                <w:rFonts w:ascii="Times New Roman" w:cs="Times New Roman" w:eastAsia="Times New Roman" w:hAnsi="Times New Roman"/>
                <w:sz w:val="22"/>
                <w:szCs w:val="22"/>
                <w:color w:val="auto"/>
              </w:rPr>
              <w:t>Blvd., Peachtree Corners, Georgia.</w:t>
            </w: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400" w:type="dxa"/>
            <w:vAlign w:val="bottom"/>
          </w:tcPr>
          <w:p>
            <w:pPr>
              <w:spacing w:after="0"/>
              <w:rPr>
                <w:sz w:val="20"/>
                <w:szCs w:val="20"/>
                <w:color w:val="auto"/>
              </w:rPr>
            </w:pPr>
          </w:p>
        </w:tc>
        <w:tc>
          <w:tcPr>
            <w:tcW w:w="3280" w:type="dxa"/>
            <w:vAlign w:val="bottom"/>
            <w:gridSpan w:val="6"/>
            <w:vMerge w:val="continue"/>
          </w:tcPr>
          <w:p>
            <w:pPr>
              <w:spacing w:after="0"/>
              <w:rPr>
                <w:sz w:val="20"/>
                <w:szCs w:val="20"/>
                <w:color w:val="auto"/>
              </w:rPr>
            </w:pPr>
          </w:p>
        </w:tc>
        <w:tc>
          <w:tcPr>
            <w:tcW w:w="5700" w:type="dxa"/>
            <w:vAlign w:val="bottom"/>
            <w:gridSpan w:val="14"/>
          </w:tcPr>
          <w:p>
            <w:pPr>
              <w:jc w:val="right"/>
              <w:ind w:right="20"/>
              <w:spacing w:after="0" w:line="232" w:lineRule="exact"/>
              <w:rPr>
                <w:sz w:val="20"/>
                <w:szCs w:val="20"/>
                <w:color w:val="auto"/>
              </w:rPr>
            </w:pPr>
            <w:r>
              <w:rPr>
                <w:rFonts w:ascii="Times New Roman" w:cs="Times New Roman" w:eastAsia="Times New Roman" w:hAnsi="Times New Roman"/>
                <w:sz w:val="22"/>
                <w:szCs w:val="22"/>
                <w:color w:val="auto"/>
              </w:rPr>
              <w:t>The Premises are outlined on the plan attached to the Lease as</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8980" w:type="dxa"/>
            <w:vAlign w:val="bottom"/>
            <w:gridSpan w:val="20"/>
          </w:tcPr>
          <w:p>
            <w:pPr>
              <w:spacing w:after="0" w:line="235" w:lineRule="exact"/>
              <w:rPr>
                <w:sz w:val="20"/>
                <w:szCs w:val="20"/>
                <w:color w:val="auto"/>
              </w:rPr>
            </w:pPr>
            <w:r>
              <w:rPr>
                <w:rFonts w:ascii="Times New Roman" w:cs="Times New Roman" w:eastAsia="Times New Roman" w:hAnsi="Times New Roman"/>
                <w:sz w:val="22"/>
                <w:szCs w:val="22"/>
                <w:color w:val="auto"/>
                <w:w w:val="98"/>
              </w:rPr>
              <w:t>Exhibit A. The land on which the Building is located (the “</w:t>
            </w:r>
            <w:r>
              <w:rPr>
                <w:rFonts w:ascii="Times New Roman" w:cs="Times New Roman" w:eastAsia="Times New Roman" w:hAnsi="Times New Roman"/>
                <w:sz w:val="22"/>
                <w:szCs w:val="22"/>
                <w:b w:val="1"/>
                <w:bCs w:val="1"/>
                <w:color w:val="auto"/>
                <w:w w:val="98"/>
              </w:rPr>
              <w:t>Land</w:t>
            </w:r>
            <w:r>
              <w:rPr>
                <w:rFonts w:ascii="Times New Roman" w:cs="Times New Roman" w:eastAsia="Times New Roman" w:hAnsi="Times New Roman"/>
                <w:sz w:val="22"/>
                <w:szCs w:val="22"/>
                <w:color w:val="auto"/>
                <w:w w:val="98"/>
              </w:rPr>
              <w:t>”) is described on Exhibit B. The term</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400" w:type="dxa"/>
            <w:vAlign w:val="bottom"/>
          </w:tcPr>
          <w:p>
            <w:pPr>
              <w:spacing w:after="0"/>
              <w:rPr>
                <w:sz w:val="20"/>
                <w:szCs w:val="20"/>
                <w:color w:val="auto"/>
              </w:rPr>
            </w:pPr>
          </w:p>
        </w:tc>
        <w:tc>
          <w:tcPr>
            <w:tcW w:w="840" w:type="dxa"/>
            <w:vAlign w:val="bottom"/>
            <w:gridSpan w:val="2"/>
          </w:tcPr>
          <w:p>
            <w:pPr>
              <w:spacing w:after="0" w:line="232" w:lineRule="exact"/>
              <w:rPr>
                <w:sz w:val="20"/>
                <w:szCs w:val="20"/>
                <w:color w:val="auto"/>
              </w:rPr>
            </w:pPr>
            <w:r>
              <w:rPr>
                <w:rFonts w:ascii="Times New Roman" w:cs="Times New Roman" w:eastAsia="Times New Roman" w:hAnsi="Times New Roman"/>
                <w:sz w:val="22"/>
                <w:szCs w:val="22"/>
                <w:color w:val="auto"/>
                <w:w w:val="87"/>
              </w:rPr>
              <w:t>“</w:t>
            </w:r>
            <w:r>
              <w:rPr>
                <w:rFonts w:ascii="Times New Roman" w:cs="Times New Roman" w:eastAsia="Times New Roman" w:hAnsi="Times New Roman"/>
                <w:sz w:val="22"/>
                <w:szCs w:val="22"/>
                <w:b w:val="1"/>
                <w:bCs w:val="1"/>
                <w:color w:val="auto"/>
                <w:w w:val="87"/>
              </w:rPr>
              <w:t>Complex</w:t>
            </w:r>
          </w:p>
        </w:tc>
        <w:tc>
          <w:tcPr>
            <w:tcW w:w="8140" w:type="dxa"/>
            <w:vAlign w:val="bottom"/>
            <w:gridSpan w:val="18"/>
          </w:tcPr>
          <w:p>
            <w:pPr>
              <w:jc w:val="right"/>
              <w:ind w:right="40"/>
              <w:spacing w:after="0" w:line="232" w:lineRule="exact"/>
              <w:rPr>
                <w:sz w:val="20"/>
                <w:szCs w:val="20"/>
                <w:color w:val="auto"/>
              </w:rPr>
            </w:pPr>
            <w:r>
              <w:rPr>
                <w:rFonts w:ascii="Times New Roman" w:cs="Times New Roman" w:eastAsia="Times New Roman" w:hAnsi="Times New Roman"/>
                <w:sz w:val="22"/>
                <w:szCs w:val="22"/>
                <w:color w:val="auto"/>
              </w:rPr>
              <w:t>” shall collectively refer to the Building and any other buildings which comprise a multi-</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8980" w:type="dxa"/>
            <w:vAlign w:val="bottom"/>
            <w:gridSpan w:val="20"/>
          </w:tcPr>
          <w:p>
            <w:pPr>
              <w:spacing w:after="0" w:line="235" w:lineRule="exact"/>
              <w:rPr>
                <w:sz w:val="20"/>
                <w:szCs w:val="20"/>
                <w:color w:val="auto"/>
              </w:rPr>
            </w:pPr>
            <w:r>
              <w:rPr>
                <w:rFonts w:ascii="Times New Roman" w:cs="Times New Roman" w:eastAsia="Times New Roman" w:hAnsi="Times New Roman"/>
                <w:sz w:val="22"/>
                <w:szCs w:val="22"/>
                <w:color w:val="auto"/>
              </w:rPr>
              <w:t>building complex owned by Landlord, if applicable. The term “</w:t>
            </w:r>
            <w:r>
              <w:rPr>
                <w:rFonts w:ascii="Times New Roman" w:cs="Times New Roman" w:eastAsia="Times New Roman" w:hAnsi="Times New Roman"/>
                <w:sz w:val="22"/>
                <w:szCs w:val="22"/>
                <w:b w:val="1"/>
                <w:bCs w:val="1"/>
                <w:color w:val="auto"/>
              </w:rPr>
              <w:t>Project</w:t>
            </w:r>
            <w:r>
              <w:rPr>
                <w:rFonts w:ascii="Times New Roman" w:cs="Times New Roman" w:eastAsia="Times New Roman" w:hAnsi="Times New Roman"/>
                <w:sz w:val="22"/>
                <w:szCs w:val="22"/>
                <w:color w:val="auto"/>
              </w:rPr>
              <w:t>” shall collectively refer to the</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2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22"/>
                <w:szCs w:val="22"/>
                <w:color w:val="auto"/>
              </w:rPr>
              <w:t>parking facilities, and similar</w:t>
            </w:r>
          </w:p>
        </w:tc>
        <w:tc>
          <w:tcPr>
            <w:tcW w:w="0" w:type="dxa"/>
            <w:vAlign w:val="bottom"/>
          </w:tcPr>
          <w:p>
            <w:pPr>
              <w:spacing w:after="0" w:line="20" w:lineRule="exact"/>
              <w:rPr>
                <w:sz w:val="1"/>
                <w:szCs w:val="1"/>
                <w:color w:val="auto"/>
              </w:rPr>
            </w:pPr>
          </w:p>
        </w:tc>
      </w:tr>
      <w:tr>
        <w:trPr>
          <w:trHeight w:val="236"/>
        </w:trPr>
        <w:tc>
          <w:tcPr>
            <w:tcW w:w="2400" w:type="dxa"/>
            <w:vAlign w:val="bottom"/>
          </w:tcPr>
          <w:p>
            <w:pPr>
              <w:spacing w:after="0"/>
              <w:rPr>
                <w:sz w:val="20"/>
                <w:szCs w:val="20"/>
                <w:color w:val="auto"/>
              </w:rPr>
            </w:pPr>
          </w:p>
        </w:tc>
        <w:tc>
          <w:tcPr>
            <w:tcW w:w="6260" w:type="dxa"/>
            <w:vAlign w:val="bottom"/>
            <w:gridSpan w:val="15"/>
          </w:tcPr>
          <w:p>
            <w:pPr>
              <w:spacing w:after="0" w:line="237" w:lineRule="exact"/>
              <w:rPr>
                <w:sz w:val="20"/>
                <w:szCs w:val="20"/>
                <w:color w:val="auto"/>
              </w:rPr>
            </w:pPr>
            <w:r>
              <w:rPr>
                <w:rFonts w:ascii="Times New Roman" w:cs="Times New Roman" w:eastAsia="Times New Roman" w:hAnsi="Times New Roman"/>
                <w:sz w:val="22"/>
                <w:szCs w:val="22"/>
                <w:color w:val="auto"/>
              </w:rPr>
              <w:t>Building or Complex, as applicable, the Land and the driveways,</w:t>
            </w:r>
          </w:p>
        </w:tc>
        <w:tc>
          <w:tcPr>
            <w:tcW w:w="27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980" w:type="dxa"/>
            <w:vAlign w:val="bottom"/>
            <w:gridSpan w:val="20"/>
          </w:tcPr>
          <w:p>
            <w:pPr>
              <w:spacing w:after="0" w:line="243" w:lineRule="exact"/>
              <w:rPr>
                <w:sz w:val="20"/>
                <w:szCs w:val="20"/>
                <w:color w:val="auto"/>
              </w:rPr>
            </w:pPr>
            <w:r>
              <w:rPr>
                <w:rFonts w:ascii="Times New Roman" w:cs="Times New Roman" w:eastAsia="Times New Roman" w:hAnsi="Times New Roman"/>
                <w:sz w:val="22"/>
                <w:szCs w:val="22"/>
                <w:color w:val="auto"/>
                <w:w w:val="99"/>
              </w:rPr>
              <w:t>improvements and easements associated with the foregoing or the operation thereof, including without</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6540" w:type="dxa"/>
            <w:vAlign w:val="bottom"/>
            <w:gridSpan w:val="17"/>
          </w:tcPr>
          <w:p>
            <w:pPr>
              <w:spacing w:after="0" w:line="230" w:lineRule="exact"/>
              <w:rPr>
                <w:sz w:val="20"/>
                <w:szCs w:val="20"/>
                <w:color w:val="auto"/>
              </w:rPr>
            </w:pPr>
            <w:r>
              <w:rPr>
                <w:rFonts w:ascii="Times New Roman" w:cs="Times New Roman" w:eastAsia="Times New Roman" w:hAnsi="Times New Roman"/>
                <w:sz w:val="22"/>
                <w:szCs w:val="22"/>
                <w:color w:val="auto"/>
              </w:rPr>
              <w:t>limitation the Common Areas (as defined in Section 7(c)).</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Term:</w:t>
            </w:r>
          </w:p>
        </w:tc>
        <w:tc>
          <w:tcPr>
            <w:tcW w:w="8980" w:type="dxa"/>
            <w:vAlign w:val="bottom"/>
            <w:gridSpan w:val="20"/>
          </w:tcPr>
          <w:p>
            <w:pPr>
              <w:spacing w:after="0"/>
              <w:rPr>
                <w:sz w:val="20"/>
                <w:szCs w:val="20"/>
                <w:color w:val="auto"/>
              </w:rPr>
            </w:pPr>
            <w:r>
              <w:rPr>
                <w:rFonts w:ascii="Times New Roman" w:cs="Times New Roman" w:eastAsia="Times New Roman" w:hAnsi="Times New Roman"/>
                <w:sz w:val="22"/>
                <w:szCs w:val="22"/>
                <w:color w:val="auto"/>
              </w:rPr>
              <w:t>Ten (10) years, eight (8) months commencing on the Commencement Date and ending at 12:00 p.m.</w:t>
            </w:r>
          </w:p>
        </w:tc>
        <w:tc>
          <w:tcPr>
            <w:tcW w:w="0" w:type="dxa"/>
            <w:vAlign w:val="bottom"/>
          </w:tcPr>
          <w:p>
            <w:pPr>
              <w:spacing w:after="0"/>
              <w:rPr>
                <w:sz w:val="1"/>
                <w:szCs w:val="1"/>
                <w:color w:val="auto"/>
              </w:rPr>
            </w:pPr>
          </w:p>
        </w:tc>
      </w:tr>
      <w:tr>
        <w:trPr>
          <w:trHeight w:val="239"/>
        </w:trPr>
        <w:tc>
          <w:tcPr>
            <w:tcW w:w="2400" w:type="dxa"/>
            <w:vAlign w:val="bottom"/>
          </w:tcPr>
          <w:p>
            <w:pPr>
              <w:spacing w:after="0"/>
              <w:rPr>
                <w:sz w:val="20"/>
                <w:szCs w:val="20"/>
                <w:color w:val="auto"/>
              </w:rPr>
            </w:pPr>
          </w:p>
        </w:tc>
        <w:tc>
          <w:tcPr>
            <w:tcW w:w="8980" w:type="dxa"/>
            <w:vAlign w:val="bottom"/>
            <w:gridSpan w:val="20"/>
          </w:tcPr>
          <w:p>
            <w:pPr>
              <w:spacing w:after="0" w:line="239" w:lineRule="exact"/>
              <w:rPr>
                <w:sz w:val="20"/>
                <w:szCs w:val="20"/>
                <w:color w:val="auto"/>
              </w:rPr>
            </w:pPr>
            <w:r>
              <w:rPr>
                <w:rFonts w:ascii="Times New Roman" w:cs="Times New Roman" w:eastAsia="Times New Roman" w:hAnsi="Times New Roman"/>
                <w:sz w:val="22"/>
                <w:szCs w:val="22"/>
                <w:color w:val="auto"/>
              </w:rPr>
              <w:t>local time on the last day of the 128th full calendar month following the Commencement Date (the</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8980" w:type="dxa"/>
            <w:vAlign w:val="bottom"/>
            <w:gridSpan w:val="20"/>
          </w:tcPr>
          <w:p>
            <w:pPr>
              <w:spacing w:after="0" w:line="235" w:lineRule="exact"/>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b w:val="1"/>
                <w:bCs w:val="1"/>
                <w:color w:val="auto"/>
                <w:w w:val="99"/>
              </w:rPr>
              <w:t>Fixed Expiration Date</w:t>
            </w:r>
            <w:r>
              <w:rPr>
                <w:rFonts w:ascii="Times New Roman" w:cs="Times New Roman" w:eastAsia="Times New Roman" w:hAnsi="Times New Roman"/>
                <w:sz w:val="22"/>
                <w:szCs w:val="22"/>
                <w:color w:val="auto"/>
                <w:w w:val="99"/>
              </w:rPr>
              <w:t>”), subject to adjustment and earlier termination as provided in the Lease (the</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4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8880" w:type="dxa"/>
            <w:vAlign w:val="bottom"/>
            <w:gridSpan w:val="19"/>
          </w:tcPr>
          <w:p>
            <w:pPr>
              <w:jc w:val="right"/>
              <w:ind w:right="40"/>
              <w:spacing w:after="0" w:line="232" w:lineRule="exact"/>
              <w:rPr>
                <w:sz w:val="20"/>
                <w:szCs w:val="20"/>
                <w:color w:val="auto"/>
              </w:rPr>
            </w:pPr>
            <w:r>
              <w:rPr>
                <w:rFonts w:ascii="Times New Roman" w:cs="Times New Roman" w:eastAsia="Times New Roman" w:hAnsi="Times New Roman"/>
                <w:sz w:val="22"/>
                <w:szCs w:val="22"/>
                <w:color w:val="auto"/>
              </w:rPr>
              <w:t>Fixed Expiration Date, or such earlier date that this Lease terminates pursuant to the terms hereof or</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6540" w:type="dxa"/>
            <w:vAlign w:val="bottom"/>
            <w:gridSpan w:val="17"/>
          </w:tcPr>
          <w:p>
            <w:pPr>
              <w:spacing w:after="0" w:line="235" w:lineRule="exact"/>
              <w:rPr>
                <w:sz w:val="20"/>
                <w:szCs w:val="20"/>
                <w:color w:val="auto"/>
              </w:rPr>
            </w:pPr>
            <w:r>
              <w:rPr>
                <w:rFonts w:ascii="Times New Roman" w:cs="Times New Roman" w:eastAsia="Times New Roman" w:hAnsi="Times New Roman"/>
                <w:sz w:val="22"/>
                <w:szCs w:val="22"/>
                <w:color w:val="auto"/>
              </w:rPr>
              <w:t>pursuant to law, is referred to as the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Commencement Date:</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400" w:type="dxa"/>
            <w:vAlign w:val="bottom"/>
            <w:vMerge w:val="continue"/>
          </w:tcPr>
          <w:p>
            <w:pPr>
              <w:spacing w:after="0"/>
              <w:rPr>
                <w:sz w:val="24"/>
                <w:szCs w:val="24"/>
                <w:color w:val="auto"/>
              </w:rPr>
            </w:pPr>
          </w:p>
        </w:tc>
        <w:tc>
          <w:tcPr>
            <w:tcW w:w="8980" w:type="dxa"/>
            <w:vAlign w:val="bottom"/>
            <w:gridSpan w:val="20"/>
            <w:vMerge w:val="restart"/>
          </w:tcPr>
          <w:p>
            <w:pPr>
              <w:spacing w:after="0"/>
              <w:rPr>
                <w:sz w:val="20"/>
                <w:szCs w:val="20"/>
                <w:color w:val="auto"/>
              </w:rPr>
            </w:pPr>
            <w:r>
              <w:rPr>
                <w:rFonts w:ascii="Times New Roman" w:cs="Times New Roman" w:eastAsia="Times New Roman" w:hAnsi="Times New Roman"/>
                <w:sz w:val="22"/>
                <w:szCs w:val="22"/>
                <w:color w:val="auto"/>
              </w:rPr>
              <w:t>The later of: (a) the date on which the Work (as defined in Exhibit D hereto) in the Premises is</w:t>
            </w: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898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40" w:type="dxa"/>
            <w:vAlign w:val="bottom"/>
            <w:tcBorders>
              <w:right w:val="single" w:sz="8" w:color="auto"/>
            </w:tcBorders>
            <w:gridSpan w:val="4"/>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480" w:type="dxa"/>
            <w:vAlign w:val="bottom"/>
            <w:gridSpan w:val="4"/>
            <w:vMerge w:val="restart"/>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on which the Work in the</w:t>
            </w:r>
          </w:p>
        </w:tc>
        <w:tc>
          <w:tcPr>
            <w:tcW w:w="0" w:type="dxa"/>
            <w:vAlign w:val="bottom"/>
          </w:tcPr>
          <w:p>
            <w:pPr>
              <w:spacing w:after="0" w:line="20" w:lineRule="exact"/>
              <w:rPr>
                <w:sz w:val="1"/>
                <w:szCs w:val="1"/>
                <w:color w:val="auto"/>
              </w:rPr>
            </w:pPr>
          </w:p>
        </w:tc>
      </w:tr>
      <w:tr>
        <w:trPr>
          <w:trHeight w:val="223"/>
        </w:trPr>
        <w:tc>
          <w:tcPr>
            <w:tcW w:w="2400" w:type="dxa"/>
            <w:vAlign w:val="bottom"/>
          </w:tcPr>
          <w:p>
            <w:pPr>
              <w:spacing w:after="0"/>
              <w:rPr>
                <w:sz w:val="19"/>
                <w:szCs w:val="19"/>
                <w:color w:val="auto"/>
              </w:rPr>
            </w:pPr>
          </w:p>
        </w:tc>
        <w:tc>
          <w:tcPr>
            <w:tcW w:w="6500" w:type="dxa"/>
            <w:vAlign w:val="bottom"/>
            <w:gridSpan w:val="16"/>
          </w:tcPr>
          <w:p>
            <w:pPr>
              <w:spacing w:after="0" w:line="223" w:lineRule="exact"/>
              <w:rPr>
                <w:sz w:val="20"/>
                <w:szCs w:val="20"/>
                <w:color w:val="auto"/>
              </w:rPr>
            </w:pPr>
            <w:r>
              <w:rPr>
                <w:rFonts w:ascii="Times New Roman" w:cs="Times New Roman" w:eastAsia="Times New Roman" w:hAnsi="Times New Roman"/>
                <w:sz w:val="22"/>
                <w:szCs w:val="22"/>
                <w:color w:val="auto"/>
              </w:rPr>
              <w:t>Substantially Completed (as defined in Exhibit D hereto); or (b) the date</w:t>
            </w:r>
          </w:p>
        </w:tc>
        <w:tc>
          <w:tcPr>
            <w:tcW w:w="24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00" w:type="dxa"/>
            <w:vAlign w:val="bottom"/>
          </w:tcPr>
          <w:p>
            <w:pPr>
              <w:spacing w:after="0"/>
              <w:rPr>
                <w:sz w:val="20"/>
                <w:szCs w:val="20"/>
                <w:color w:val="auto"/>
              </w:rPr>
            </w:pPr>
          </w:p>
        </w:tc>
        <w:tc>
          <w:tcPr>
            <w:tcW w:w="3540" w:type="dxa"/>
            <w:vAlign w:val="bottom"/>
            <w:gridSpan w:val="7"/>
          </w:tcPr>
          <w:p>
            <w:pPr>
              <w:spacing w:after="0" w:line="237" w:lineRule="exact"/>
              <w:rPr>
                <w:sz w:val="20"/>
                <w:szCs w:val="20"/>
                <w:color w:val="auto"/>
              </w:rPr>
            </w:pPr>
            <w:r>
              <w:rPr>
                <w:rFonts w:ascii="Times New Roman" w:cs="Times New Roman" w:eastAsia="Times New Roman" w:hAnsi="Times New Roman"/>
                <w:sz w:val="22"/>
                <w:szCs w:val="22"/>
                <w:color w:val="auto"/>
                <w:w w:val="99"/>
              </w:rPr>
              <w:t>Premises would have been Substantially</w:t>
            </w:r>
          </w:p>
        </w:tc>
        <w:tc>
          <w:tcPr>
            <w:tcW w:w="860" w:type="dxa"/>
            <w:vAlign w:val="bottom"/>
            <w:tcBorders>
              <w:top w:val="single" w:sz="8" w:color="auto"/>
            </w:tcBorders>
            <w:gridSpan w:val="3"/>
          </w:tcPr>
          <w:p>
            <w:pPr>
              <w:ind w:left="60"/>
              <w:spacing w:after="0" w:line="237" w:lineRule="exact"/>
              <w:rPr>
                <w:sz w:val="20"/>
                <w:szCs w:val="20"/>
                <w:color w:val="auto"/>
              </w:rPr>
            </w:pPr>
            <w:r>
              <w:rPr>
                <w:rFonts w:ascii="Times New Roman" w:cs="Times New Roman" w:eastAsia="Times New Roman" w:hAnsi="Times New Roman"/>
                <w:sz w:val="22"/>
                <w:szCs w:val="22"/>
                <w:color w:val="auto"/>
                <w:w w:val="80"/>
              </w:rPr>
              <w:t>Completed</w:t>
            </w:r>
          </w:p>
        </w:tc>
        <w:tc>
          <w:tcPr>
            <w:tcW w:w="4580" w:type="dxa"/>
            <w:vAlign w:val="bottom"/>
            <w:gridSpan w:val="10"/>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but for the occurrence of any Tenant Delay Days</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3280" w:type="dxa"/>
            <w:vAlign w:val="bottom"/>
            <w:gridSpan w:val="6"/>
          </w:tcPr>
          <w:p>
            <w:pPr>
              <w:spacing w:after="0" w:line="230" w:lineRule="exact"/>
              <w:rPr>
                <w:sz w:val="20"/>
                <w:szCs w:val="20"/>
                <w:color w:val="auto"/>
              </w:rPr>
            </w:pPr>
            <w:r>
              <w:rPr>
                <w:rFonts w:ascii="Times New Roman" w:cs="Times New Roman" w:eastAsia="Times New Roman" w:hAnsi="Times New Roman"/>
                <w:sz w:val="22"/>
                <w:szCs w:val="22"/>
                <w:color w:val="auto"/>
              </w:rPr>
              <w:t>(as defined in Exhibit D hereto).</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6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Base Rent:</w:t>
            </w:r>
          </w:p>
        </w:tc>
        <w:tc>
          <w:tcPr>
            <w:tcW w:w="6540" w:type="dxa"/>
            <w:vAlign w:val="bottom"/>
            <w:gridSpan w:val="17"/>
          </w:tcPr>
          <w:p>
            <w:pPr>
              <w:spacing w:after="0"/>
              <w:rPr>
                <w:sz w:val="20"/>
                <w:szCs w:val="20"/>
                <w:color w:val="auto"/>
              </w:rPr>
            </w:pPr>
            <w:r>
              <w:rPr>
                <w:rFonts w:ascii="Times New Roman" w:cs="Times New Roman" w:eastAsia="Times New Roman" w:hAnsi="Times New Roman"/>
                <w:sz w:val="22"/>
                <w:szCs w:val="22"/>
                <w:color w:val="auto"/>
                <w:w w:val="97"/>
              </w:rPr>
              <w:t>Base Rent shall be the following amounts for the following periods of time:</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00" w:type="dxa"/>
            <w:vAlign w:val="bottom"/>
            <w:tcBorders>
              <w:right w:val="single" w:sz="8" w:color="E6E6E6"/>
            </w:tcBorders>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74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8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120" w:type="dxa"/>
            <w:vAlign w:val="bottom"/>
            <w:tcBorders>
              <w:right w:val="single" w:sz="8" w:color="E6E6E6"/>
            </w:tcBorders>
            <w:shd w:val="clear" w:color="auto" w:fill="E6E6E6"/>
          </w:tcPr>
          <w:p>
            <w:pPr>
              <w:spacing w:after="0"/>
              <w:rPr>
                <w:sz w:val="21"/>
                <w:szCs w:val="21"/>
                <w:color w:val="auto"/>
              </w:rPr>
            </w:pPr>
          </w:p>
        </w:tc>
        <w:tc>
          <w:tcPr>
            <w:tcW w:w="3260" w:type="dxa"/>
            <w:vAlign w:val="bottom"/>
            <w:gridSpan w:val="11"/>
            <w:shd w:val="clear" w:color="auto" w:fill="E6E6E6"/>
          </w:tcPr>
          <w:p>
            <w:pPr>
              <w:ind w:left="80"/>
              <w:spacing w:after="0" w:line="250" w:lineRule="exact"/>
              <w:rPr>
                <w:sz w:val="20"/>
                <w:szCs w:val="20"/>
                <w:color w:val="auto"/>
              </w:rPr>
            </w:pPr>
            <w:r>
              <w:rPr>
                <w:rFonts w:ascii="Times New Roman" w:cs="Times New Roman" w:eastAsia="Times New Roman" w:hAnsi="Times New Roman"/>
                <w:sz w:val="22"/>
                <w:szCs w:val="22"/>
                <w:color w:val="auto"/>
              </w:rPr>
              <w:t>Annual Base Rent Rate Per</w:t>
            </w:r>
          </w:p>
        </w:tc>
        <w:tc>
          <w:tcPr>
            <w:tcW w:w="66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2400" w:type="dxa"/>
            <w:vAlign w:val="bottom"/>
            <w:tcBorders>
              <w:right w:val="single" w:sz="8" w:color="E6E6E6"/>
            </w:tcBorders>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2440" w:type="dxa"/>
            <w:vAlign w:val="bottom"/>
            <w:tcBorders>
              <w:right w:val="single" w:sz="8" w:color="E6E6E6"/>
            </w:tcBorders>
            <w:gridSpan w:val="4"/>
            <w:shd w:val="clear" w:color="auto" w:fill="E6E6E6"/>
          </w:tcPr>
          <w:p>
            <w:pPr>
              <w:ind w:left="220"/>
              <w:spacing w:after="0"/>
              <w:rPr>
                <w:sz w:val="20"/>
                <w:szCs w:val="20"/>
                <w:color w:val="auto"/>
              </w:rPr>
            </w:pPr>
            <w:r>
              <w:rPr>
                <w:rFonts w:ascii="Times New Roman" w:cs="Times New Roman" w:eastAsia="Times New Roman" w:hAnsi="Times New Roman"/>
                <w:sz w:val="22"/>
                <w:szCs w:val="22"/>
                <w:color w:val="auto"/>
              </w:rPr>
              <w:t>Lease Month</w:t>
            </w:r>
          </w:p>
        </w:tc>
        <w:tc>
          <w:tcPr>
            <w:tcW w:w="260" w:type="dxa"/>
            <w:vAlign w:val="bottom"/>
            <w:shd w:val="clear" w:color="auto" w:fill="E6E6E6"/>
          </w:tcPr>
          <w:p>
            <w:pPr>
              <w:spacing w:after="0"/>
              <w:rPr>
                <w:sz w:val="24"/>
                <w:szCs w:val="24"/>
                <w:color w:val="auto"/>
              </w:rPr>
            </w:pPr>
          </w:p>
        </w:tc>
        <w:tc>
          <w:tcPr>
            <w:tcW w:w="3000" w:type="dxa"/>
            <w:vAlign w:val="bottom"/>
            <w:gridSpan w:val="10"/>
            <w:shd w:val="clear" w:color="auto" w:fill="E6E6E6"/>
          </w:tcPr>
          <w:p>
            <w:pPr>
              <w:ind w:left="60"/>
              <w:spacing w:after="0"/>
              <w:rPr>
                <w:sz w:val="20"/>
                <w:szCs w:val="20"/>
                <w:color w:val="auto"/>
              </w:rPr>
            </w:pPr>
            <w:r>
              <w:rPr>
                <w:rFonts w:ascii="Times New Roman" w:cs="Times New Roman" w:eastAsia="Times New Roman" w:hAnsi="Times New Roman"/>
                <w:sz w:val="22"/>
                <w:szCs w:val="22"/>
                <w:color w:val="auto"/>
              </w:rPr>
              <w:t>Rentable Square Foot</w:t>
            </w:r>
          </w:p>
        </w:tc>
        <w:tc>
          <w:tcPr>
            <w:tcW w:w="244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2"/>
                <w:szCs w:val="22"/>
                <w:color w:val="auto"/>
              </w:rPr>
              <w:t>Monthly Base Rent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2080" w:type="dxa"/>
            <w:vAlign w:val="bottom"/>
            <w:gridSpan w:val="4"/>
          </w:tcPr>
          <w:p>
            <w:pPr>
              <w:jc w:val="center"/>
              <w:ind w:left="1078"/>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gridSpan w:val="6"/>
          </w:tcPr>
          <w:p>
            <w:pPr>
              <w:jc w:val="center"/>
              <w:ind w:left="807"/>
              <w:spacing w:after="0"/>
              <w:rPr>
                <w:sz w:val="20"/>
                <w:szCs w:val="20"/>
                <w:color w:val="auto"/>
              </w:rPr>
            </w:pPr>
            <w:r>
              <w:rPr>
                <w:rFonts w:ascii="Times New Roman" w:cs="Times New Roman" w:eastAsia="Times New Roman" w:hAnsi="Times New Roman"/>
                <w:sz w:val="18"/>
                <w:szCs w:val="18"/>
                <w:color w:val="auto"/>
                <w:w w:val="98"/>
              </w:rPr>
              <w:t>$8.95</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$31,031.88*</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2080" w:type="dxa"/>
            <w:vAlign w:val="bottom"/>
            <w:gridSpan w:val="4"/>
          </w:tcPr>
          <w:p>
            <w:pPr>
              <w:jc w:val="center"/>
              <w:ind w:left="1078"/>
              <w:spacing w:after="0"/>
              <w:rPr>
                <w:sz w:val="20"/>
                <w:szCs w:val="20"/>
                <w:color w:val="auto"/>
              </w:rPr>
            </w:pPr>
            <w:r>
              <w:rPr>
                <w:rFonts w:ascii="Times New Roman" w:cs="Times New Roman" w:eastAsia="Times New Roman" w:hAnsi="Times New Roman"/>
                <w:sz w:val="18"/>
                <w:szCs w:val="18"/>
                <w:color w:val="auto"/>
                <w:w w:val="99"/>
              </w:rPr>
              <w:t>13-24</w:t>
            </w: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gridSpan w:val="6"/>
          </w:tcPr>
          <w:p>
            <w:pPr>
              <w:jc w:val="center"/>
              <w:ind w:left="807"/>
              <w:spacing w:after="0"/>
              <w:rPr>
                <w:sz w:val="20"/>
                <w:szCs w:val="20"/>
                <w:color w:val="auto"/>
              </w:rPr>
            </w:pPr>
            <w:r>
              <w:rPr>
                <w:rFonts w:ascii="Times New Roman" w:cs="Times New Roman" w:eastAsia="Times New Roman" w:hAnsi="Times New Roman"/>
                <w:sz w:val="18"/>
                <w:szCs w:val="18"/>
                <w:color w:val="auto"/>
                <w:w w:val="98"/>
              </w:rPr>
              <w:t>$9.17</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$31,794.68*</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2080" w:type="dxa"/>
            <w:vAlign w:val="bottom"/>
            <w:gridSpan w:val="4"/>
          </w:tcPr>
          <w:p>
            <w:pPr>
              <w:jc w:val="center"/>
              <w:ind w:left="1078"/>
              <w:spacing w:after="0"/>
              <w:rPr>
                <w:sz w:val="20"/>
                <w:szCs w:val="20"/>
                <w:color w:val="auto"/>
              </w:rPr>
            </w:pPr>
            <w:r>
              <w:rPr>
                <w:rFonts w:ascii="Times New Roman" w:cs="Times New Roman" w:eastAsia="Times New Roman" w:hAnsi="Times New Roman"/>
                <w:sz w:val="18"/>
                <w:szCs w:val="18"/>
                <w:color w:val="auto"/>
                <w:w w:val="99"/>
              </w:rPr>
              <w:t>25-36</w:t>
            </w: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gridSpan w:val="6"/>
          </w:tcPr>
          <w:p>
            <w:pPr>
              <w:jc w:val="center"/>
              <w:ind w:left="807"/>
              <w:spacing w:after="0"/>
              <w:rPr>
                <w:sz w:val="20"/>
                <w:szCs w:val="20"/>
                <w:color w:val="auto"/>
              </w:rPr>
            </w:pPr>
            <w:r>
              <w:rPr>
                <w:rFonts w:ascii="Times New Roman" w:cs="Times New Roman" w:eastAsia="Times New Roman" w:hAnsi="Times New Roman"/>
                <w:sz w:val="18"/>
                <w:szCs w:val="18"/>
                <w:color w:val="auto"/>
                <w:w w:val="98"/>
              </w:rPr>
              <w:t>$9.40</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$32,592.15</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2080" w:type="dxa"/>
            <w:vAlign w:val="bottom"/>
            <w:gridSpan w:val="4"/>
          </w:tcPr>
          <w:p>
            <w:pPr>
              <w:jc w:val="center"/>
              <w:ind w:left="1078"/>
              <w:spacing w:after="0"/>
              <w:rPr>
                <w:sz w:val="20"/>
                <w:szCs w:val="20"/>
                <w:color w:val="auto"/>
              </w:rPr>
            </w:pPr>
            <w:r>
              <w:rPr>
                <w:rFonts w:ascii="Times New Roman" w:cs="Times New Roman" w:eastAsia="Times New Roman" w:hAnsi="Times New Roman"/>
                <w:sz w:val="18"/>
                <w:szCs w:val="18"/>
                <w:color w:val="auto"/>
                <w:w w:val="99"/>
              </w:rPr>
              <w:t>37-48</w:t>
            </w: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gridSpan w:val="6"/>
          </w:tcPr>
          <w:p>
            <w:pPr>
              <w:jc w:val="center"/>
              <w:ind w:left="807"/>
              <w:spacing w:after="0"/>
              <w:rPr>
                <w:sz w:val="20"/>
                <w:szCs w:val="20"/>
                <w:color w:val="auto"/>
              </w:rPr>
            </w:pPr>
            <w:r>
              <w:rPr>
                <w:rFonts w:ascii="Times New Roman" w:cs="Times New Roman" w:eastAsia="Times New Roman" w:hAnsi="Times New Roman"/>
                <w:sz w:val="18"/>
                <w:szCs w:val="18"/>
                <w:color w:val="auto"/>
                <w:w w:val="98"/>
              </w:rPr>
              <w:t>$9.64</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$33,424.29</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2080" w:type="dxa"/>
            <w:vAlign w:val="bottom"/>
            <w:gridSpan w:val="4"/>
          </w:tcPr>
          <w:p>
            <w:pPr>
              <w:jc w:val="center"/>
              <w:ind w:left="1078"/>
              <w:spacing w:after="0"/>
              <w:rPr>
                <w:sz w:val="20"/>
                <w:szCs w:val="20"/>
                <w:color w:val="auto"/>
              </w:rPr>
            </w:pPr>
            <w:r>
              <w:rPr>
                <w:rFonts w:ascii="Times New Roman" w:cs="Times New Roman" w:eastAsia="Times New Roman" w:hAnsi="Times New Roman"/>
                <w:sz w:val="18"/>
                <w:szCs w:val="18"/>
                <w:color w:val="auto"/>
                <w:w w:val="99"/>
              </w:rPr>
              <w:t>49-60</w:t>
            </w: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gridSpan w:val="6"/>
          </w:tcPr>
          <w:p>
            <w:pPr>
              <w:jc w:val="center"/>
              <w:ind w:left="807"/>
              <w:spacing w:after="0"/>
              <w:rPr>
                <w:sz w:val="20"/>
                <w:szCs w:val="20"/>
                <w:color w:val="auto"/>
              </w:rPr>
            </w:pPr>
            <w:r>
              <w:rPr>
                <w:rFonts w:ascii="Times New Roman" w:cs="Times New Roman" w:eastAsia="Times New Roman" w:hAnsi="Times New Roman"/>
                <w:sz w:val="18"/>
                <w:szCs w:val="18"/>
                <w:color w:val="auto"/>
                <w:w w:val="98"/>
              </w:rPr>
              <w:t>$9.88</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$34,256.43</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2080" w:type="dxa"/>
            <w:vAlign w:val="bottom"/>
            <w:gridSpan w:val="4"/>
          </w:tcPr>
          <w:p>
            <w:pPr>
              <w:jc w:val="center"/>
              <w:ind w:left="1078"/>
              <w:spacing w:after="0"/>
              <w:rPr>
                <w:sz w:val="20"/>
                <w:szCs w:val="20"/>
                <w:color w:val="auto"/>
              </w:rPr>
            </w:pPr>
            <w:r>
              <w:rPr>
                <w:rFonts w:ascii="Times New Roman" w:cs="Times New Roman" w:eastAsia="Times New Roman" w:hAnsi="Times New Roman"/>
                <w:sz w:val="18"/>
                <w:szCs w:val="18"/>
                <w:color w:val="auto"/>
                <w:w w:val="99"/>
              </w:rPr>
              <w:t>61-72</w:t>
            </w: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gridSpan w:val="6"/>
          </w:tcPr>
          <w:p>
            <w:pPr>
              <w:jc w:val="center"/>
              <w:ind w:left="827"/>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$35,123.24</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2080" w:type="dxa"/>
            <w:vAlign w:val="bottom"/>
            <w:gridSpan w:val="4"/>
          </w:tcPr>
          <w:p>
            <w:pPr>
              <w:jc w:val="center"/>
              <w:ind w:left="1078"/>
              <w:spacing w:after="0"/>
              <w:rPr>
                <w:sz w:val="20"/>
                <w:szCs w:val="20"/>
                <w:color w:val="auto"/>
              </w:rPr>
            </w:pPr>
            <w:r>
              <w:rPr>
                <w:rFonts w:ascii="Times New Roman" w:cs="Times New Roman" w:eastAsia="Times New Roman" w:hAnsi="Times New Roman"/>
                <w:sz w:val="18"/>
                <w:szCs w:val="18"/>
                <w:color w:val="auto"/>
                <w:w w:val="99"/>
              </w:rPr>
              <w:t>73-84</w:t>
            </w: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gridSpan w:val="6"/>
          </w:tcPr>
          <w:p>
            <w:pPr>
              <w:jc w:val="center"/>
              <w:ind w:left="827"/>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$35,990.05</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2080" w:type="dxa"/>
            <w:vAlign w:val="bottom"/>
            <w:gridSpan w:val="4"/>
          </w:tcPr>
          <w:p>
            <w:pPr>
              <w:jc w:val="center"/>
              <w:ind w:left="1078"/>
              <w:spacing w:after="0"/>
              <w:rPr>
                <w:sz w:val="20"/>
                <w:szCs w:val="20"/>
                <w:color w:val="auto"/>
              </w:rPr>
            </w:pPr>
            <w:r>
              <w:rPr>
                <w:rFonts w:ascii="Times New Roman" w:cs="Times New Roman" w:eastAsia="Times New Roman" w:hAnsi="Times New Roman"/>
                <w:sz w:val="18"/>
                <w:szCs w:val="18"/>
                <w:color w:val="auto"/>
                <w:w w:val="99"/>
              </w:rPr>
              <w:t>85-96</w:t>
            </w: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gridSpan w:val="6"/>
          </w:tcPr>
          <w:p>
            <w:pPr>
              <w:jc w:val="center"/>
              <w:ind w:left="827"/>
              <w:spacing w:after="0"/>
              <w:rPr>
                <w:sz w:val="20"/>
                <w:szCs w:val="20"/>
                <w:color w:val="auto"/>
              </w:rPr>
            </w:pPr>
            <w:r>
              <w:rPr>
                <w:rFonts w:ascii="Times New Roman" w:cs="Times New Roman" w:eastAsia="Times New Roman" w:hAnsi="Times New Roman"/>
                <w:sz w:val="18"/>
                <w:szCs w:val="18"/>
                <w:color w:val="auto"/>
              </w:rPr>
              <w:t>$10.64</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$36,891.54</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2080" w:type="dxa"/>
            <w:vAlign w:val="bottom"/>
            <w:gridSpan w:val="4"/>
          </w:tcPr>
          <w:p>
            <w:pPr>
              <w:jc w:val="center"/>
              <w:ind w:left="1078"/>
              <w:spacing w:after="0"/>
              <w:rPr>
                <w:sz w:val="20"/>
                <w:szCs w:val="20"/>
                <w:color w:val="auto"/>
              </w:rPr>
            </w:pPr>
            <w:r>
              <w:rPr>
                <w:rFonts w:ascii="Times New Roman" w:cs="Times New Roman" w:eastAsia="Times New Roman" w:hAnsi="Times New Roman"/>
                <w:sz w:val="18"/>
                <w:szCs w:val="18"/>
                <w:color w:val="auto"/>
                <w:w w:val="97"/>
              </w:rPr>
              <w:t>97-108</w:t>
            </w: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gridSpan w:val="6"/>
          </w:tcPr>
          <w:p>
            <w:pPr>
              <w:jc w:val="center"/>
              <w:ind w:left="827"/>
              <w:spacing w:after="0"/>
              <w:rPr>
                <w:sz w:val="20"/>
                <w:szCs w:val="20"/>
                <w:color w:val="auto"/>
              </w:rPr>
            </w:pPr>
            <w:r>
              <w:rPr>
                <w:rFonts w:ascii="Times New Roman" w:cs="Times New Roman" w:eastAsia="Times New Roman" w:hAnsi="Times New Roman"/>
                <w:sz w:val="18"/>
                <w:szCs w:val="18"/>
                <w:color w:val="auto"/>
              </w:rPr>
              <w:t>$10.90</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$37,793.03</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2080" w:type="dxa"/>
            <w:vAlign w:val="bottom"/>
            <w:gridSpan w:val="4"/>
          </w:tcPr>
          <w:p>
            <w:pPr>
              <w:jc w:val="center"/>
              <w:ind w:left="1098"/>
              <w:spacing w:after="0"/>
              <w:rPr>
                <w:sz w:val="20"/>
                <w:szCs w:val="20"/>
                <w:color w:val="auto"/>
              </w:rPr>
            </w:pPr>
            <w:r>
              <w:rPr>
                <w:rFonts w:ascii="Times New Roman" w:cs="Times New Roman" w:eastAsia="Times New Roman" w:hAnsi="Times New Roman"/>
                <w:sz w:val="18"/>
                <w:szCs w:val="18"/>
                <w:color w:val="auto"/>
                <w:w w:val="99"/>
              </w:rPr>
              <w:t>109-120</w:t>
            </w: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gridSpan w:val="6"/>
          </w:tcPr>
          <w:p>
            <w:pPr>
              <w:jc w:val="center"/>
              <w:ind w:left="807"/>
              <w:spacing w:after="0"/>
              <w:rPr>
                <w:sz w:val="20"/>
                <w:szCs w:val="20"/>
                <w:color w:val="auto"/>
              </w:rPr>
            </w:pPr>
            <w:r>
              <w:rPr>
                <w:rFonts w:ascii="Times New Roman" w:cs="Times New Roman" w:eastAsia="Times New Roman" w:hAnsi="Times New Roman"/>
                <w:sz w:val="18"/>
                <w:szCs w:val="18"/>
                <w:color w:val="auto"/>
                <w:w w:val="96"/>
              </w:rPr>
              <w:t>$11.18</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$38,763.85</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2080" w:type="dxa"/>
            <w:vAlign w:val="bottom"/>
            <w:gridSpan w:val="4"/>
          </w:tcPr>
          <w:p>
            <w:pPr>
              <w:jc w:val="center"/>
              <w:ind w:left="1098"/>
              <w:spacing w:after="0"/>
              <w:rPr>
                <w:sz w:val="20"/>
                <w:szCs w:val="20"/>
                <w:color w:val="auto"/>
              </w:rPr>
            </w:pPr>
            <w:r>
              <w:rPr>
                <w:rFonts w:ascii="Times New Roman" w:cs="Times New Roman" w:eastAsia="Times New Roman" w:hAnsi="Times New Roman"/>
                <w:sz w:val="18"/>
                <w:szCs w:val="18"/>
                <w:color w:val="auto"/>
                <w:w w:val="99"/>
              </w:rPr>
              <w:t>121-128</w:t>
            </w: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gridSpan w:val="6"/>
          </w:tcPr>
          <w:p>
            <w:pPr>
              <w:jc w:val="center"/>
              <w:ind w:left="807"/>
              <w:spacing w:after="0"/>
              <w:rPr>
                <w:sz w:val="20"/>
                <w:szCs w:val="20"/>
                <w:color w:val="auto"/>
              </w:rPr>
            </w:pPr>
            <w:r>
              <w:rPr>
                <w:rFonts w:ascii="Times New Roman" w:cs="Times New Roman" w:eastAsia="Times New Roman" w:hAnsi="Times New Roman"/>
                <w:sz w:val="18"/>
                <w:szCs w:val="18"/>
                <w:color w:val="auto"/>
                <w:w w:val="96"/>
              </w:rPr>
              <w:t>$11.46</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$39,734.69</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21" w:right="239" w:bottom="1440" w:gutter="0" w:footer="0" w:header="0"/>
        </w:sectPr>
      </w:pPr>
    </w:p>
    <w:bookmarkStart w:id="42" w:name="page43"/>
    <w:bookmarkEnd w:id="4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tcPr>
          <w:p>
            <w:pPr>
              <w:spacing w:after="0"/>
              <w:rPr>
                <w:sz w:val="22"/>
                <w:szCs w:val="22"/>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*Subject to the terms of Exhibit K attached hereto.</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400" w:type="dxa"/>
            <w:vAlign w:val="bottom"/>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22"/>
                <w:szCs w:val="22"/>
                <w:color w:val="auto"/>
                <w:w w:val="99"/>
              </w:rPr>
              <w:t>As used herein, the term “</w:t>
            </w:r>
            <w:r>
              <w:rPr>
                <w:rFonts w:ascii="Times New Roman" w:cs="Times New Roman" w:eastAsia="Times New Roman" w:hAnsi="Times New Roman"/>
                <w:sz w:val="22"/>
                <w:szCs w:val="22"/>
                <w:b w:val="1"/>
                <w:bCs w:val="1"/>
                <w:color w:val="auto"/>
                <w:w w:val="99"/>
              </w:rPr>
              <w:t>Lease Month</w:t>
            </w:r>
            <w:r>
              <w:rPr>
                <w:rFonts w:ascii="Times New Roman" w:cs="Times New Roman" w:eastAsia="Times New Roman" w:hAnsi="Times New Roman"/>
                <w:sz w:val="22"/>
                <w:szCs w:val="22"/>
                <w:color w:val="auto"/>
                <w:w w:val="99"/>
              </w:rPr>
              <w:t>” shall mean each calendar month during the Term (and if the</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300" w:type="dxa"/>
            <w:vAlign w:val="bottom"/>
            <w:gridSpan w:val="9"/>
            <w:vMerge w:val="restart"/>
          </w:tcPr>
          <w:p>
            <w:pPr>
              <w:spacing w:after="0"/>
              <w:rPr>
                <w:sz w:val="20"/>
                <w:szCs w:val="20"/>
                <w:color w:val="auto"/>
              </w:rPr>
            </w:pPr>
            <w:r>
              <w:rPr>
                <w:rFonts w:ascii="Times New Roman" w:cs="Times New Roman" w:eastAsia="Times New Roman" w:hAnsi="Times New Roman"/>
                <w:sz w:val="22"/>
                <w:szCs w:val="22"/>
                <w:color w:val="auto"/>
                <w:w w:val="96"/>
              </w:rPr>
              <w:t>Commencement Date does</w:t>
            </w:r>
          </w:p>
        </w:tc>
        <w:tc>
          <w:tcPr>
            <w:tcW w:w="1220" w:type="dxa"/>
            <w:vAlign w:val="bottom"/>
            <w:gridSpan w:val="2"/>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00" w:type="dxa"/>
            <w:vAlign w:val="bottom"/>
          </w:tcPr>
          <w:p>
            <w:pPr>
              <w:spacing w:after="0"/>
              <w:rPr>
                <w:sz w:val="20"/>
                <w:szCs w:val="20"/>
                <w:color w:val="auto"/>
              </w:rPr>
            </w:pPr>
          </w:p>
        </w:tc>
        <w:tc>
          <w:tcPr>
            <w:tcW w:w="2300" w:type="dxa"/>
            <w:vAlign w:val="bottom"/>
            <w:gridSpan w:val="9"/>
            <w:vMerge w:val="continue"/>
          </w:tcPr>
          <w:p>
            <w:pPr>
              <w:spacing w:after="0"/>
              <w:rPr>
                <w:sz w:val="20"/>
                <w:szCs w:val="20"/>
                <w:color w:val="auto"/>
              </w:rPr>
            </w:pPr>
          </w:p>
        </w:tc>
        <w:tc>
          <w:tcPr>
            <w:tcW w:w="6660" w:type="dxa"/>
            <w:vAlign w:val="bottom"/>
            <w:gridSpan w:val="10"/>
          </w:tcPr>
          <w:p>
            <w:pPr>
              <w:ind w:left="160"/>
              <w:spacing w:after="0" w:line="236" w:lineRule="exact"/>
              <w:rPr>
                <w:sz w:val="20"/>
                <w:szCs w:val="20"/>
                <w:color w:val="auto"/>
              </w:rPr>
            </w:pPr>
            <w:r>
              <w:rPr>
                <w:rFonts w:ascii="Times New Roman" w:cs="Times New Roman" w:eastAsia="Times New Roman" w:hAnsi="Times New Roman"/>
                <w:sz w:val="21"/>
                <w:szCs w:val="21"/>
                <w:color w:val="auto"/>
              </w:rPr>
              <w:t>not occur on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day of a calendar month, the period from the</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960" w:type="dxa"/>
            <w:vAlign w:val="bottom"/>
            <w:gridSpan w:val="19"/>
          </w:tcPr>
          <w:p>
            <w:pPr>
              <w:spacing w:after="0" w:line="243" w:lineRule="exact"/>
              <w:rPr>
                <w:sz w:val="20"/>
                <w:szCs w:val="20"/>
                <w:color w:val="auto"/>
              </w:rPr>
            </w:pPr>
            <w:r>
              <w:rPr>
                <w:rFonts w:ascii="Times New Roman" w:cs="Times New Roman" w:eastAsia="Times New Roman" w:hAnsi="Times New Roman"/>
                <w:sz w:val="22"/>
                <w:szCs w:val="22"/>
                <w:color w:val="auto"/>
                <w:w w:val="98"/>
              </w:rPr>
              <w:t>Commencement Date to the first (1</w:t>
            </w:r>
            <w:r>
              <w:rPr>
                <w:rFonts w:ascii="Times New Roman" w:cs="Times New Roman" w:eastAsia="Times New Roman" w:hAnsi="Times New Roman"/>
                <w:sz w:val="28"/>
                <w:szCs w:val="28"/>
                <w:color w:val="auto"/>
                <w:w w:val="98"/>
                <w:vertAlign w:val="superscript"/>
              </w:rPr>
              <w:t>st</w:t>
            </w:r>
            <w:r>
              <w:rPr>
                <w:rFonts w:ascii="Times New Roman" w:cs="Times New Roman" w:eastAsia="Times New Roman" w:hAnsi="Times New Roman"/>
                <w:sz w:val="22"/>
                <w:szCs w:val="22"/>
                <w:color w:val="auto"/>
                <w:w w:val="98"/>
              </w:rPr>
              <w:t>) day of the next calendar month shall be included in the first (1</w:t>
            </w:r>
            <w:r>
              <w:rPr>
                <w:rFonts w:ascii="Times New Roman" w:cs="Times New Roman" w:eastAsia="Times New Roman" w:hAnsi="Times New Roman"/>
                <w:sz w:val="28"/>
                <w:szCs w:val="28"/>
                <w:color w:val="auto"/>
                <w:w w:val="98"/>
                <w:vertAlign w:val="superscript"/>
              </w:rPr>
              <w:t>st</w:t>
            </w: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960" w:type="dxa"/>
            <w:vAlign w:val="bottom"/>
            <w:gridSpan w:val="19"/>
          </w:tcPr>
          <w:p>
            <w:pPr>
              <w:spacing w:after="0" w:line="243" w:lineRule="exact"/>
              <w:rPr>
                <w:sz w:val="20"/>
                <w:szCs w:val="20"/>
                <w:color w:val="auto"/>
              </w:rPr>
            </w:pPr>
            <w:r>
              <w:rPr>
                <w:rFonts w:ascii="Times New Roman" w:cs="Times New Roman" w:eastAsia="Times New Roman" w:hAnsi="Times New Roman"/>
                <w:sz w:val="22"/>
                <w:szCs w:val="22"/>
                <w:color w:val="auto"/>
              </w:rPr>
              <w:t>Lease Month for purposes of determining the duration of the Term and the monthly Base Rent rate</w:t>
            </w: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4"/>
                <w:szCs w:val="24"/>
                <w:color w:val="auto"/>
              </w:rPr>
            </w:pPr>
          </w:p>
        </w:tc>
        <w:tc>
          <w:tcPr>
            <w:tcW w:w="352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applicable for such partial month).</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Rent:</w:t>
            </w:r>
          </w:p>
        </w:tc>
        <w:tc>
          <w:tcPr>
            <w:tcW w:w="8960" w:type="dxa"/>
            <w:vAlign w:val="bottom"/>
            <w:gridSpan w:val="19"/>
          </w:tcPr>
          <w:p>
            <w:pPr>
              <w:spacing w:after="0" w:line="245" w:lineRule="exact"/>
              <w:rPr>
                <w:sz w:val="20"/>
                <w:szCs w:val="20"/>
                <w:color w:val="auto"/>
              </w:rPr>
            </w:pPr>
            <w:r>
              <w:rPr>
                <w:rFonts w:ascii="Times New Roman" w:cs="Times New Roman" w:eastAsia="Times New Roman" w:hAnsi="Times New Roman"/>
                <w:sz w:val="22"/>
                <w:szCs w:val="22"/>
                <w:color w:val="auto"/>
              </w:rPr>
              <w:t>Base Rent, Additional Rent, Taxes and Insurance (each as defined in Exhibit C hereto), and all other</w:t>
            </w:r>
          </w:p>
        </w:tc>
        <w:tc>
          <w:tcPr>
            <w:tcW w:w="0" w:type="dxa"/>
            <w:vAlign w:val="bottom"/>
          </w:tcPr>
          <w:p>
            <w:pPr>
              <w:spacing w:after="0"/>
              <w:rPr>
                <w:sz w:val="1"/>
                <w:szCs w:val="1"/>
                <w:color w:val="auto"/>
              </w:rPr>
            </w:pPr>
          </w:p>
        </w:tc>
      </w:tr>
      <w:tr>
        <w:trPr>
          <w:trHeight w:val="276"/>
        </w:trPr>
        <w:tc>
          <w:tcPr>
            <w:tcW w:w="2400" w:type="dxa"/>
            <w:vAlign w:val="bottom"/>
          </w:tcPr>
          <w:p>
            <w:pPr>
              <w:spacing w:after="0"/>
              <w:rPr>
                <w:sz w:val="24"/>
                <w:szCs w:val="24"/>
                <w:color w:val="auto"/>
              </w:rPr>
            </w:pPr>
          </w:p>
        </w:tc>
        <w:tc>
          <w:tcPr>
            <w:tcW w:w="6160" w:type="dxa"/>
            <w:vAlign w:val="bottom"/>
            <w:gridSpan w:val="17"/>
          </w:tcPr>
          <w:p>
            <w:pPr>
              <w:spacing w:after="0"/>
              <w:rPr>
                <w:sz w:val="20"/>
                <w:szCs w:val="20"/>
                <w:color w:val="auto"/>
              </w:rPr>
            </w:pPr>
            <w:r>
              <w:rPr>
                <w:rFonts w:ascii="Times New Roman" w:cs="Times New Roman" w:eastAsia="Times New Roman" w:hAnsi="Times New Roman"/>
                <w:sz w:val="22"/>
                <w:szCs w:val="22"/>
                <w:color w:val="auto"/>
                <w:w w:val="98"/>
              </w:rPr>
              <w:t>sums that Tenant may owe to Landlord or otherwise be required to pay</w:t>
            </w:r>
          </w:p>
        </w:tc>
        <w:tc>
          <w:tcPr>
            <w:tcW w:w="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w w:val="99"/>
              </w:rPr>
              <w:t>under the</w:t>
            </w:r>
          </w:p>
        </w:tc>
        <w:tc>
          <w:tcPr>
            <w:tcW w:w="19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Lease.</w:t>
            </w: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Permitted Use:</w:t>
            </w:r>
          </w:p>
        </w:tc>
        <w:tc>
          <w:tcPr>
            <w:tcW w:w="89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General office and any ancillary use, and for no other purpose whatsoever.</w:t>
            </w:r>
          </w:p>
        </w:tc>
        <w:tc>
          <w:tcPr>
            <w:tcW w:w="0" w:type="dxa"/>
            <w:vAlign w:val="bottom"/>
          </w:tcPr>
          <w:p>
            <w:pPr>
              <w:spacing w:after="0"/>
              <w:rPr>
                <w:sz w:val="1"/>
                <w:szCs w:val="1"/>
                <w:color w:val="auto"/>
              </w:rPr>
            </w:pPr>
          </w:p>
        </w:tc>
      </w:tr>
      <w:tr>
        <w:trPr>
          <w:trHeight w:val="258"/>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Proportionate Share:</w:t>
            </w:r>
          </w:p>
        </w:tc>
        <w:tc>
          <w:tcPr>
            <w:tcW w:w="89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77.14%, which is the percentage obtained by dividing (a) the number of rentable square feet in the</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960" w:type="dxa"/>
            <w:vAlign w:val="bottom"/>
            <w:gridSpan w:val="19"/>
          </w:tcPr>
          <w:p>
            <w:pPr>
              <w:spacing w:after="0" w:line="243" w:lineRule="exact"/>
              <w:rPr>
                <w:sz w:val="20"/>
                <w:szCs w:val="20"/>
                <w:color w:val="auto"/>
              </w:rPr>
            </w:pPr>
            <w:r>
              <w:rPr>
                <w:rFonts w:ascii="Times New Roman" w:cs="Times New Roman" w:eastAsia="Times New Roman" w:hAnsi="Times New Roman"/>
                <w:sz w:val="22"/>
                <w:szCs w:val="22"/>
                <w:color w:val="auto"/>
              </w:rPr>
              <w:t>Premises as stated above by (b) 53,938 rentable square feet for the Building. 25.49%, which is the</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960" w:type="dxa"/>
            <w:vAlign w:val="bottom"/>
            <w:gridSpan w:val="19"/>
          </w:tcPr>
          <w:p>
            <w:pPr>
              <w:spacing w:after="0" w:line="243" w:lineRule="exact"/>
              <w:rPr>
                <w:sz w:val="20"/>
                <w:szCs w:val="20"/>
                <w:color w:val="auto"/>
              </w:rPr>
            </w:pPr>
            <w:r>
              <w:rPr>
                <w:rFonts w:ascii="Times New Roman" w:cs="Times New Roman" w:eastAsia="Times New Roman" w:hAnsi="Times New Roman"/>
                <w:sz w:val="22"/>
                <w:szCs w:val="22"/>
                <w:color w:val="auto"/>
                <w:w w:val="99"/>
              </w:rPr>
              <w:t>percentage obtained by dividing (a) the number of rentable square feet in the Premises as stated above</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960" w:type="dxa"/>
            <w:vAlign w:val="bottom"/>
            <w:gridSpan w:val="19"/>
          </w:tcPr>
          <w:p>
            <w:pPr>
              <w:spacing w:after="0" w:line="243" w:lineRule="exact"/>
              <w:rPr>
                <w:sz w:val="20"/>
                <w:szCs w:val="20"/>
                <w:color w:val="auto"/>
              </w:rPr>
            </w:pPr>
            <w:r>
              <w:rPr>
                <w:rFonts w:ascii="Times New Roman" w:cs="Times New Roman" w:eastAsia="Times New Roman" w:hAnsi="Times New Roman"/>
                <w:sz w:val="22"/>
                <w:szCs w:val="22"/>
                <w:color w:val="auto"/>
                <w:w w:val="99"/>
              </w:rPr>
              <w:t>by (b) 163,231 rentable square feet for the Complex. Landlord and Tenant stipulate that the number of</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960" w:type="dxa"/>
            <w:vAlign w:val="bottom"/>
            <w:gridSpan w:val="19"/>
          </w:tcPr>
          <w:p>
            <w:pPr>
              <w:spacing w:after="0" w:line="243" w:lineRule="exact"/>
              <w:rPr>
                <w:sz w:val="20"/>
                <w:szCs w:val="20"/>
                <w:color w:val="auto"/>
              </w:rPr>
            </w:pPr>
            <w:r>
              <w:rPr>
                <w:rFonts w:ascii="Times New Roman" w:cs="Times New Roman" w:eastAsia="Times New Roman" w:hAnsi="Times New Roman"/>
                <w:sz w:val="22"/>
                <w:szCs w:val="22"/>
                <w:color w:val="auto"/>
              </w:rPr>
              <w:t>rentable square feet in the Premises and in the buildings in the Complex set forth above is conclusive</w:t>
            </w: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as to the square footage in existence on the date of this Lease and shall be binding upon them.</w:t>
            </w:r>
          </w:p>
        </w:tc>
        <w:tc>
          <w:tcPr>
            <w:tcW w:w="0" w:type="dxa"/>
            <w:vAlign w:val="bottom"/>
          </w:tcPr>
          <w:p>
            <w:pPr>
              <w:spacing w:after="0"/>
              <w:rPr>
                <w:sz w:val="1"/>
                <w:szCs w:val="1"/>
                <w:color w:val="auto"/>
              </w:rPr>
            </w:pPr>
          </w:p>
        </w:tc>
      </w:tr>
      <w:tr>
        <w:trPr>
          <w:trHeight w:val="258"/>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Initial Liability</w:t>
            </w:r>
          </w:p>
        </w:tc>
        <w:tc>
          <w:tcPr>
            <w:tcW w:w="1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$2,000,000</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Insurance Amount:</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Broker/Agent:</w:t>
            </w:r>
          </w:p>
        </w:tc>
        <w:tc>
          <w:tcPr>
            <w:tcW w:w="8960" w:type="dxa"/>
            <w:vAlign w:val="bottom"/>
            <w:gridSpan w:val="19"/>
          </w:tcPr>
          <w:p>
            <w:pPr>
              <w:spacing w:after="0"/>
              <w:rPr>
                <w:sz w:val="20"/>
                <w:szCs w:val="20"/>
                <w:color w:val="auto"/>
              </w:rPr>
            </w:pPr>
            <w:r>
              <w:rPr>
                <w:rFonts w:ascii="Times New Roman" w:cs="Times New Roman" w:eastAsia="Times New Roman" w:hAnsi="Times New Roman"/>
                <w:sz w:val="22"/>
                <w:szCs w:val="22"/>
                <w:color w:val="auto"/>
              </w:rPr>
              <w:t>For Tenant: Cushman &amp; Wakefield of Georgia, Inc.</w:t>
            </w:r>
          </w:p>
        </w:tc>
        <w:tc>
          <w:tcPr>
            <w:tcW w:w="0" w:type="dxa"/>
            <w:vAlign w:val="bottom"/>
          </w:tcPr>
          <w:p>
            <w:pPr>
              <w:spacing w:after="0"/>
              <w:rPr>
                <w:sz w:val="1"/>
                <w:szCs w:val="1"/>
                <w:color w:val="auto"/>
              </w:rPr>
            </w:pPr>
          </w:p>
        </w:tc>
      </w:tr>
      <w:tr>
        <w:trPr>
          <w:trHeight w:val="486"/>
        </w:trPr>
        <w:tc>
          <w:tcPr>
            <w:tcW w:w="2400" w:type="dxa"/>
            <w:vAlign w:val="bottom"/>
          </w:tcPr>
          <w:p>
            <w:pPr>
              <w:spacing w:after="0"/>
              <w:rPr>
                <w:sz w:val="24"/>
                <w:szCs w:val="24"/>
                <w:color w:val="auto"/>
              </w:rPr>
            </w:pPr>
          </w:p>
        </w:tc>
        <w:tc>
          <w:tcPr>
            <w:tcW w:w="352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For Landlord: CBRE</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Tenant’s Address:</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40" w:type="dxa"/>
            <w:vAlign w:val="bottom"/>
            <w:gridSpan w:val="8"/>
          </w:tcPr>
          <w:p>
            <w:pPr>
              <w:ind w:left="700"/>
              <w:spacing w:after="0"/>
              <w:rPr>
                <w:sz w:val="20"/>
                <w:szCs w:val="20"/>
                <w:color w:val="auto"/>
              </w:rPr>
            </w:pPr>
            <w:r>
              <w:rPr>
                <w:rFonts w:ascii="Times New Roman" w:cs="Times New Roman" w:eastAsia="Times New Roman" w:hAnsi="Times New Roman"/>
                <w:sz w:val="22"/>
                <w:szCs w:val="22"/>
                <w:color w:val="auto"/>
              </w:rPr>
              <w:t>Following Commencement Date:</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3520" w:type="dxa"/>
            <w:vAlign w:val="bottom"/>
            <w:gridSpan w:val="11"/>
          </w:tcPr>
          <w:p>
            <w:pPr>
              <w:spacing w:after="0" w:line="243" w:lineRule="exact"/>
              <w:rPr>
                <w:sz w:val="20"/>
                <w:szCs w:val="20"/>
                <w:color w:val="auto"/>
              </w:rPr>
            </w:pPr>
            <w:r>
              <w:rPr>
                <w:rFonts w:ascii="Times New Roman" w:cs="Times New Roman" w:eastAsia="Times New Roman" w:hAnsi="Times New Roman"/>
                <w:sz w:val="22"/>
                <w:szCs w:val="22"/>
                <w:color w:val="auto"/>
              </w:rPr>
              <w:t>Prior to Commencement Date:</w:t>
            </w:r>
          </w:p>
        </w:tc>
        <w:tc>
          <w:tcPr>
            <w:tcW w:w="5440" w:type="dxa"/>
            <w:vAlign w:val="bottom"/>
            <w:gridSpan w:val="8"/>
          </w:tcPr>
          <w:p>
            <w:pPr>
              <w:ind w:left="700"/>
              <w:spacing w:after="0" w:line="243" w:lineRule="exact"/>
              <w:rPr>
                <w:sz w:val="20"/>
                <w:szCs w:val="20"/>
                <w:color w:val="auto"/>
              </w:rPr>
            </w:pPr>
            <w:r>
              <w:rPr>
                <w:rFonts w:ascii="Times New Roman" w:cs="Times New Roman" w:eastAsia="Times New Roman" w:hAnsi="Times New Roman"/>
                <w:sz w:val="22"/>
                <w:szCs w:val="22"/>
                <w:color w:val="auto"/>
              </w:rPr>
              <w:t>4775 Peachtree Industrial Blvd</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3520" w:type="dxa"/>
            <w:vAlign w:val="bottom"/>
            <w:gridSpan w:val="11"/>
          </w:tcPr>
          <w:p>
            <w:pPr>
              <w:spacing w:after="0" w:line="230" w:lineRule="exact"/>
              <w:rPr>
                <w:sz w:val="20"/>
                <w:szCs w:val="20"/>
                <w:color w:val="auto"/>
              </w:rPr>
            </w:pPr>
            <w:r>
              <w:rPr>
                <w:rFonts w:ascii="Times New Roman" w:cs="Times New Roman" w:eastAsia="Times New Roman" w:hAnsi="Times New Roman"/>
                <w:sz w:val="22"/>
                <w:szCs w:val="22"/>
                <w:color w:val="auto"/>
              </w:rPr>
              <w:t>145 Technology Parkway</w:t>
            </w:r>
          </w:p>
        </w:tc>
        <w:tc>
          <w:tcPr>
            <w:tcW w:w="5440" w:type="dxa"/>
            <w:vAlign w:val="bottom"/>
            <w:gridSpan w:val="8"/>
          </w:tcPr>
          <w:p>
            <w:pPr>
              <w:ind w:left="700"/>
              <w:spacing w:after="0" w:line="230" w:lineRule="exact"/>
              <w:rPr>
                <w:sz w:val="20"/>
                <w:szCs w:val="20"/>
                <w:color w:val="auto"/>
              </w:rPr>
            </w:pPr>
            <w:r>
              <w:rPr>
                <w:rFonts w:ascii="Times New Roman" w:cs="Times New Roman" w:eastAsia="Times New Roman" w:hAnsi="Times New Roman"/>
                <w:sz w:val="22"/>
                <w:szCs w:val="22"/>
                <w:color w:val="auto"/>
              </w:rPr>
              <w:t>Suite 300</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2180" w:type="dxa"/>
            <w:vAlign w:val="bottom"/>
            <w:tcBorders>
              <w:top w:val="single" w:sz="8" w:color="auto"/>
            </w:tcBorders>
            <w:gridSpan w:val="8"/>
          </w:tcPr>
          <w:p>
            <w:pPr>
              <w:spacing w:after="0" w:line="223" w:lineRule="exact"/>
              <w:rPr>
                <w:sz w:val="20"/>
                <w:szCs w:val="20"/>
                <w:color w:val="auto"/>
              </w:rPr>
            </w:pPr>
            <w:r>
              <w:rPr>
                <w:rFonts w:ascii="Times New Roman" w:cs="Times New Roman" w:eastAsia="Times New Roman" w:hAnsi="Times New Roman"/>
                <w:sz w:val="22"/>
                <w:szCs w:val="22"/>
                <w:color w:val="auto"/>
              </w:rPr>
              <w:t>Norcross, GA 30092</w:t>
            </w:r>
          </w:p>
        </w:tc>
        <w:tc>
          <w:tcPr>
            <w:tcW w:w="1340" w:type="dxa"/>
            <w:vAlign w:val="bottom"/>
            <w:gridSpan w:val="3"/>
          </w:tcPr>
          <w:p>
            <w:pPr>
              <w:spacing w:after="0"/>
              <w:rPr>
                <w:sz w:val="19"/>
                <w:szCs w:val="19"/>
                <w:color w:val="auto"/>
              </w:rPr>
            </w:pPr>
          </w:p>
        </w:tc>
        <w:tc>
          <w:tcPr>
            <w:tcW w:w="5440" w:type="dxa"/>
            <w:vAlign w:val="bottom"/>
            <w:gridSpan w:val="8"/>
          </w:tcPr>
          <w:p>
            <w:pPr>
              <w:ind w:left="700"/>
              <w:spacing w:after="0" w:line="223" w:lineRule="exact"/>
              <w:rPr>
                <w:sz w:val="20"/>
                <w:szCs w:val="20"/>
                <w:color w:val="auto"/>
              </w:rPr>
            </w:pPr>
            <w:r>
              <w:rPr>
                <w:rFonts w:ascii="Times New Roman" w:cs="Times New Roman" w:eastAsia="Times New Roman" w:hAnsi="Times New Roman"/>
                <w:sz w:val="22"/>
                <w:szCs w:val="22"/>
                <w:color w:val="auto"/>
              </w:rPr>
              <w:t>Norcross, GA</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88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w w:val="96"/>
              </w:rPr>
              <w:t>Attention:</w:t>
            </w:r>
          </w:p>
        </w:tc>
        <w:tc>
          <w:tcPr>
            <w:tcW w:w="640" w:type="dxa"/>
            <w:vAlign w:val="bottom"/>
            <w:tcBorders>
              <w:top w:val="single" w:sz="8" w:color="auto"/>
            </w:tcBorders>
            <w:gridSpan w:val="3"/>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spacing w:after="0"/>
              <w:rPr>
                <w:sz w:val="19"/>
                <w:szCs w:val="19"/>
                <w:color w:val="auto"/>
              </w:rPr>
            </w:pPr>
          </w:p>
        </w:tc>
        <w:tc>
          <w:tcPr>
            <w:tcW w:w="5440" w:type="dxa"/>
            <w:vAlign w:val="bottom"/>
            <w:gridSpan w:val="8"/>
          </w:tcPr>
          <w:p>
            <w:pPr>
              <w:ind w:left="700"/>
              <w:spacing w:after="0" w:line="223" w:lineRule="exact"/>
              <w:rPr>
                <w:sz w:val="20"/>
                <w:szCs w:val="20"/>
                <w:color w:val="auto"/>
              </w:rPr>
            </w:pPr>
            <w:r>
              <w:rPr>
                <w:rFonts w:ascii="Times New Roman" w:cs="Times New Roman" w:eastAsia="Times New Roman" w:hAnsi="Times New Roman"/>
                <w:sz w:val="22"/>
                <w:szCs w:val="22"/>
                <w:color w:val="auto"/>
              </w:rPr>
              <w:t>Attention:</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8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86"/>
              </w:rPr>
              <w:t>Telephone:</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58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w w:val="84"/>
              </w:rPr>
              <w:t>Telephone: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12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30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2"/>
                <w:szCs w:val="22"/>
                <w:color w:val="auto"/>
              </w:rPr>
              <w:t>770-246-9191</w:t>
            </w:r>
          </w:p>
        </w:tc>
        <w:tc>
          <w:tcPr>
            <w:tcW w:w="1340" w:type="dxa"/>
            <w:vAlign w:val="bottom"/>
            <w:gridSpan w:val="3"/>
          </w:tcPr>
          <w:p>
            <w:pPr>
              <w:spacing w:after="0"/>
              <w:rPr>
                <w:sz w:val="19"/>
                <w:szCs w:val="19"/>
                <w:color w:val="auto"/>
              </w:rPr>
            </w:pPr>
          </w:p>
        </w:tc>
        <w:tc>
          <w:tcPr>
            <w:tcW w:w="1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31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gridSpan w:val="3"/>
            <w:vMerge w:val="restart"/>
          </w:tcPr>
          <w:p>
            <w:pPr>
              <w:spacing w:after="0" w:line="20" w:lineRule="exact"/>
              <w:rPr>
                <w:sz w:val="1"/>
                <w:szCs w:val="1"/>
                <w:color w:val="auto"/>
              </w:rPr>
            </w:pPr>
          </w:p>
        </w:tc>
        <w:tc>
          <w:tcPr>
            <w:tcW w:w="1660" w:type="dxa"/>
            <w:vAlign w:val="bottom"/>
            <w:gridSpan w:val="2"/>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Telecopy:</w:t>
            </w:r>
          </w:p>
        </w:tc>
        <w:tc>
          <w:tcPr>
            <w:tcW w:w="5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12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tcPr>
          <w:p>
            <w:pPr>
              <w:spacing w:after="0"/>
              <w:rPr>
                <w:sz w:val="19"/>
                <w:szCs w:val="19"/>
                <w:color w:val="auto"/>
              </w:rPr>
            </w:pPr>
          </w:p>
        </w:tc>
        <w:tc>
          <w:tcPr>
            <w:tcW w:w="2180" w:type="dxa"/>
            <w:vAlign w:val="bottom"/>
            <w:gridSpan w:val="8"/>
          </w:tcPr>
          <w:p>
            <w:pPr>
              <w:spacing w:after="0" w:line="223" w:lineRule="exact"/>
              <w:rPr>
                <w:sz w:val="20"/>
                <w:szCs w:val="20"/>
                <w:color w:val="auto"/>
              </w:rPr>
            </w:pPr>
            <w:r>
              <w:rPr>
                <w:rFonts w:ascii="Times New Roman" w:cs="Times New Roman" w:eastAsia="Times New Roman" w:hAnsi="Times New Roman"/>
                <w:sz w:val="22"/>
                <w:szCs w:val="22"/>
                <w:color w:val="auto"/>
              </w:rPr>
              <w:t>Telecopy:770-246-0882</w:t>
            </w:r>
          </w:p>
        </w:tc>
        <w:tc>
          <w:tcPr>
            <w:tcW w:w="1340" w:type="dxa"/>
            <w:vAlign w:val="bottom"/>
            <w:gridSpan w:val="3"/>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31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Landlord’s Address:</w:t>
            </w:r>
          </w:p>
        </w:tc>
        <w:tc>
          <w:tcPr>
            <w:tcW w:w="352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For all Notices:</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00" w:type="dxa"/>
            <w:vAlign w:val="bottom"/>
          </w:tcPr>
          <w:p>
            <w:pPr>
              <w:spacing w:after="0"/>
              <w:rPr>
                <w:sz w:val="20"/>
                <w:szCs w:val="20"/>
                <w:color w:val="auto"/>
              </w:rPr>
            </w:pPr>
          </w:p>
        </w:tc>
        <w:tc>
          <w:tcPr>
            <w:tcW w:w="3520" w:type="dxa"/>
            <w:vAlign w:val="bottom"/>
            <w:gridSpan w:val="11"/>
          </w:tcPr>
          <w:p>
            <w:pPr>
              <w:spacing w:after="0" w:line="237" w:lineRule="exact"/>
              <w:rPr>
                <w:sz w:val="20"/>
                <w:szCs w:val="20"/>
                <w:color w:val="auto"/>
              </w:rPr>
            </w:pPr>
            <w:r>
              <w:rPr>
                <w:rFonts w:ascii="Times New Roman" w:cs="Times New Roman" w:eastAsia="Times New Roman" w:hAnsi="Times New Roman"/>
                <w:sz w:val="22"/>
                <w:szCs w:val="22"/>
                <w:color w:val="auto"/>
              </w:rPr>
              <w:t>Peachtree II and III, LLC</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3520" w:type="dxa"/>
            <w:vAlign w:val="bottom"/>
            <w:gridSpan w:val="11"/>
          </w:tcPr>
          <w:p>
            <w:pPr>
              <w:spacing w:after="0" w:line="243" w:lineRule="exact"/>
              <w:rPr>
                <w:sz w:val="20"/>
                <w:szCs w:val="20"/>
                <w:color w:val="auto"/>
              </w:rPr>
            </w:pPr>
            <w:r>
              <w:rPr>
                <w:rFonts w:ascii="Times New Roman" w:cs="Times New Roman" w:eastAsia="Times New Roman" w:hAnsi="Times New Roman"/>
                <w:sz w:val="22"/>
                <w:szCs w:val="22"/>
                <w:color w:val="auto"/>
              </w:rPr>
              <w:t>C/O Continental Property Group</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2400" w:type="dxa"/>
            <w:vAlign w:val="bottom"/>
          </w:tcPr>
          <w:p>
            <w:pPr>
              <w:spacing w:after="0"/>
              <w:rPr>
                <w:sz w:val="23"/>
                <w:szCs w:val="23"/>
                <w:color w:val="auto"/>
              </w:rPr>
            </w:pPr>
          </w:p>
        </w:tc>
        <w:tc>
          <w:tcPr>
            <w:tcW w:w="352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1907 Wayzata Blvd, Suite 250</w:t>
            </w: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440"/>
        <w:spacing w:after="0" w:line="230" w:lineRule="auto"/>
        <w:rPr>
          <w:sz w:val="20"/>
          <w:szCs w:val="20"/>
          <w:color w:val="auto"/>
        </w:rPr>
      </w:pPr>
      <w:r>
        <w:rPr>
          <w:rFonts w:ascii="Times New Roman" w:cs="Times New Roman" w:eastAsia="Times New Roman" w:hAnsi="Times New Roman"/>
          <w:sz w:val="22"/>
          <w:szCs w:val="22"/>
          <w:color w:val="auto"/>
        </w:rPr>
        <w:t>Wayzata, MN 55391</w:t>
      </w:r>
    </w:p>
    <w:p>
      <w:pPr>
        <w:ind w:left="2440"/>
        <w:spacing w:after="0" w:line="231" w:lineRule="auto"/>
        <w:rPr>
          <w:sz w:val="20"/>
          <w:szCs w:val="20"/>
          <w:color w:val="auto"/>
        </w:rPr>
      </w:pPr>
      <w:r>
        <w:rPr>
          <w:rFonts w:ascii="Times New Roman" w:cs="Times New Roman" w:eastAsia="Times New Roman" w:hAnsi="Times New Roman"/>
          <w:sz w:val="22"/>
          <w:szCs w:val="22"/>
          <w:color w:val="auto"/>
        </w:rPr>
        <w:t>Attention: Traci Tomas</w:t>
      </w:r>
    </w:p>
    <w:p>
      <w:pPr>
        <w:ind w:left="2440"/>
        <w:spacing w:after="0" w:line="230" w:lineRule="auto"/>
        <w:rPr>
          <w:sz w:val="20"/>
          <w:szCs w:val="20"/>
          <w:color w:val="auto"/>
        </w:rPr>
      </w:pPr>
      <w:r>
        <w:rPr>
          <w:rFonts w:ascii="Times New Roman" w:cs="Times New Roman" w:eastAsia="Times New Roman" w:hAnsi="Times New Roman"/>
          <w:sz w:val="22"/>
          <w:szCs w:val="22"/>
          <w:color w:val="auto"/>
        </w:rPr>
        <w:t>Telephone: 952-473-1700</w:t>
      </w:r>
    </w:p>
    <w:p>
      <w:pPr>
        <w:spacing w:after="0" w:line="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Fax: 952-473-2700</w:t>
      </w:r>
    </w:p>
    <w:p>
      <w:pPr>
        <w:spacing w:after="0" w:line="20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u w:val="single" w:color="auto"/>
          <w:color w:val="auto"/>
        </w:rPr>
        <w:t>With a copy to:</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u w:val="single" w:color="auto"/>
          <w:color w:val="auto"/>
        </w:rPr>
        <w:t>Robins, Kaplan, Miller &amp; Ciresi, LLP</w:t>
      </w:r>
    </w:p>
    <w:p>
      <w:pPr>
        <w:ind w:left="2440"/>
        <w:spacing w:after="0" w:line="230" w:lineRule="auto"/>
        <w:rPr>
          <w:sz w:val="20"/>
          <w:szCs w:val="20"/>
          <w:color w:val="auto"/>
        </w:rPr>
      </w:pPr>
      <w:r>
        <w:rPr>
          <w:rFonts w:ascii="Times New Roman" w:cs="Times New Roman" w:eastAsia="Times New Roman" w:hAnsi="Times New Roman"/>
          <w:sz w:val="22"/>
          <w:szCs w:val="22"/>
          <w:u w:val="single" w:color="auto"/>
          <w:color w:val="auto"/>
        </w:rPr>
        <w:t>800 LaSalle Avenue</w:t>
      </w:r>
    </w:p>
    <w:p>
      <w:pPr>
        <w:ind w:left="2440"/>
        <w:spacing w:after="0" w:line="231" w:lineRule="auto"/>
        <w:rPr>
          <w:sz w:val="20"/>
          <w:szCs w:val="20"/>
          <w:color w:val="auto"/>
        </w:rPr>
      </w:pPr>
      <w:r>
        <w:rPr>
          <w:rFonts w:ascii="Times New Roman" w:cs="Times New Roman" w:eastAsia="Times New Roman" w:hAnsi="Times New Roman"/>
          <w:sz w:val="22"/>
          <w:szCs w:val="22"/>
          <w:u w:val="single" w:color="auto"/>
          <w:color w:val="auto"/>
        </w:rPr>
        <w:t>2800 LaSalle Plaza</w:t>
      </w:r>
    </w:p>
    <w:p>
      <w:pPr>
        <w:ind w:left="2440"/>
        <w:spacing w:after="0" w:line="230" w:lineRule="auto"/>
        <w:rPr>
          <w:sz w:val="20"/>
          <w:szCs w:val="20"/>
          <w:color w:val="auto"/>
        </w:rPr>
      </w:pPr>
      <w:r>
        <w:rPr>
          <w:rFonts w:ascii="Times New Roman" w:cs="Times New Roman" w:eastAsia="Times New Roman" w:hAnsi="Times New Roman"/>
          <w:sz w:val="22"/>
          <w:szCs w:val="22"/>
          <w:u w:val="single" w:color="auto"/>
          <w:color w:val="auto"/>
        </w:rPr>
        <w:t>Minneapolis, MN 55402</w:t>
      </w:r>
    </w:p>
    <w:p>
      <w:pPr>
        <w:ind w:left="2440"/>
        <w:spacing w:after="0" w:line="231" w:lineRule="auto"/>
        <w:rPr>
          <w:sz w:val="20"/>
          <w:szCs w:val="20"/>
          <w:color w:val="auto"/>
        </w:rPr>
      </w:pPr>
      <w:r>
        <w:rPr>
          <w:rFonts w:ascii="Times New Roman" w:cs="Times New Roman" w:eastAsia="Times New Roman" w:hAnsi="Times New Roman"/>
          <w:sz w:val="22"/>
          <w:szCs w:val="22"/>
          <w:u w:val="single" w:color="auto"/>
          <w:color w:val="auto"/>
        </w:rPr>
        <w:t>Attn: Steven A. Schumeister</w:t>
      </w:r>
    </w:p>
    <w:p>
      <w:pPr>
        <w:ind w:left="2440"/>
        <w:spacing w:after="0" w:line="231" w:lineRule="auto"/>
        <w:rPr>
          <w:sz w:val="20"/>
          <w:szCs w:val="20"/>
          <w:color w:val="auto"/>
        </w:rPr>
      </w:pPr>
      <w:r>
        <w:rPr>
          <w:rFonts w:ascii="Times New Roman" w:cs="Times New Roman" w:eastAsia="Times New Roman" w:hAnsi="Times New Roman"/>
          <w:sz w:val="22"/>
          <w:szCs w:val="22"/>
          <w:u w:val="single" w:color="auto"/>
          <w:color w:val="auto"/>
        </w:rPr>
        <w:t>Telephone: 612-349-8751</w:t>
      </w:r>
    </w:p>
    <w:p>
      <w:pPr>
        <w:ind w:left="2440"/>
        <w:spacing w:after="0"/>
        <w:rPr>
          <w:sz w:val="20"/>
          <w:szCs w:val="20"/>
          <w:color w:val="auto"/>
        </w:rPr>
      </w:pPr>
      <w:r>
        <w:rPr>
          <w:rFonts w:ascii="Times New Roman" w:cs="Times New Roman" w:eastAsia="Times New Roman" w:hAnsi="Times New Roman"/>
          <w:sz w:val="22"/>
          <w:szCs w:val="22"/>
          <w:u w:val="single" w:color="auto"/>
          <w:color w:val="auto"/>
        </w:rPr>
        <w:t>Fax: 612-339-4181</w:t>
      </w:r>
    </w:p>
    <w:p>
      <w:pPr>
        <w:sectPr>
          <w:pgSz w:w="11900" w:h="16838" w:orient="portrait"/>
          <w:cols w:equalWidth="0" w:num="1">
            <w:col w:w="11400"/>
          </w:cols>
          <w:pgMar w:left="240" w:top="123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DAL:752850.2</w:t>
      </w:r>
    </w:p>
    <w:p>
      <w:pPr>
        <w:sectPr>
          <w:pgSz w:w="11900" w:h="16838" w:orient="portrait"/>
          <w:cols w:equalWidth="0" w:num="1">
            <w:col w:w="11400"/>
          </w:cols>
          <w:pgMar w:left="240" w:top="1237" w:right="259" w:bottom="1440" w:gutter="0" w:footer="0" w:header="0"/>
          <w:type w:val="continuous"/>
        </w:sectPr>
      </w:pPr>
    </w:p>
    <w:bookmarkStart w:id="43" w:name="page44"/>
    <w:bookmarkEnd w:id="43"/>
    <w:p>
      <w:pPr>
        <w:spacing w:after="0" w:line="271" w:lineRule="auto"/>
        <w:rPr>
          <w:sz w:val="20"/>
          <w:szCs w:val="20"/>
          <w:color w:val="auto"/>
        </w:rPr>
      </w:pPr>
      <w:r>
        <w:rPr>
          <w:rFonts w:ascii="Times New Roman" w:cs="Times New Roman" w:eastAsia="Times New Roman" w:hAnsi="Times New Roman"/>
          <w:sz w:val="22"/>
          <w:szCs w:val="22"/>
          <w:color w:val="auto"/>
        </w:rPr>
        <w:t>The foregoing Basic Lease Information is incorporated into and made a part of the Lease identified above. If any conflict exists between any Basic Lease Information and the Lease, then the Lease shall control.</w:t>
      </w:r>
    </w:p>
    <w:p>
      <w:pPr>
        <w:spacing w:after="0" w:line="158"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22"/>
          <w:szCs w:val="22"/>
          <w:color w:val="auto"/>
        </w:rPr>
        <w:t>LANDLORD:</w:t>
      </w:r>
      <w:r>
        <w:rPr>
          <w:sz w:val="20"/>
          <w:szCs w:val="20"/>
          <w:color w:val="auto"/>
        </w:rPr>
        <w:tab/>
      </w:r>
      <w:r>
        <w:rPr>
          <w:rFonts w:ascii="Times New Roman" w:cs="Times New Roman" w:eastAsia="Times New Roman" w:hAnsi="Times New Roman"/>
          <w:sz w:val="22"/>
          <w:szCs w:val="22"/>
          <w:color w:val="auto"/>
        </w:rPr>
        <w:t>Peachtree II and III, L.L.C., a Georgia limited liability company</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Traci Tomas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Traci Tomas</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11400"/>
          </w:cols>
          <w:pgMar w:left="240" w:top="105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MDA HOLDINGS,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ectPr>
          <w:pgSz w:w="11900" w:h="16838" w:orient="portrait"/>
          <w:cols w:equalWidth="0" w:num="2">
            <w:col w:w="3180" w:space="720"/>
            <w:col w:w="7500"/>
          </w:cols>
          <w:pgMar w:left="240" w:top="1057" w:right="2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By:/s/ James E. Ginter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James E. Ginter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ectPr>
          <w:pgSz w:w="11900" w:h="16838" w:orient="portrait"/>
          <w:cols w:equalWidth="0" w:num="2">
            <w:col w:w="3180" w:space="720"/>
            <w:col w:w="7500"/>
          </w:cols>
          <w:pgMar w:left="240" w:top="1057"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DAL:752850.2</w:t>
      </w:r>
    </w:p>
    <w:p>
      <w:pPr>
        <w:sectPr>
          <w:pgSz w:w="11900" w:h="16838" w:orient="portrait"/>
          <w:cols w:equalWidth="0" w:num="1">
            <w:col w:w="11400"/>
          </w:cols>
          <w:pgMar w:left="240" w:top="1057" w:right="25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 LEASE AGREEMENT</w:t>
      </w:r>
    </w:p>
    <w:p>
      <w:pPr>
        <w:spacing w:after="0" w:line="21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This Office Lease Agreement (this “</w:t>
      </w:r>
      <w:r>
        <w:rPr>
          <w:rFonts w:ascii="Times New Roman" w:cs="Times New Roman" w:eastAsia="Times New Roman" w:hAnsi="Times New Roman"/>
          <w:sz w:val="18"/>
          <w:szCs w:val="18"/>
          <w:b w:val="1"/>
          <w:bCs w:val="1"/>
          <w:u w:val="single" w:color="auto"/>
          <w:color w:val="auto"/>
        </w:rPr>
        <w:t>Lease</w:t>
      </w:r>
      <w:r>
        <w:rPr>
          <w:rFonts w:ascii="Times New Roman" w:cs="Times New Roman" w:eastAsia="Times New Roman" w:hAnsi="Times New Roman"/>
          <w:sz w:val="18"/>
          <w:szCs w:val="18"/>
          <w:color w:val="auto"/>
        </w:rPr>
        <w:t xml:space="preserve">”) is entered into as of July 18, 2013, between </w:t>
      </w:r>
      <w:r>
        <w:rPr>
          <w:rFonts w:ascii="Times New Roman" w:cs="Times New Roman" w:eastAsia="Times New Roman" w:hAnsi="Times New Roman"/>
          <w:sz w:val="18"/>
          <w:szCs w:val="18"/>
          <w:b w:val="1"/>
          <w:bCs w:val="1"/>
          <w:color w:val="auto"/>
        </w:rPr>
        <w:t>Peachtree II and III LLC</w:t>
      </w:r>
      <w:r>
        <w:rPr>
          <w:rFonts w:ascii="Times New Roman" w:cs="Times New Roman" w:eastAsia="Times New Roman" w:hAnsi="Times New Roman"/>
          <w:sz w:val="18"/>
          <w:szCs w:val="18"/>
          <w:color w:val="auto"/>
        </w:rPr>
        <w:t>, a Georgia limited liability company (“</w:t>
      </w:r>
      <w:r>
        <w:rPr>
          <w:rFonts w:ascii="Times New Roman" w:cs="Times New Roman" w:eastAsia="Times New Roman" w:hAnsi="Times New Roman"/>
          <w:sz w:val="18"/>
          <w:szCs w:val="18"/>
          <w:b w:val="1"/>
          <w:bCs w:val="1"/>
          <w:u w:val="single" w:color="auto"/>
          <w:color w:val="auto"/>
        </w:rPr>
        <w:t>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MDA HOLDINGS,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u w:val="single" w:color="auto"/>
          <w:color w:val="auto"/>
        </w:rPr>
        <w:t>Tenant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56"/>
        <w:spacing w:after="0" w:line="245" w:lineRule="auto"/>
        <w:tabs>
          <w:tab w:leader="none" w:pos="145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 and Basic Provisions</w:t>
      </w:r>
      <w:r>
        <w:rPr>
          <w:rFonts w:ascii="Times New Roman" w:cs="Times New Roman" w:eastAsia="Times New Roman" w:hAnsi="Times New Roman"/>
          <w:sz w:val="22"/>
          <w:szCs w:val="22"/>
          <w:color w:val="auto"/>
        </w:rPr>
        <w:t>. The definitions and basic provisions set forth in the Basic Lease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u w:val="single" w:color="auto"/>
          <w:color w:val="auto"/>
        </w:rPr>
        <w:t>Basic Lease Information</w:t>
      </w:r>
      <w:r>
        <w:rPr>
          <w:rFonts w:ascii="Times New Roman" w:cs="Times New Roman" w:eastAsia="Times New Roman" w:hAnsi="Times New Roman"/>
          <w:sz w:val="22"/>
          <w:szCs w:val="22"/>
          <w:color w:val="auto"/>
        </w:rPr>
        <w:t>”) executed by Landlord and Tenant contemporaneously herewith are incorporated herein by reference for all purposes. Additionally, the following terms shall have the following meanings when used in this Lease: “</w:t>
      </w:r>
      <w:r>
        <w:rPr>
          <w:rFonts w:ascii="Times New Roman" w:cs="Times New Roman" w:eastAsia="Times New Roman" w:hAnsi="Times New Roman"/>
          <w:sz w:val="22"/>
          <w:szCs w:val="22"/>
          <w:b w:val="1"/>
          <w:bCs w:val="1"/>
          <w:u w:val="single" w:color="auto"/>
          <w:color w:val="auto"/>
        </w:rPr>
        <w:t>Affiliate</w:t>
      </w:r>
      <w:r>
        <w:rPr>
          <w:rFonts w:ascii="Times New Roman" w:cs="Times New Roman" w:eastAsia="Times New Roman" w:hAnsi="Times New Roman"/>
          <w:sz w:val="22"/>
          <w:szCs w:val="22"/>
          <w:color w:val="auto"/>
        </w:rPr>
        <w:t>” means any person or entity which, directly or indirectly, through one or more intermediaries, controls, is controlled by, or is under common control with the party in question; “</w:t>
      </w:r>
      <w:r>
        <w:rPr>
          <w:rFonts w:ascii="Times New Roman" w:cs="Times New Roman" w:eastAsia="Times New Roman" w:hAnsi="Times New Roman"/>
          <w:sz w:val="22"/>
          <w:szCs w:val="22"/>
          <w:b w:val="1"/>
          <w:bCs w:val="1"/>
          <w:u w:val="single" w:color="auto"/>
          <w:color w:val="auto"/>
        </w:rPr>
        <w:t>Building’s Structure</w:t>
      </w:r>
      <w:r>
        <w:rPr>
          <w:rFonts w:ascii="Times New Roman" w:cs="Times New Roman" w:eastAsia="Times New Roman" w:hAnsi="Times New Roman"/>
          <w:sz w:val="22"/>
          <w:szCs w:val="22"/>
          <w:color w:val="auto"/>
        </w:rPr>
        <w:t>” means the Building’s exterior walls, roof, elevator shafts (if any), footings, foundations, structural portions of load-bearing walls, structural floors and subfloors, and structural columns and beams; “</w:t>
      </w:r>
      <w:r>
        <w:rPr>
          <w:rFonts w:ascii="Times New Roman" w:cs="Times New Roman" w:eastAsia="Times New Roman" w:hAnsi="Times New Roman"/>
          <w:sz w:val="22"/>
          <w:szCs w:val="22"/>
          <w:b w:val="1"/>
          <w:bCs w:val="1"/>
          <w:u w:val="single" w:color="auto"/>
          <w:color w:val="auto"/>
        </w:rPr>
        <w:t>Building’s Systems</w:t>
      </w:r>
      <w:r>
        <w:rPr>
          <w:rFonts w:ascii="Times New Roman" w:cs="Times New Roman" w:eastAsia="Times New Roman" w:hAnsi="Times New Roman"/>
          <w:sz w:val="22"/>
          <w:szCs w:val="22"/>
          <w:color w:val="auto"/>
        </w:rPr>
        <w:t>” means the Premises’ and Building’s HVAC, life-safety, plumbing, electrical, and mechanical systems; “</w:t>
      </w:r>
      <w:r>
        <w:rPr>
          <w:rFonts w:ascii="Times New Roman" w:cs="Times New Roman" w:eastAsia="Times New Roman" w:hAnsi="Times New Roman"/>
          <w:sz w:val="22"/>
          <w:szCs w:val="22"/>
          <w:b w:val="1"/>
          <w:bCs w:val="1"/>
          <w:u w:val="single" w:color="auto"/>
          <w:color w:val="auto"/>
        </w:rPr>
        <w:t>Business Day(s)</w:t>
      </w:r>
      <w:r>
        <w:rPr>
          <w:rFonts w:ascii="Times New Roman" w:cs="Times New Roman" w:eastAsia="Times New Roman" w:hAnsi="Times New Roman"/>
          <w:sz w:val="22"/>
          <w:szCs w:val="22"/>
          <w:color w:val="auto"/>
        </w:rPr>
        <w:t>” means Monday through Friday of each week, exclusive of Holidays; “</w:t>
      </w:r>
      <w:r>
        <w:rPr>
          <w:rFonts w:ascii="Times New Roman" w:cs="Times New Roman" w:eastAsia="Times New Roman" w:hAnsi="Times New Roman"/>
          <w:sz w:val="22"/>
          <w:szCs w:val="22"/>
          <w:b w:val="1"/>
          <w:bCs w:val="1"/>
          <w:u w:val="single" w:color="auto"/>
          <w:color w:val="auto"/>
        </w:rPr>
        <w:t>Holidays</w:t>
      </w:r>
      <w:r>
        <w:rPr>
          <w:rFonts w:ascii="Times New Roman" w:cs="Times New Roman" w:eastAsia="Times New Roman" w:hAnsi="Times New Roman"/>
          <w:sz w:val="22"/>
          <w:szCs w:val="22"/>
          <w:color w:val="auto"/>
        </w:rPr>
        <w:t>” means New Year’s Day, Memorial Day, Independence Day, Labor Day, Thanksgiving Day, Christmas Day, and any other nationally or regionally recognized holiday; “</w:t>
      </w:r>
      <w:r>
        <w:rPr>
          <w:rFonts w:ascii="Times New Roman" w:cs="Times New Roman" w:eastAsia="Times New Roman" w:hAnsi="Times New Roman"/>
          <w:sz w:val="22"/>
          <w:szCs w:val="22"/>
          <w:b w:val="1"/>
          <w:bCs w:val="1"/>
          <w:u w:val="single" w:color="auto"/>
          <w:color w:val="auto"/>
        </w:rPr>
        <w:t>including</w:t>
      </w:r>
      <w:r>
        <w:rPr>
          <w:rFonts w:ascii="Times New Roman" w:cs="Times New Roman" w:eastAsia="Times New Roman" w:hAnsi="Times New Roman"/>
          <w:sz w:val="22"/>
          <w:szCs w:val="22"/>
          <w:color w:val="auto"/>
        </w:rPr>
        <w:t>” means including, without limitation; “</w:t>
      </w:r>
      <w:r>
        <w:rPr>
          <w:rFonts w:ascii="Times New Roman" w:cs="Times New Roman" w:eastAsia="Times New Roman" w:hAnsi="Times New Roman"/>
          <w:sz w:val="22"/>
          <w:szCs w:val="22"/>
          <w:b w:val="1"/>
          <w:bCs w:val="1"/>
          <w:u w:val="single" w:color="auto"/>
          <w:color w:val="auto"/>
        </w:rPr>
        <w:t>Laws</w:t>
      </w:r>
      <w:r>
        <w:rPr>
          <w:rFonts w:ascii="Times New Roman" w:cs="Times New Roman" w:eastAsia="Times New Roman" w:hAnsi="Times New Roman"/>
          <w:sz w:val="22"/>
          <w:szCs w:val="22"/>
          <w:color w:val="auto"/>
        </w:rPr>
        <w:t>” means all federal, state, and local laws, ordinances, rules and regulations, all court orders, governmental directives, and governmental orders and all interpretations of the foregoing, and all recorded restrictive covenants affecting the Project, and “</w:t>
      </w:r>
      <w:r>
        <w:rPr>
          <w:rFonts w:ascii="Times New Roman" w:cs="Times New Roman" w:eastAsia="Times New Roman" w:hAnsi="Times New Roman"/>
          <w:sz w:val="22"/>
          <w:szCs w:val="22"/>
          <w:b w:val="1"/>
          <w:bCs w:val="1"/>
          <w:u w:val="single" w:color="auto"/>
          <w:color w:val="auto"/>
        </w:rPr>
        <w:t>Law</w:t>
      </w:r>
      <w:r>
        <w:rPr>
          <w:rFonts w:ascii="Times New Roman" w:cs="Times New Roman" w:eastAsia="Times New Roman" w:hAnsi="Times New Roman"/>
          <w:sz w:val="22"/>
          <w:szCs w:val="22"/>
          <w:color w:val="auto"/>
        </w:rPr>
        <w:t>” shall mean any of the foregoing; “</w:t>
      </w:r>
      <w:r>
        <w:rPr>
          <w:rFonts w:ascii="Times New Roman" w:cs="Times New Roman" w:eastAsia="Times New Roman" w:hAnsi="Times New Roman"/>
          <w:sz w:val="22"/>
          <w:szCs w:val="22"/>
          <w:b w:val="1"/>
          <w:bCs w:val="1"/>
          <w:u w:val="single" w:color="auto"/>
          <w:color w:val="auto"/>
        </w:rPr>
        <w:t>Normal Business Hours</w:t>
      </w:r>
      <w:r>
        <w:rPr>
          <w:rFonts w:ascii="Times New Roman" w:cs="Times New Roman" w:eastAsia="Times New Roman" w:hAnsi="Times New Roman"/>
          <w:sz w:val="22"/>
          <w:szCs w:val="22"/>
          <w:color w:val="auto"/>
        </w:rPr>
        <w:t>” means 7:00 a.m. to 6:00 p.m. on Business Days and 8:00 a.m. to 1:00 p.m. on Saturdays, exclusive of Holidays; “</w:t>
      </w:r>
      <w:r>
        <w:rPr>
          <w:rFonts w:ascii="Times New Roman" w:cs="Times New Roman" w:eastAsia="Times New Roman" w:hAnsi="Times New Roman"/>
          <w:sz w:val="22"/>
          <w:szCs w:val="22"/>
          <w:b w:val="1"/>
          <w:bCs w:val="1"/>
          <w:u w:val="single" w:color="auto"/>
          <w:color w:val="auto"/>
        </w:rPr>
        <w:t>Tenant’s Off-Premises Equipment</w:t>
      </w:r>
      <w:r>
        <w:rPr>
          <w:rFonts w:ascii="Times New Roman" w:cs="Times New Roman" w:eastAsia="Times New Roman" w:hAnsi="Times New Roman"/>
          <w:sz w:val="22"/>
          <w:szCs w:val="22"/>
          <w:color w:val="auto"/>
        </w:rPr>
        <w:t>” means any of Tenant’s equipment or other property that may be located on or about the Project (other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inside the Premises); and “</w:t>
      </w:r>
      <w:r>
        <w:rPr>
          <w:rFonts w:ascii="Times New Roman" w:cs="Times New Roman" w:eastAsia="Times New Roman" w:hAnsi="Times New Roman"/>
          <w:sz w:val="22"/>
          <w:szCs w:val="22"/>
          <w:b w:val="1"/>
          <w:bCs w:val="1"/>
          <w:u w:val="single" w:color="auto"/>
          <w:color w:val="auto"/>
        </w:rPr>
        <w:t>Tenant Party</w:t>
      </w:r>
      <w:r>
        <w:rPr>
          <w:rFonts w:ascii="Times New Roman" w:cs="Times New Roman" w:eastAsia="Times New Roman" w:hAnsi="Times New Roman"/>
          <w:sz w:val="22"/>
          <w:szCs w:val="22"/>
          <w:color w:val="auto"/>
        </w:rPr>
        <w:t>” means any of the following persons: Tenant; any assignees claiming by, through, or under Tenant; any subtenants claiming by, through, or under Tenant; and any of their respective agents, contractors, employees, and invitees.</w:t>
      </w:r>
    </w:p>
    <w:p>
      <w:pPr>
        <w:spacing w:after="0" w:line="188" w:lineRule="exact"/>
        <w:rPr>
          <w:rFonts w:ascii="Times New Roman" w:cs="Times New Roman" w:eastAsia="Times New Roman" w:hAnsi="Times New Roman"/>
          <w:sz w:val="22"/>
          <w:szCs w:val="22"/>
          <w:color w:val="auto"/>
        </w:rPr>
      </w:pPr>
    </w:p>
    <w:p>
      <w:pPr>
        <w:ind w:firstLine="656"/>
        <w:spacing w:after="0" w:line="275" w:lineRule="auto"/>
        <w:tabs>
          <w:tab w:leader="none" w:pos="145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Lease Grant</w:t>
      </w:r>
      <w:r>
        <w:rPr>
          <w:rFonts w:ascii="Times New Roman" w:cs="Times New Roman" w:eastAsia="Times New Roman" w:hAnsi="Times New Roman"/>
          <w:sz w:val="22"/>
          <w:szCs w:val="22"/>
          <w:color w:val="auto"/>
        </w:rPr>
        <w:t>. Subject to the terms of this Lease, Landlord leases to Tenant, and Tenant leases from Landlord,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Premises (as defined in the Basic Lease Information).</w:t>
      </w:r>
    </w:p>
    <w:p>
      <w:pPr>
        <w:spacing w:after="0" w:line="149" w:lineRule="exact"/>
        <w:rPr>
          <w:rFonts w:ascii="Times New Roman" w:cs="Times New Roman" w:eastAsia="Times New Roman" w:hAnsi="Times New Roman"/>
          <w:sz w:val="22"/>
          <w:szCs w:val="22"/>
          <w:color w:val="auto"/>
        </w:rPr>
      </w:pPr>
    </w:p>
    <w:p>
      <w:pPr>
        <w:jc w:val="both"/>
        <w:ind w:firstLine="656"/>
        <w:spacing w:after="0" w:line="246" w:lineRule="auto"/>
        <w:tabs>
          <w:tab w:leader="none" w:pos="145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Tender of Possession</w:t>
      </w:r>
      <w:r>
        <w:rPr>
          <w:rFonts w:ascii="Times New Roman" w:cs="Times New Roman" w:eastAsia="Times New Roman" w:hAnsi="Times New Roman"/>
          <w:sz w:val="22"/>
          <w:szCs w:val="22"/>
          <w:color w:val="auto"/>
        </w:rPr>
        <w:t>. Landlord and Tenant presently anticipate that the Commencement Date (as defined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Basic Lease Information) will occur on March 1, 2014 (the “</w:t>
      </w:r>
      <w:r>
        <w:rPr>
          <w:rFonts w:ascii="Times New Roman" w:cs="Times New Roman" w:eastAsia="Times New Roman" w:hAnsi="Times New Roman"/>
          <w:sz w:val="22"/>
          <w:szCs w:val="22"/>
          <w:b w:val="1"/>
          <w:bCs w:val="1"/>
          <w:u w:val="single" w:color="auto"/>
          <w:color w:val="auto"/>
        </w:rPr>
        <w:t>Estimated Delivery Date</w:t>
      </w:r>
      <w:r>
        <w:rPr>
          <w:rFonts w:ascii="Times New Roman" w:cs="Times New Roman" w:eastAsia="Times New Roman" w:hAnsi="Times New Roman"/>
          <w:sz w:val="22"/>
          <w:szCs w:val="22"/>
          <w:color w:val="auto"/>
        </w:rPr>
        <w:t xml:space="preserve">”). The validity of this Lease shall not be affected or impaired if Landlord is unable to tender possession of the Premises to Tenant in the condition required hereby by the Estimated Delivery Date and Landlord shall not be in default hereunder or be liable for damages resulting therefrom, in each case, and Tenant shall accept possession of the Premises when Landlord tenders possession thereof to Tenant unless a delay is caused by Landlord for which result in a day for day abatement of rent until such time Tenant is able to commence the lease. By occupying the Premises, Tenant shall be deemed to have accepted the Premises in their condition as of the date of such occupancy Prior to so occupying the Premises, Tenant shall execute and deliver to Landlord a letter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hereto confirming: (1) the Commencement Date and the Fixed Expiration Date (as defined in the Basic Lease Information); (2) that Tenant has accepted the Premises; and (3) that Landlord has performed all of its obligations with respect to the Premises; however, the failure of the parties to execute such letter shall not defer the Commencement Date</w:t>
      </w:r>
    </w:p>
    <w:p>
      <w:pPr>
        <w:sectPr>
          <w:pgSz w:w="11900" w:h="16838" w:orient="portrait"/>
          <w:cols w:equalWidth="0" w:num="1">
            <w:col w:w="11420"/>
          </w:cols>
          <w:pgMar w:left="240" w:top="621" w:right="239" w:bottom="1440" w:gutter="0" w:footer="0" w:header="0"/>
        </w:sectPr>
      </w:pPr>
    </w:p>
    <w:bookmarkStart w:id="45" w:name="page46"/>
    <w:bookmarkEnd w:id="45"/>
    <w:p>
      <w:pPr>
        <w:jc w:val="both"/>
        <w:spacing w:after="0" w:line="252" w:lineRule="auto"/>
        <w:rPr>
          <w:sz w:val="20"/>
          <w:szCs w:val="20"/>
          <w:color w:val="auto"/>
        </w:rPr>
      </w:pPr>
      <w:r>
        <w:rPr>
          <w:rFonts w:ascii="Times New Roman" w:cs="Times New Roman" w:eastAsia="Times New Roman" w:hAnsi="Times New Roman"/>
          <w:sz w:val="22"/>
          <w:szCs w:val="22"/>
          <w:color w:val="auto"/>
        </w:rPr>
        <w:t>or otherwise invalidate this Lease. Tenant’s failure to execute such document within ten (10) Business Days of receipt thereof from Landlord shall be deemed to constitute Tenant’s agreement to the contents of such document. Occupancy of the Premises by Tenant prior to the Commencement Date shall be subject to all of the provisions of this Lease excepting only those requiring the payment of Rent.</w:t>
      </w:r>
    </w:p>
    <w:p>
      <w:pPr>
        <w:spacing w:after="0" w:line="176" w:lineRule="exact"/>
        <w:rPr>
          <w:sz w:val="20"/>
          <w:szCs w:val="20"/>
          <w:color w:val="auto"/>
        </w:rPr>
      </w:pPr>
    </w:p>
    <w:p>
      <w:pPr>
        <w:jc w:val="both"/>
        <w:ind w:firstLine="656"/>
        <w:spacing w:after="0" w:line="246" w:lineRule="auto"/>
        <w:tabs>
          <w:tab w:leader="none" w:pos="145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Rent</w:t>
      </w:r>
      <w:r>
        <w:rPr>
          <w:rFonts w:ascii="Times New Roman" w:cs="Times New Roman" w:eastAsia="Times New Roman" w:hAnsi="Times New Roman"/>
          <w:sz w:val="22"/>
          <w:szCs w:val="22"/>
          <w:color w:val="auto"/>
        </w:rPr>
        <w:t>. Tenant shall timely pay to Landlord Rent (as defined in the Basic Lease Information), including the amounts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without notice, demand, or deduction, by good and sufficient check drawn on a national banking association at Landlord’s address provided for in this Lease or as otherwise specified by Landlord in writing and shall be accompanied by all applicable state and local sales or use taxes. The obligations of Tenant to pay Base Rent (as defined in the Basic Lease Information) and other sums to Landlord and the obligations of Landlord under this Lease are independent obligations. Base Rent, adjusted as herein provided, shall be payable monthly in advance. The first (1st) monthly installment of Base Rent shall be payable contemporaneously with the execution of this Lease; thereafter, Base Rent shall be payable on the first (1st) day of each month beginning on the first (1st) day of the second (2nd) full calendar month of the Term, subject to the Base Rent Abatement (as defined in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xml:space="preserve">). The monthly Base Rent for any partial month at the beginning of the Term shall equal the product of 1/365 of the annual Base Rent in effect during the partial month and the number of days in the partial month, and shall be due on the Rent Commencement Date. Payments of Base Rent for any fractional calendar month at the end of the Term shall be similarly prorated. Tenant shall pay Additional Rent, Taxes and Insurance (each as defined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at the same time and in the same manner as Base Rent.</w:t>
      </w:r>
    </w:p>
    <w:p>
      <w:pPr>
        <w:spacing w:after="0" w:line="180" w:lineRule="exact"/>
        <w:rPr>
          <w:rFonts w:ascii="Times New Roman" w:cs="Times New Roman" w:eastAsia="Times New Roman" w:hAnsi="Times New Roman"/>
          <w:sz w:val="22"/>
          <w:szCs w:val="22"/>
          <w:color w:val="auto"/>
        </w:rPr>
      </w:pPr>
    </w:p>
    <w:p>
      <w:pPr>
        <w:jc w:val="both"/>
        <w:ind w:firstLine="656"/>
        <w:spacing w:after="0" w:line="247" w:lineRule="auto"/>
        <w:tabs>
          <w:tab w:leader="none" w:pos="145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Delinquent Payment</w:t>
      </w:r>
      <w:r>
        <w:rPr>
          <w:rFonts w:ascii="Times New Roman" w:cs="Times New Roman" w:eastAsia="Times New Roman" w:hAnsi="Times New Roman"/>
          <w:sz w:val="22"/>
          <w:szCs w:val="22"/>
          <w:color w:val="auto"/>
        </w:rPr>
        <w:t>. All past due payments required of Tenant hereunder shall bear interest from the date due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until paid at the lesser of ten percent (10%) per annum or the maximum lawful rate of interest (such lesser amount is referred to herein as the “</w:t>
      </w:r>
      <w:r>
        <w:rPr>
          <w:rFonts w:ascii="Times New Roman" w:cs="Times New Roman" w:eastAsia="Times New Roman" w:hAnsi="Times New Roman"/>
          <w:sz w:val="22"/>
          <w:szCs w:val="22"/>
          <w:b w:val="1"/>
          <w:bCs w:val="1"/>
          <w:u w:val="single" w:color="auto"/>
          <w:color w:val="auto"/>
        </w:rPr>
        <w:t>Default Rate</w:t>
      </w:r>
      <w:r>
        <w:rPr>
          <w:rFonts w:ascii="Times New Roman" w:cs="Times New Roman" w:eastAsia="Times New Roman" w:hAnsi="Times New Roman"/>
          <w:sz w:val="22"/>
          <w:szCs w:val="22"/>
          <w:color w:val="auto"/>
        </w:rPr>
        <w:t xml:space="preserve">”). Any such late charge and interest payment shall be payable as Additional Rent under this Lease, shall not be considered a waiver by Landlord of any default by Tenant hereunder, and shall be payable immediately on demand. In no event, however, shall the charges permitted under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or elsewhere in this Lease, to the extent they are considered to be interest under applicable Law, exceed the maximum lawful rate of interest. Notwithstanding the foregoing, the late fee referenced above shall not be charged with respect to the first occurrence (but not any subsequent occurrence) during any twelve-month period that Tenant fails to make payment when due, until five (5) days after Landlord delivers written notice of such delinquency to Tenant.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4"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Services; Utilities; Common Areas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u w:val="single" w:color="auto"/>
          <w:color w:val="auto"/>
        </w:rPr>
        <w:t>Services</w:t>
      </w:r>
      <w:r>
        <w:rPr>
          <w:rFonts w:ascii="Times New Roman" w:cs="Times New Roman" w:eastAsia="Times New Roman" w:hAnsi="Times New Roman"/>
          <w:sz w:val="22"/>
          <w:szCs w:val="22"/>
          <w:color w:val="auto"/>
        </w:rPr>
        <w:t>. Landlord and Tenant acknowledge and agree that the electrical service and all other utilities provided to the Premises are separately circuited and/or metered such that Tenant shall be billed by utility provider directly and will pay the utility provider for the costs associated with electricity and other utilities consumed. Tenant hereby agrees to pay during the Term, the costs of all such utilities furnished to the Premises, including, without limitation, water, gas, if any, electricity, sewer and refuse disposal. To the extent water, sewer and refuse</w:t>
      </w:r>
    </w:p>
    <w:p>
      <w:pPr>
        <w:sectPr>
          <w:pgSz w:w="11900" w:h="16838" w:orient="portrait"/>
          <w:cols w:equalWidth="0" w:num="1">
            <w:col w:w="11420"/>
          </w:cols>
          <w:pgMar w:left="240" w:top="625" w:right="239" w:bottom="1440" w:gutter="0" w:footer="0" w:header="0"/>
        </w:sectPr>
      </w:pPr>
    </w:p>
    <w:bookmarkStart w:id="46" w:name="page47"/>
    <w:bookmarkEnd w:id="46"/>
    <w:p>
      <w:pPr>
        <w:jc w:val="both"/>
        <w:spacing w:after="0" w:line="252" w:lineRule="auto"/>
        <w:rPr>
          <w:sz w:val="20"/>
          <w:szCs w:val="20"/>
          <w:color w:val="auto"/>
        </w:rPr>
      </w:pPr>
      <w:r>
        <w:rPr>
          <w:rFonts w:ascii="Times New Roman" w:cs="Times New Roman" w:eastAsia="Times New Roman" w:hAnsi="Times New Roman"/>
          <w:sz w:val="22"/>
          <w:szCs w:val="22"/>
          <w:color w:val="auto"/>
        </w:rPr>
        <w:t>disposal for the Premises and other tenant space within the Building are not separately billed to Tenant and the other tenants of the Building, Tenant shall pay its Proportionate Share of such costs for such services to Landlord as part of Operating Costs. Tenant shall be solely responsible for the payment of all telephone and cable charges, including, without limitation, the cost of installation at the Premises of all telephone and cable equipment which may be installed at the request of Tenant.</w:t>
      </w:r>
    </w:p>
    <w:p>
      <w:pPr>
        <w:spacing w:after="0" w:line="176"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b w:val="1"/>
          <w:bCs w:val="1"/>
          <w:u w:val="single" w:color="auto"/>
          <w:color w:val="auto"/>
        </w:rPr>
        <w:t>Electricity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Landlord acknowledges 3000 AMP 480 / 277 volt, 3 phase electrical power is supplied to the Complex (hereinafter referred to as the “</w:t>
      </w:r>
      <w:r>
        <w:rPr>
          <w:rFonts w:ascii="Times New Roman" w:cs="Times New Roman" w:eastAsia="Times New Roman" w:hAnsi="Times New Roman"/>
          <w:sz w:val="22"/>
          <w:szCs w:val="22"/>
          <w:b w:val="1"/>
          <w:bCs w:val="1"/>
          <w:u w:val="single" w:color="auto"/>
          <w:color w:val="auto"/>
        </w:rPr>
        <w:t>Building standard rated electrical design load</w:t>
      </w:r>
      <w:r>
        <w:rPr>
          <w:rFonts w:ascii="Times New Roman" w:cs="Times New Roman" w:eastAsia="Times New Roman" w:hAnsi="Times New Roman"/>
          <w:sz w:val="22"/>
          <w:szCs w:val="22"/>
          <w:color w:val="auto"/>
        </w:rPr>
        <w:t>”). Tenant shall be allocated Tenant’s pro rata share of the Building standard circuits provided on the floor(s) Tenant occupies. Should Tenant’s fully connected electrical design load exceed the Building standard rated electrical design load for either low or high voltage electrical consumption, or if Tenant’s electrical design requires low voltage or high voltage circuits in excess of Tenant’s share of the Building standard circuits, Tenant shall be responsible for complying with any of Landlord’s requirements in connection therewith, including, without limitation, installing (at Tenant’s expense) one (1) additional high voltage panel and/or one (1) additional low voltage panel with associated transformer (which additional panels and transformers shall be hereinafter referred to as the “</w:t>
      </w:r>
      <w:r>
        <w:rPr>
          <w:rFonts w:ascii="Times New Roman" w:cs="Times New Roman" w:eastAsia="Times New Roman" w:hAnsi="Times New Roman"/>
          <w:sz w:val="22"/>
          <w:szCs w:val="22"/>
          <w:b w:val="1"/>
          <w:bCs w:val="1"/>
          <w:u w:val="single" w:color="auto"/>
          <w:color w:val="auto"/>
        </w:rPr>
        <w:t>additional electrical equipment</w:t>
      </w:r>
      <w:r>
        <w:rPr>
          <w:rFonts w:ascii="Times New Roman" w:cs="Times New Roman" w:eastAsia="Times New Roman" w:hAnsi="Times New Roman"/>
          <w:sz w:val="22"/>
          <w:szCs w:val="22"/>
          <w:color w:val="auto"/>
        </w:rPr>
        <w:t>”). If the additional electrical equipment is installed because Tenant’s low or high voltage rated electrical design load exceeds the applicable Building standard rated electrical design load, then a meter may also be added at Landlord’s option (at Tenant’s expense) to measure the electricity used through the additional electrical equipment. The design and installation of any additional electrical equipment (or related meter) required by Tenant shall be subject to the prior approval of Landlord (which approval shall not be unreasonably withheld). All expenses incurred by Landlord in connection with the review and approval of any additional electrical equipment shall also be reimbursed to Landlord by Tenant. Tenant shall also pay on demand the actual metered cost of electricity consumed through the additional electrical equipment (if applicable), plus any actual accounting expenses incurred by Landlord in connection with the metering thereof.</w:t>
      </w:r>
    </w:p>
    <w:p>
      <w:pPr>
        <w:spacing w:after="0" w:line="1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Notwithstanding the foregoing, if: (i) such utility service is interrupted because of the acts of Landlord, its employees, agents or contractors; (ii) Tenant notifies Landlord of such interruption in writing (the “</w:t>
      </w:r>
      <w:r>
        <w:rPr>
          <w:rFonts w:ascii="Times New Roman" w:cs="Times New Roman" w:eastAsia="Times New Roman" w:hAnsi="Times New Roman"/>
          <w:sz w:val="22"/>
          <w:szCs w:val="22"/>
          <w:b w:val="1"/>
          <w:bCs w:val="1"/>
          <w:u w:val="single" w:color="auto"/>
          <w:color w:val="auto"/>
        </w:rPr>
        <w:t>Interruption Notice</w:t>
      </w:r>
      <w:r>
        <w:rPr>
          <w:rFonts w:ascii="Times New Roman" w:cs="Times New Roman" w:eastAsia="Times New Roman" w:hAnsi="Times New Roman"/>
          <w:sz w:val="22"/>
          <w:szCs w:val="22"/>
          <w:color w:val="auto"/>
        </w:rPr>
        <w:t>”); (iii) such interruption does not arise in whole or in part as a result of an act or omission of a Tenant Party; (iv) such interruption is not caused by a fire or other casualty; (v) the repair or restoration of such service is reasonably within the control of Landlord; and (vi) as a result of such interruption, the Premises or a material portion thereof, is rendered untenantable (meaning that Tenant is unable to use the Premises in the normal course of it business) and Tenant in fact ceases to use the Premises, or material portion thereof, then, Tenant’s sole remedy for such interruption shall be as follows: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consecutive business day following the later to occur of the date the Premises (or material portion thereof) becomes untenantable, the date Tenant ceases to use such space and the date Tenant provides Landlord with an Interruption Notice, the Rent payable hereunder shall be abated on a per diem basis for each day after such five (5) business day period based upon the percentage of the Premises so rendered untenantable and not used by Tenant, and such abatement shall continue until the date the Premises become tenantable again.</w:t>
      </w:r>
    </w:p>
    <w:p>
      <w:pPr>
        <w:sectPr>
          <w:pgSz w:w="11900" w:h="16838" w:orient="portrait"/>
          <w:cols w:equalWidth="0" w:num="1">
            <w:col w:w="11420"/>
          </w:cols>
          <w:pgMar w:left="240" w:top="625" w:right="239" w:bottom="1440" w:gutter="0" w:footer="0" w:header="0"/>
        </w:sectPr>
      </w:pPr>
    </w:p>
    <w:bookmarkStart w:id="47" w:name="page48"/>
    <w:bookmarkEnd w:id="47"/>
    <w:p>
      <w:pPr>
        <w:jc w:val="both"/>
        <w:ind w:firstLine="1297"/>
        <w:spacing w:after="0" w:line="259"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b w:val="1"/>
          <w:bCs w:val="1"/>
          <w:u w:val="single" w:color="auto"/>
          <w:color w:val="auto"/>
        </w:rPr>
        <w:t>Janitorial Services</w:t>
      </w:r>
      <w:r>
        <w:rPr>
          <w:rFonts w:ascii="Times New Roman" w:cs="Times New Roman" w:eastAsia="Times New Roman" w:hAnsi="Times New Roman"/>
          <w:sz w:val="22"/>
          <w:szCs w:val="22"/>
          <w:color w:val="auto"/>
        </w:rPr>
        <w:t>. Tenant shall furnish, at Tenant’s sole expense, regularly scheduled janitorial service to the Premises on weekdays, other than Holidays, in a manner that is consistent with first -class office buildings in the vicinity of the Building.</w:t>
      </w:r>
    </w:p>
    <w:p>
      <w:pPr>
        <w:spacing w:after="0" w:line="167"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b w:val="1"/>
          <w:bCs w:val="1"/>
          <w:u w:val="single" w:color="auto"/>
          <w:color w:val="auto"/>
        </w:rPr>
        <w:t>Common Areas</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u w:val="single" w:color="auto"/>
          <w:color w:val="auto"/>
        </w:rPr>
        <w:t>Common Area</w:t>
      </w:r>
      <w:r>
        <w:rPr>
          <w:rFonts w:ascii="Times New Roman" w:cs="Times New Roman" w:eastAsia="Times New Roman" w:hAnsi="Times New Roman"/>
          <w:sz w:val="22"/>
          <w:szCs w:val="22"/>
          <w:color w:val="auto"/>
        </w:rPr>
        <w:t>” is defined for all purposes of this Lease as that part of the Building or Complex, as applicable, intended for the common use of all tenants, including among other facilities (as such may be applicable to the Building or Complex, as applicable), the ground floor lobby, elevator lobbies and hallways on multi-tenant floors, parking areas, private streets and alleys of the Building or Complex, as applicable, landscaping, curbs, loading areas, sidewalks, malls and promenades (enclosed or otherwise), lighting facilities, drinking fountains, meeting rooms, public toilets, the parking garage, and the like, but excluding: (i) space in buildings (now or hereafter existing) designated for rental for commercial purposes, as the same may exist from time to time; (ii) streets and alleys not maintained by Landlord; (iii) areas within the Building or Complex, as applicable, which may from time to time not be owned by Landlord (unless subject to a cross-access agreement recorded in the public records and benefiting the area which includes the Premises); and (iv) areas leased to a single-purpose user where access is restricted. In addition, although the roof(s) of the Building or buildings in the Complex are not literally part of the Common Area, they will be deemed to be so included for purposes of: (i) Landlord’s ability to prescribe rules and regulations regarding same; and (ii) its inclusion for purposes of Operating Costs reimbursements. Landlord reserves the right to change from time to time, the dimensions and location of the Common Area, as well as the dimensions, identities, locations and types of any buildings, signs or other improvements in the Project, so as long as Tenant’s Proportionate Share is not increased. For example, and without limiting the generality of the immediately preceding sentence, Landlord may from time to time substitute for any parking area other areas reasonably accessible to the tenants of the Building or Complex, as applicable, which areas may be elevated, surface or underground. Tenant, and its employees and customers, and when duly authorized pursuant to the provisions of this Lease, its subtenants, licensees and concessionaires, shall have the non-exclusive right to use the Common Area (excluding the roof(s)) as constituted from time to time, such use to be in common with Landlord, other tenants in the Building or Complex, as applicable, and other persons permitted by the Landlord to use the same, and subject to rights of governmental authorities, easements and other restrictions of record, and such reasonable rules and regulations governing use as Landlord may from time to time prescribe. Without limiting the generality of Landlord’s ability to establish rules and regulations governing all aspects of the Common Area, Tenant agrees as follows:</w:t>
      </w:r>
    </w:p>
    <w:p>
      <w:pPr>
        <w:spacing w:after="0" w:line="206" w:lineRule="exact"/>
        <w:rPr>
          <w:sz w:val="20"/>
          <w:szCs w:val="20"/>
          <w:color w:val="auto"/>
        </w:rPr>
      </w:pPr>
    </w:p>
    <w:p>
      <w:pPr>
        <w:ind w:left="660" w:firstLine="1293"/>
        <w:spacing w:after="0" w:line="271" w:lineRule="auto"/>
        <w:tabs>
          <w:tab w:leader="none" w:pos="280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solicit business within the Common Area nor take any action which would interfere with the rights of other persons to use the Common Area.</w:t>
      </w:r>
    </w:p>
    <w:p>
      <w:pPr>
        <w:spacing w:after="0" w:line="157" w:lineRule="exact"/>
        <w:rPr>
          <w:rFonts w:ascii="Times New Roman" w:cs="Times New Roman" w:eastAsia="Times New Roman" w:hAnsi="Times New Roman"/>
          <w:sz w:val="22"/>
          <w:szCs w:val="22"/>
          <w:color w:val="auto"/>
        </w:rPr>
      </w:pPr>
    </w:p>
    <w:p>
      <w:pPr>
        <w:jc w:val="both"/>
        <w:ind w:left="660" w:firstLine="1293"/>
        <w:spacing w:after="0" w:line="257" w:lineRule="auto"/>
        <w:tabs>
          <w:tab w:leader="none" w:pos="286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temporarily close any part of the Common Area for such periods of time as may be reasonably necessary to make repairs or alterations or to prevent the public from obtaining prescriptive rights provided that such closure does not materially limit Tenant’s rights hereunder.</w:t>
      </w:r>
    </w:p>
    <w:p>
      <w:pPr>
        <w:spacing w:after="0" w:line="173" w:lineRule="exact"/>
        <w:rPr>
          <w:rFonts w:ascii="Times New Roman" w:cs="Times New Roman" w:eastAsia="Times New Roman" w:hAnsi="Times New Roman"/>
          <w:sz w:val="22"/>
          <w:szCs w:val="22"/>
          <w:color w:val="auto"/>
        </w:rPr>
      </w:pPr>
    </w:p>
    <w:p>
      <w:pPr>
        <w:ind w:left="660" w:right="20" w:firstLine="1293"/>
        <w:spacing w:after="0" w:line="271" w:lineRule="auto"/>
        <w:tabs>
          <w:tab w:leader="none" w:pos="292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regard to the roof(s) of the Building or building(s) in the Complex, as applicable, use of the roof(s) is reserved to Landlord, or with regard to any</w:t>
      </w:r>
    </w:p>
    <w:p>
      <w:pPr>
        <w:sectPr>
          <w:pgSz w:w="11900" w:h="16838" w:orient="portrait"/>
          <w:cols w:equalWidth="0" w:num="1">
            <w:col w:w="11420"/>
          </w:cols>
          <w:pgMar w:left="240" w:top="621" w:right="239" w:bottom="1440" w:gutter="0" w:footer="0" w:header="0"/>
        </w:sectPr>
      </w:pPr>
    </w:p>
    <w:bookmarkStart w:id="48" w:name="page49"/>
    <w:bookmarkEnd w:id="48"/>
    <w:p>
      <w:pPr>
        <w:ind w:left="660"/>
        <w:spacing w:after="0" w:line="271" w:lineRule="auto"/>
        <w:rPr>
          <w:sz w:val="20"/>
          <w:szCs w:val="20"/>
          <w:color w:val="auto"/>
        </w:rPr>
      </w:pPr>
      <w:r>
        <w:rPr>
          <w:rFonts w:ascii="Times New Roman" w:cs="Times New Roman" w:eastAsia="Times New Roman" w:hAnsi="Times New Roman"/>
          <w:sz w:val="22"/>
          <w:szCs w:val="22"/>
          <w:color w:val="auto"/>
        </w:rPr>
        <w:t>tenant demonstrating to Landlord’s satisfaction a need to use same, to such tenant after receiving prior written consent from Landlord.</w:t>
      </w:r>
    </w:p>
    <w:p>
      <w:pPr>
        <w:spacing w:after="0" w:line="154"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b w:val="1"/>
          <w:bCs w:val="1"/>
          <w:u w:val="single" w:color="auto"/>
          <w:color w:val="auto"/>
        </w:rPr>
        <w:t>Parking</w:t>
      </w:r>
      <w:r>
        <w:rPr>
          <w:rFonts w:ascii="Times New Roman" w:cs="Times New Roman" w:eastAsia="Times New Roman" w:hAnsi="Times New Roman"/>
          <w:sz w:val="22"/>
          <w:szCs w:val="22"/>
          <w:color w:val="auto"/>
        </w:rPr>
        <w:t>. Tenant and its employees shall be entitled to use Tenant’s proportionate share of the parking spaces in the parking areas made available to the Building by Landlord, which proportionate share shall be determined using a ratio of 4 parking spaces per 1,000 rentable square feet contained in the Premises, free of charge during the Term and any renewals or extensions thereof. Such spaces shall be used in common with other tenants, invitees and visitors of the Building. Tenant shall have the right to park in the Building parking facilities in common with other tenants of the Building upon such terms and conditions as may be established by Landlord from time to time. If Tenant uses more than the above allocated number of parking spaces, Tenant agrees not to overburden the parking facilities and agrees to cooperate with Landlord and other tenants in use of the parking facilities. Without reducing the ratio of parking spaces per rental square feet, Landlord reserves the right in its reasonable discretion to determine whether the parking facilities are becoming overburdened and to allocate and assign parking spaces among Tenant and other tenants, and to reconfigure the parking area and modify the existing ingress to and egress from the parking area as Landlord shall reasonably deem appropriate. Tenant covenants and agrees to fully cooperate with Landlord in the enforcement of any program of rules and regulations designed for the orderly control and operation of parking areas.</w:t>
      </w:r>
    </w:p>
    <w:p>
      <w:pPr>
        <w:spacing w:after="0" w:line="184" w:lineRule="exact"/>
        <w:rPr>
          <w:sz w:val="20"/>
          <w:szCs w:val="20"/>
          <w:color w:val="auto"/>
        </w:rPr>
      </w:pPr>
    </w:p>
    <w:p>
      <w:pPr>
        <w:ind w:left="1460" w:hanging="804"/>
        <w:spacing w:after="0"/>
        <w:tabs>
          <w:tab w:leader="none" w:pos="14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Alterations; Repairs; Maintenance; Signs; Security System</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305"/>
        <w:spacing w:after="0" w:line="246" w:lineRule="auto"/>
        <w:tabs>
          <w:tab w:leader="none" w:pos="171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Alterations</w:t>
      </w:r>
      <w:r>
        <w:rPr>
          <w:rFonts w:ascii="Times New Roman" w:cs="Times New Roman" w:eastAsia="Times New Roman" w:hAnsi="Times New Roman"/>
          <w:sz w:val="22"/>
          <w:szCs w:val="22"/>
          <w:color w:val="auto"/>
        </w:rPr>
        <w:t>. Tenant shall not make any alterations, additions or improvements to the Premises (collectively,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Alterations</w:t>
      </w:r>
      <w:r>
        <w:rPr>
          <w:rFonts w:ascii="Times New Roman" w:cs="Times New Roman" w:eastAsia="Times New Roman" w:hAnsi="Times New Roman"/>
          <w:sz w:val="22"/>
          <w:szCs w:val="22"/>
          <w:color w:val="auto"/>
        </w:rPr>
        <w:t>”) without the prior written consent of Landlord (any such consent is referred to as an “</w:t>
      </w:r>
      <w:r>
        <w:rPr>
          <w:rFonts w:ascii="Times New Roman" w:cs="Times New Roman" w:eastAsia="Times New Roman" w:hAnsi="Times New Roman"/>
          <w:sz w:val="22"/>
          <w:szCs w:val="22"/>
          <w:b w:val="1"/>
          <w:bCs w:val="1"/>
          <w:u w:val="single" w:color="auto"/>
          <w:color w:val="auto"/>
        </w:rPr>
        <w:t>Alterations Consent</w:t>
      </w:r>
      <w:r>
        <w:rPr>
          <w:rFonts w:ascii="Times New Roman" w:cs="Times New Roman" w:eastAsia="Times New Roman" w:hAnsi="Times New Roman"/>
          <w:sz w:val="22"/>
          <w:szCs w:val="22"/>
          <w:color w:val="auto"/>
        </w:rPr>
        <w:t>”), which consent Landlord shall not unreasonably withhold, condition or delay; provided, that Tenant may install unattached, movable trade fixtures, which may be installed without drilling, cutting or otherwise defacing the Premises, without Landlord’s consent. Tenant shall furnish complete plans and specifications to Landlord for its approval at the time Tenant requests Landlord’s consent to any Alterations if the desired Alterations: (i) are reasonably likely to affect the Building’s Systems or Building’s Structure; (ii) will require the filing of plans and specifications with any governmental or quasi-governmental agency or authority; (iii) are estimated to cost in excess of Fifty Thousand Dollars ($50,000); or (iv) will require a building permit or similar governmental approval to undertake. Subsequent to obtaining Landlord’s consent and prior to commencement of the Alterations, Tenant shall deliver to Landlord any building permit required by applicable Law and a copy of the executed construction contract(s). Tenant shall reimburse Landlord within thirty (30) days after the rendition of a bill for all of Landlord’s reasonable and documented actual out-of-pocket costs incurred in connection with any Alterations, including all management, engineering, outside consulting, and construction fees incurred by or on behalf of Landlord for the review and approval of Tenant’s plans and specifications and for the monitoring of construction of the Alterations. If Landlord consents to the making of any Alteration, such Alteration shall be made by Tenant at Tenant’s sole cost and expense by a contractor approved in writing by Landlord and Landlord shall not unreasonably withhold, condition or delay such approval. Tenant shall require its contractor to maintain insurance in such amounts and in such form as Landlord may reasonably require. Without Landlord’s prior written consent, which consent Landlord shall not unreasonably withhold, condition or delay, Tenant shall not use</w:t>
      </w:r>
    </w:p>
    <w:p>
      <w:pPr>
        <w:sectPr>
          <w:pgSz w:w="11900" w:h="16838" w:orient="portrait"/>
          <w:cols w:equalWidth="0" w:num="1">
            <w:col w:w="11420"/>
          </w:cols>
          <w:pgMar w:left="240" w:top="625" w:right="239" w:bottom="1440" w:gutter="0" w:footer="0" w:header="0"/>
        </w:sectPr>
      </w:pPr>
    </w:p>
    <w:bookmarkStart w:id="49" w:name="page50"/>
    <w:bookmarkEnd w:id="49"/>
    <w:p>
      <w:pPr>
        <w:jc w:val="both"/>
        <w:spacing w:after="0" w:line="244" w:lineRule="auto"/>
        <w:rPr>
          <w:sz w:val="20"/>
          <w:szCs w:val="20"/>
          <w:color w:val="auto"/>
        </w:rPr>
      </w:pPr>
      <w:r>
        <w:rPr>
          <w:rFonts w:ascii="Times New Roman" w:cs="Times New Roman" w:eastAsia="Times New Roman" w:hAnsi="Times New Roman"/>
          <w:sz w:val="22"/>
          <w:szCs w:val="22"/>
          <w:color w:val="auto"/>
        </w:rPr>
        <w:t>any portion of the Common Areas either within or without the Building or Complex, as applicable, in connection with the making of any Alterations. If the Alterations which Tenant proposes to construct are reasonably likely to result in Landlord being required to make any alterations and/or improvements to other portions of the Building or Complex, as applicable, in order to comply with any applicable Laws (a “</w:t>
      </w:r>
      <w:r>
        <w:rPr>
          <w:rFonts w:ascii="Times New Roman" w:cs="Times New Roman" w:eastAsia="Times New Roman" w:hAnsi="Times New Roman"/>
          <w:sz w:val="22"/>
          <w:szCs w:val="22"/>
          <w:b w:val="1"/>
          <w:bCs w:val="1"/>
          <w:u w:val="single" w:color="auto"/>
          <w:color w:val="auto"/>
        </w:rPr>
        <w:t>Parallel Alteration</w:t>
      </w:r>
      <w:r>
        <w:rPr>
          <w:rFonts w:ascii="Times New Roman" w:cs="Times New Roman" w:eastAsia="Times New Roman" w:hAnsi="Times New Roman"/>
          <w:sz w:val="22"/>
          <w:szCs w:val="22"/>
          <w:color w:val="auto"/>
        </w:rPr>
        <w:t>”), then Landlord shall give Tenant notice of such Parallel Alteration in Landlord’s corresponding Alterations Consent. If (i) Landlord gives notice of a Parallel Alteration in its corresponding Alterations Consent, and (ii) Tenant performs the corresponding proposed Alteration thereby causing Landlord to perform the Parallel Alteration, then Tenant shall reimburse Landlord, within thirty (30) days after demand therefor, for all reasonable and documented costs and expenses incurred by Landlord in making such Parallel Alterations. Any Alterations made by Tenant shall become the property of Landlord upon installation and shall remain on and be surrendered with the Premises upon the expiration or sooner termination of this Lease, provided that if Landlord notifies Tenant in its corresponding Alterations Consent that Tenant must remove such Alterations after the Expiration Date, then Tenant shall, at its sole cost and expense, forthwith and with all due diligence (but in any event not later than ten (10) Business Days after the Expiration Date) remove such Alterations made by Tenant and repair and restore the Premises in a good and workmanlike manner to the condition existing immediately before the construction of the subject Alterations, reasonable wear and tear excepted. All construction work done by Tenant within the Premises shall be performed in a good and workmanlike manner with materials of first-class quality, lien-free and in compliance with all Laws, and in such manner as to cause a minimum of interference with other construction in progress and with the transaction of business in the Building or Complex, as applicable. Tenant agrees to indemnify, defend and hold Landlord harmless against any personal injury (including death) and, subject to the waiver of subrogation, against any loss, liability or damage to property resulting from such work. The foregoing indemnity shall survive the expiration or earlier termination of this Lease.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All voice, data, video, audio and other low voltage control transport system cabling and/or cable bundles installed in the Building by Tenant or its contractor shall be (A) plenum rated and/or have a composition makeup suited for its environmental use in accordance with NFPA 70/National Electrical Code; (B) installed in accordance with all EIA/TIA standards and the National Electric Code; and (C) installed and routed in accordance with a routing plan showing “as built” or “as installed” configurations of cable pathways, outlet identification numbers, locations of all wall, ceiling and floor penetrations, riser cable routing and conduit routing (if applicable), and such other information as Landlord may reasonably request.</w:t>
      </w:r>
    </w:p>
    <w:p>
      <w:pPr>
        <w:spacing w:after="0" w:line="195" w:lineRule="exact"/>
        <w:rPr>
          <w:sz w:val="20"/>
          <w:szCs w:val="20"/>
          <w:color w:val="auto"/>
        </w:rPr>
      </w:pPr>
    </w:p>
    <w:p>
      <w:pPr>
        <w:ind w:left="1740" w:hanging="435"/>
        <w:spacing w:after="0"/>
        <w:tabs>
          <w:tab w:leader="none" w:pos="17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Repairs; Maintenance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710"/>
        <w:spacing w:after="0" w:line="258" w:lineRule="auto"/>
        <w:tabs>
          <w:tab w:leader="none" w:pos="239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By Landlord</w:t>
      </w:r>
      <w:r>
        <w:rPr>
          <w:rFonts w:ascii="Times New Roman" w:cs="Times New Roman" w:eastAsia="Times New Roman" w:hAnsi="Times New Roman"/>
          <w:sz w:val="22"/>
          <w:szCs w:val="22"/>
          <w:color w:val="auto"/>
        </w:rPr>
        <w:t>. Landlord shall, at no expense to Tenant, keep and maintain in good repair and working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order and make repairs to and perform maintenance upon: (1) structural elements of the Building, including, but not limited, the Building’s Structure, and of any other buildings in the Complex, as applicable, including the foundation; (2) the roof of the Building and of any other buildings in the Complex, as applicable; (3) exterior windows of the Building and</w:t>
      </w:r>
    </w:p>
    <w:p>
      <w:pPr>
        <w:sectPr>
          <w:pgSz w:w="11900" w:h="16838" w:orient="portrait"/>
          <w:cols w:equalWidth="0" w:num="1">
            <w:col w:w="11420"/>
          </w:cols>
          <w:pgMar w:left="240" w:top="625" w:right="239" w:bottom="1440" w:gutter="0" w:footer="0" w:header="0"/>
        </w:sectPr>
      </w:pPr>
    </w:p>
    <w:bookmarkStart w:id="50" w:name="page51"/>
    <w:bookmarkEnd w:id="50"/>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of any other buildings in the Complex, as applicable; and (4) exterior walls (excluding plate glass and doors). Landlord shall, subject to reimbursement as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keep and maintain in good repair and working order and make repairs to and perform maintenance upon: (1) standard mechanical (excluding HVAC, except as required pursuant to the terms of </w:t>
      </w:r>
      <w:r>
        <w:rPr>
          <w:rFonts w:ascii="Times New Roman" w:cs="Times New Roman" w:eastAsia="Times New Roman" w:hAnsi="Times New Roman"/>
          <w:sz w:val="22"/>
          <w:szCs w:val="22"/>
          <w:u w:val="single" w:color="auto"/>
          <w:color w:val="auto"/>
        </w:rPr>
        <w:t>Section 7(b)(ii)</w:t>
      </w:r>
      <w:r>
        <w:rPr>
          <w:rFonts w:ascii="Times New Roman" w:cs="Times New Roman" w:eastAsia="Times New Roman" w:hAnsi="Times New Roman"/>
          <w:sz w:val="22"/>
          <w:szCs w:val="22"/>
          <w:color w:val="auto"/>
        </w:rPr>
        <w:t xml:space="preserve"> below), electrical, plumbing and fire/life safety systems serving the Building and of any other buildings in the Complex, as applicable; (2) Common Areas (including, without limitation, landscaping and cleaning); and (3) elevators serving the Building. Landlord shall not be liable for any failure to make any such repairs or to perform any maintenance unless such failure shall persist for an unreasonable time after written notice of the need of such repairs or maintenance is given to Landlord by Tenant. If any of the foregoing maintenance or repair is necessitated due to the acts or omissions of any Tenant Party, Tenant shall pay the reasonable and documented costs of such repairs or maintenance to Landlord within thirty (30) days after receipt of an invoice. Landlord shall not be liable to Tenant for any interruption of Tenant’s business or inconvenience caused due to any work performed in the Premises or in the Complex pursuant to Landlord’s rights and obligations under the Lease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provided, however, Landlord shall use commercially reasonable efforts to not disturb the normal conduct of Tenant’s business while performing such repairs and maintenance.</w:t>
      </w:r>
    </w:p>
    <w:p>
      <w:pPr>
        <w:spacing w:after="0" w:line="191" w:lineRule="exact"/>
        <w:rPr>
          <w:sz w:val="20"/>
          <w:szCs w:val="20"/>
          <w:color w:val="auto"/>
        </w:rPr>
      </w:pPr>
    </w:p>
    <w:p>
      <w:pPr>
        <w:jc w:val="both"/>
        <w:ind w:firstLine="1953"/>
        <w:spacing w:after="0" w:line="245" w:lineRule="auto"/>
        <w:tabs>
          <w:tab w:leader="none" w:pos="238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By Tenant</w:t>
      </w:r>
      <w:r>
        <w:rPr>
          <w:rFonts w:ascii="Times New Roman" w:cs="Times New Roman" w:eastAsia="Times New Roman" w:hAnsi="Times New Roman"/>
          <w:sz w:val="22"/>
          <w:szCs w:val="22"/>
          <w:color w:val="auto"/>
        </w:rPr>
        <w:t>. (A) Tenant shall, at its sole cost and expense, promptly perform all maintenance and repairs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Premises that are not Landlord’s express responsibility under this Lease, and shall keep the Premises in good condition and repair, ordinary wear and tear excepted. Tenant’s repair obligations include, without limitation, repairs to: (1) floor covering and/or raised flooring; (2) interior partitions; (3) interior doors; (4) the interior side of demising walls; (5) electronic, phone and data cabling and related equipment (collectively, “</w:t>
      </w:r>
      <w:r>
        <w:rPr>
          <w:rFonts w:ascii="Times New Roman" w:cs="Times New Roman" w:eastAsia="Times New Roman" w:hAnsi="Times New Roman"/>
          <w:sz w:val="22"/>
          <w:szCs w:val="22"/>
          <w:b w:val="1"/>
          <w:bCs w:val="1"/>
          <w:u w:val="single" w:color="auto"/>
          <w:color w:val="auto"/>
        </w:rPr>
        <w:t>Cable</w:t>
      </w:r>
      <w:r>
        <w:rPr>
          <w:rFonts w:ascii="Times New Roman" w:cs="Times New Roman" w:eastAsia="Times New Roman" w:hAnsi="Times New Roman"/>
          <w:sz w:val="22"/>
          <w:szCs w:val="22"/>
          <w:color w:val="auto"/>
        </w:rPr>
        <w:t xml:space="preserve">”) that is installed by or for the exclusive benefit of Tenant and located in the Premises or other portions of the Building or Project; (6) supplemental air conditioning units that exclusively serve the Premises, private showers and kitchens, including water heaters, plumbing, dishwashers, ice machines and similar facilities serving Tenant exclusively; (7) phone rooms used exclusively by Tenant; (8) all utilities within the Premises; (9) Tenant’s wiring; (10) interior glass; (11) all bulb and ballast replacement and repairs; (12) Alterations performed by contractors retained by or on behalf of Tenant; and (13) all of Tenant’s furnishings, trade fixtures, equipment and inventory. Landlord reserves the right to perform any of the foregoing maintenance or repair obligations or require that such obligations be performed by a contractor reasonably approved by Landlord, all at Tenant’s expense. All work shall be performed in accordance with the rules and procedures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7(a)</w:t>
      </w:r>
      <w:r>
        <w:rPr>
          <w:rFonts w:ascii="Times New Roman" w:cs="Times New Roman" w:eastAsia="Times New Roman" w:hAnsi="Times New Roman"/>
          <w:sz w:val="22"/>
          <w:szCs w:val="22"/>
          <w:color w:val="auto"/>
        </w:rPr>
        <w:t>. If Tenant fails to make any repairs to the Premises for more than fifteen (15) Business Days after written notice from Landlord (although notice shall not be required if there is an emergency, or if the area to be repaired is visible from the exterior of the Building), Landlord may, in addition to any other remedy available to Landlord, make the repairs, and Tenant shall pay the reasonable and documented cost of the repairs to Landlord within thirty (30) days after receipt of an invoice. At the Expiration Date, Tenant shall surrender the Premises in good condition, excepting reasonable wear and tear and losses required to be restored by Landlord. All personal property of Tenant, including goods, wares, merchandise, inventory, trade fixtures and other personal property of Tenant, shall be stored at the sole risk of Tenant. Landlord or its agents shall not be liable for any loss or damage to persons or personal or other property resulting from fire, explosion, falling plaster, steam, gas, electricity, water or rain which may leak from any part of the Complex or from the pipes, appliances or plumbing works therein or from the roof, street or subsurface or from any other places resulting from dampness</w:t>
      </w:r>
    </w:p>
    <w:p>
      <w:pPr>
        <w:sectPr>
          <w:pgSz w:w="11900" w:h="16838" w:orient="portrait"/>
          <w:cols w:equalWidth="0" w:num="1">
            <w:col w:w="11420"/>
          </w:cols>
          <w:pgMar w:left="240" w:top="625" w:right="239" w:bottom="1440" w:gutter="0" w:footer="0" w:header="0"/>
        </w:sectPr>
      </w:pPr>
    </w:p>
    <w:bookmarkStart w:id="51" w:name="page52"/>
    <w:bookmarkEnd w:id="51"/>
    <w:p>
      <w:pPr>
        <w:jc w:val="both"/>
        <w:spacing w:after="0" w:line="295" w:lineRule="auto"/>
        <w:rPr>
          <w:sz w:val="20"/>
          <w:szCs w:val="20"/>
          <w:color w:val="auto"/>
        </w:rPr>
      </w:pPr>
      <w:r>
        <w:rPr>
          <w:rFonts w:ascii="Times New Roman" w:cs="Times New Roman" w:eastAsia="Times New Roman" w:hAnsi="Times New Roman"/>
          <w:sz w:val="21"/>
          <w:szCs w:val="21"/>
          <w:color w:val="auto"/>
        </w:rPr>
        <w:t>or any other cause whatsoever, unless caused by the gross negligence or willful misconduct of Landlord, its employees, agents or contractors, or from the act or negligence of any other tenant or any officer, agent, employee, contractor or guest of any such tenant.</w:t>
      </w:r>
    </w:p>
    <w:p>
      <w:pPr>
        <w:spacing w:after="0" w:line="136" w:lineRule="exact"/>
        <w:rPr>
          <w:sz w:val="20"/>
          <w:szCs w:val="20"/>
          <w:color w:val="auto"/>
        </w:rPr>
      </w:pPr>
    </w:p>
    <w:p>
      <w:pPr>
        <w:jc w:val="both"/>
        <w:ind w:firstLine="656"/>
        <w:spacing w:after="0" w:line="244" w:lineRule="auto"/>
        <w:tabs>
          <w:tab w:leader="none" w:pos="102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foregoing, Tenant at its sole cost and expense shall maintain in a good state of repair to include replacement, all portions of the heating, ventilating, and air conditioning equipment located in the Premises and exclusively serving the Premises (“</w:t>
      </w:r>
      <w:r>
        <w:rPr>
          <w:rFonts w:ascii="Times New Roman" w:cs="Times New Roman" w:eastAsia="Times New Roman" w:hAnsi="Times New Roman"/>
          <w:sz w:val="22"/>
          <w:szCs w:val="22"/>
          <w:b w:val="1"/>
          <w:bCs w:val="1"/>
          <w:u w:val="single" w:color="auto"/>
          <w:color w:val="auto"/>
        </w:rPr>
        <w:t>HVAC</w:t>
      </w:r>
      <w:r>
        <w:rPr>
          <w:rFonts w:ascii="Times New Roman" w:cs="Times New Roman" w:eastAsia="Times New Roman" w:hAnsi="Times New Roman"/>
          <w:sz w:val="22"/>
          <w:szCs w:val="22"/>
          <w:color w:val="auto"/>
        </w:rPr>
        <w:t>”). Landlord shall deliver the HVAC to Tenant in good working order, shall transfer any warranties, if any, on the HVAC to Tenant if they are transferable and/or Tenant shall have benefit of such warranties. In furtherance of the foregoing, Tenant shall, at its expense, provide preventive and routine maintenance and repair (except that covered under warranty) to the HVAC, including, without limitation, periodic filter change and routine service and adjustments at least four (4) times annually, by entering into a preventive maintenance agreement with a service firm authorized by Landlord to provide said maintenance and repair during the Term, which maintenance agreement (i) shall satisfy the requirements for routine and periodic maintenance, if any, necessary to keep all applicable manufacturer’s warranties in full force and effect; (ii) shall require such service firm to dispose of and/or recycle materials in the HVAC system in accordance with all applicable Laws; and (iii) shall provide that in the event this Lease expires or is earlier terminated for any reason whatsoever that said agreement shall be immediately terminable by Landlord or Tenant without any cost, expense of other liability on the part of Landlord. A copy of said agreement or contract shall be supplied to Landlord within thirty (30) days after the Commencement Date and the HVAC shall be subject to audit or inspection at all times to determine Tenant’s compliance with this Section 8(b)(ii)(B). Tenant shall be responsible for all parts, service and maintenance of the HVAC systems as set forth above; provided, however, that if (i) any HVAC unit serving the Premises requires repairs or replacement during the Term, and (ii) Tenant has properly maintained such HVAC unit or HVAC systems during the Term pursuant to an HVAC maintenance contract as required by this Section 8(b)(ii)(B), then Landlord shall be responsible for all repair and replacement costs in excess of the lesser of (x) $1,000.00 per unit in any calendar year, or (y) $5,000 per calendar year for all units.</w:t>
      </w:r>
    </w:p>
    <w:p>
      <w:pPr>
        <w:spacing w:after="0" w:line="241" w:lineRule="exact"/>
        <w:rPr>
          <w:rFonts w:ascii="Times New Roman" w:cs="Times New Roman" w:eastAsia="Times New Roman" w:hAnsi="Times New Roman"/>
          <w:sz w:val="22"/>
          <w:szCs w:val="22"/>
          <w:color w:val="auto"/>
        </w:rPr>
      </w:pPr>
    </w:p>
    <w:p>
      <w:pPr>
        <w:jc w:val="both"/>
        <w:ind w:firstLine="1953"/>
        <w:spacing w:after="0" w:line="247" w:lineRule="auto"/>
        <w:tabs>
          <w:tab w:leader="none" w:pos="251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of Work</w:t>
      </w:r>
      <w:r>
        <w:rPr>
          <w:rFonts w:ascii="Times New Roman" w:cs="Times New Roman" w:eastAsia="Times New Roman" w:hAnsi="Times New Roman"/>
          <w:sz w:val="22"/>
          <w:szCs w:val="22"/>
          <w:color w:val="auto"/>
        </w:rPr>
        <w:t>. All work described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performed only by contractors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subcontractors approved in writing by Landlord, which approval Landlord shall not unreasonably withhold, condition or delay. Tenant shall cause all contractors and subcontractors to procure and maintain insurance coverage against such risks, in such amounts, and with such companies as Landlord may reasonably require, but in no event less than: (i) Commercial General Liability insurance on an occurrence basis in amounts not less than $1,000,000 naming Landlord as an additional insured; and (ii) workers’ compensation insurance in amounts required by statute. Tenant shall provide Landlord with insurance certificates for such contractors and subcontractors prior to commencement of any work. Tenant shall provide Landlord with the identities, mailing addresses and telephone numbers of all contractors or subcontractors performing work or supplying materials prior to beginning such construction and Landlord may post on and about the Premises notices of non-responsibility pursuant to applicable Laws. All such work shall be performed in accordance with all Laws and in a good and workmanlike manner so as not to damage the Building (including the Premises, the Building’s Structure and the Building’s Systems). All such work which may affect the Building’s Structure or the Building’s Systems, at Landlord’s election, must be performed by Landlord’s usual contractor for such work or a contractor</w:t>
      </w:r>
    </w:p>
    <w:p>
      <w:pPr>
        <w:sectPr>
          <w:pgSz w:w="11900" w:h="16838" w:orient="portrait"/>
          <w:cols w:equalWidth="0" w:num="1">
            <w:col w:w="11420"/>
          </w:cols>
          <w:pgMar w:left="240" w:top="625" w:right="239" w:bottom="1440" w:gutter="0" w:footer="0" w:header="0"/>
        </w:sectPr>
      </w:pPr>
    </w:p>
    <w:bookmarkStart w:id="52" w:name="page53"/>
    <w:bookmarkEnd w:id="52"/>
    <w:p>
      <w:pPr>
        <w:jc w:val="both"/>
        <w:spacing w:after="0" w:line="252" w:lineRule="auto"/>
        <w:rPr>
          <w:sz w:val="20"/>
          <w:szCs w:val="20"/>
          <w:color w:val="auto"/>
        </w:rPr>
      </w:pPr>
      <w:r>
        <w:rPr>
          <w:rFonts w:ascii="Times New Roman" w:cs="Times New Roman" w:eastAsia="Times New Roman" w:hAnsi="Times New Roman"/>
          <w:sz w:val="22"/>
          <w:szCs w:val="22"/>
          <w:color w:val="auto"/>
        </w:rPr>
        <w:t>approved by Landlord, which approval Landlord shall not unreasonably withhold, condition or delay. All work affecting the roof of the Building must be performed by Landlord’s roofing contractor or a contractor approved by Landlord, which approval Landlord shall not unreasonably withhold, condition or delay and no such work will be permitted if it would void or reduce the warranty on the roof.</w:t>
      </w:r>
    </w:p>
    <w:p>
      <w:pPr>
        <w:spacing w:after="0" w:line="176" w:lineRule="exact"/>
        <w:rPr>
          <w:sz w:val="20"/>
          <w:szCs w:val="20"/>
          <w:color w:val="auto"/>
        </w:rPr>
      </w:pPr>
    </w:p>
    <w:p>
      <w:pPr>
        <w:jc w:val="both"/>
        <w:ind w:firstLine="1305"/>
        <w:spacing w:after="0" w:line="245" w:lineRule="auto"/>
        <w:tabs>
          <w:tab w:leader="none" w:pos="177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Mechanic’s Liens</w:t>
      </w:r>
      <w:r>
        <w:rPr>
          <w:rFonts w:ascii="Times New Roman" w:cs="Times New Roman" w:eastAsia="Times New Roman" w:hAnsi="Times New Roman"/>
          <w:sz w:val="22"/>
          <w:szCs w:val="22"/>
          <w:color w:val="auto"/>
        </w:rPr>
        <w:t>. All work performed, materials furnished, or obligations incurred by or at the request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Party shall be deemed authorized and ordered by Tenant only, and Tenant shall not permit any mechanic’s liens to be filed against the Premises or the Project in connection therewith. Upon completion of any such work, Tenant shall deliver to Landlord final lien waivers from all contractors, subcontractors and materialmen who performed such work. If such a lien is filed, then Tenant shall, within ten (10) days after Landlord has delivered notice of the filing thereof to Tenant (or such earlier time period as may be necessary to prevent the forfeiture of the Premises, Project or any interest of Landlord therein or the imposition of a civil or criminal fine with respect thereto), either: (1) pay the amount of the lien and cause the lien to be released of record; or (2) diligently contest such lien and deliver to Landlord a bond or other security reasonably satisfactory to Landlord. If Tenant fails to timely take either such action, then Landlord may pay the lien claim, and any documented amounts so paid, including expenses and interest, shall be paid by Tenant to Landlord within ten (10)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at any time from the date hereof until the end of the Term, are hereby charged with notice that they look exclusively to Tenant to obtain payment for same. Nothing herein shall be deemed a consent by Landlord to any liens being placed upon the Premises, Project or Landlord’s interest therein due to any work performed by or for Tenant or deemed to give any contractor or subcontractor or materialman any right or interest in any funds held by Landlord to reimburse Tenant for any portion of the cost of such work. Tenant shall indemnify, defend and hold harmless Landlord, its property manager, any subsidiary or Affiliate of the foregoing, and their respective officers, directors, shareholders, partners, employees, managers, contractors, attorneys and agents (collectively, the “</w:t>
      </w:r>
      <w:r>
        <w:rPr>
          <w:rFonts w:ascii="Times New Roman" w:cs="Times New Roman" w:eastAsia="Times New Roman" w:hAnsi="Times New Roman"/>
          <w:sz w:val="22"/>
          <w:szCs w:val="22"/>
          <w:b w:val="1"/>
          <w:bCs w:val="1"/>
          <w:u w:val="single" w:color="auto"/>
          <w:color w:val="auto"/>
        </w:rPr>
        <w:t>Indemnitees</w:t>
      </w:r>
      <w:r>
        <w:rPr>
          <w:rFonts w:ascii="Times New Roman" w:cs="Times New Roman" w:eastAsia="Times New Roman" w:hAnsi="Times New Roman"/>
          <w:sz w:val="22"/>
          <w:szCs w:val="22"/>
          <w:color w:val="auto"/>
        </w:rPr>
        <w:t>”) from and against all claims, demands, causes of action, suits, judgments, damages and expenses (including reasonable attorneys’ fees) in any way arising from or relating to the failure by any Tenant Party to pay for any work performed, materials furnished, or obligations incurred by or at the request of a Tenant Party. The foregoing indemnity shall survive termination or expiration of this Lease.</w:t>
      </w:r>
    </w:p>
    <w:p>
      <w:pPr>
        <w:spacing w:after="0" w:line="190" w:lineRule="exact"/>
        <w:rPr>
          <w:rFonts w:ascii="Times New Roman" w:cs="Times New Roman" w:eastAsia="Times New Roman" w:hAnsi="Times New Roman"/>
          <w:sz w:val="22"/>
          <w:szCs w:val="22"/>
          <w:color w:val="auto"/>
        </w:rPr>
      </w:pPr>
    </w:p>
    <w:p>
      <w:pPr>
        <w:jc w:val="both"/>
        <w:ind w:firstLine="1305"/>
        <w:spacing w:after="0" w:line="252" w:lineRule="auto"/>
        <w:tabs>
          <w:tab w:leader="none" w:pos="181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Signs</w:t>
      </w:r>
      <w:r>
        <w:rPr>
          <w:rFonts w:ascii="Times New Roman" w:cs="Times New Roman" w:eastAsia="Times New Roman" w:hAnsi="Times New Roman"/>
          <w:sz w:val="22"/>
          <w:szCs w:val="22"/>
          <w:color w:val="auto"/>
        </w:rPr>
        <w:t>. Tenant shall not place or permit to be placed any signs upon: (i) the roof of the Building; or (ii)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Areas; or (iii) any area visible from the exterior of the Premises without Landlord’s prior written approval, which approval shall be granted or withheld by Landlord in its sole discretion. No later than five (5) Business Days following a written request from Landlord, Tenant shall remove any sign, advertising material or lettering which Tenant has placed or permitted to be placed upon the exterior or interior surface of any door or window or at any point inside the Premises without Landlord’s approval, and which in Landlord’s reasonable</w:t>
      </w:r>
    </w:p>
    <w:p>
      <w:pPr>
        <w:sectPr>
          <w:pgSz w:w="11900" w:h="16838" w:orient="portrait"/>
          <w:cols w:equalWidth="0" w:num="1">
            <w:col w:w="11420"/>
          </w:cols>
          <w:pgMar w:left="240" w:top="625" w:right="239" w:bottom="1440" w:gutter="0" w:footer="0" w:header="0"/>
        </w:sectPr>
      </w:pPr>
    </w:p>
    <w:bookmarkStart w:id="53" w:name="page54"/>
    <w:bookmarkEnd w:id="53"/>
    <w:p>
      <w:pPr>
        <w:jc w:val="both"/>
        <w:spacing w:after="0" w:line="249" w:lineRule="auto"/>
        <w:rPr>
          <w:sz w:val="20"/>
          <w:szCs w:val="20"/>
          <w:color w:val="auto"/>
        </w:rPr>
      </w:pPr>
      <w:r>
        <w:rPr>
          <w:rFonts w:ascii="Times New Roman" w:cs="Times New Roman" w:eastAsia="Times New Roman" w:hAnsi="Times New Roman"/>
          <w:sz w:val="22"/>
          <w:szCs w:val="22"/>
          <w:color w:val="auto"/>
        </w:rPr>
        <w:t>opinion is of such a nature as to not be in keeping with the standards of the Building, and if Tenant fails to do so, Landlord may without liability remove the same at Tenant’s expense. Tenant shall comply with such regulations as may from time to time be reasonably promulgated by Landlord governing signs, advertising material or lettering of all tenants in the Project or Complex, as applicable. Tenant, upon vacation of the Premises, or the removal or alteration of its sign for any reason, shall be responsible for the repair, painting or replacement of the Building fascia surface or other portion of the Building where signs are attached, as reasonably practicable to restore such surface to the condition existing immediately before the installation of such sign.</w:t>
      </w:r>
    </w:p>
    <w:p>
      <w:pPr>
        <w:spacing w:after="0" w:line="177" w:lineRule="exact"/>
        <w:rPr>
          <w:sz w:val="20"/>
          <w:szCs w:val="20"/>
          <w:color w:val="auto"/>
        </w:rPr>
      </w:pPr>
    </w:p>
    <w:p>
      <w:pPr>
        <w:jc w:val="both"/>
        <w:ind w:firstLine="1305"/>
        <w:spacing w:after="0" w:line="257" w:lineRule="auto"/>
        <w:tabs>
          <w:tab w:leader="none" w:pos="1905"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Security System</w:t>
      </w:r>
      <w:r>
        <w:rPr>
          <w:rFonts w:ascii="Times New Roman" w:cs="Times New Roman" w:eastAsia="Times New Roman" w:hAnsi="Times New Roman"/>
          <w:sz w:val="21"/>
          <w:szCs w:val="21"/>
          <w:color w:val="auto"/>
        </w:rPr>
        <w:t>. Upon obtaining the prior written approval of Landlord, which approval shall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unreasonably withheld, conditioned or delayed, Tenant may install its own card reader security system in the Premises, limiting access to the Premises (the “</w:t>
      </w:r>
      <w:r>
        <w:rPr>
          <w:rFonts w:ascii="Times New Roman" w:cs="Times New Roman" w:eastAsia="Times New Roman" w:hAnsi="Times New Roman"/>
          <w:sz w:val="21"/>
          <w:szCs w:val="21"/>
          <w:b w:val="1"/>
          <w:bCs w:val="1"/>
          <w:u w:val="single" w:color="auto"/>
          <w:color w:val="auto"/>
        </w:rPr>
        <w:t>Security System</w:t>
      </w:r>
      <w:r>
        <w:rPr>
          <w:rFonts w:ascii="Times New Roman" w:cs="Times New Roman" w:eastAsia="Times New Roman" w:hAnsi="Times New Roman"/>
          <w:sz w:val="21"/>
          <w:szCs w:val="21"/>
          <w:color w:val="auto"/>
        </w:rPr>
        <w:t>”). Upon the Expiration Date, Tenant shall, at Tenant’s expense, remove the Security System and repair any damage to the Premises caused thereby. Tenant’s rights to install the Security System are subject to the following terms and conditions: (i) Tenant shall be solely responsible for all costs associated with the installation, use and maintenance of the Security System; (ii) the Security System shall be installed entirely within the Premises with the exception of such portions that must be installed on the exterior of, or next to, the doors and/or windows of the Premises; shall be compatible with Landlord’s existing security system in the Building; and shall not adversely affect the electrical or any other system of the Building; (iii) Tenant shall provide Landlord with the means of accessing the Premises via the Security System, as permitted by the terms of this Lease; (iv) Tenant shall reimburse Landlord within five (5) Business Days after Landlord’s request for any fee assessed to Landlord as a result of emergency response to the Premises resulting from any unauthorized access to or attempted access of the Premises (unless such unauthorized access or attempted access was by Landlord or an employee, agent or contractor of Landlord); and (v) upon the expiration or earlier termination of the Lease, Tenant shall repair any damage caused to the Premises or to any portion of the Building resulting from the installation and/or removal of the Security System. The terms of this subsection</w:t>
      </w:r>
    </w:p>
    <w:p>
      <w:pPr>
        <w:spacing w:after="0" w:line="13"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survive the expiration or earlier termination of this Lease.</w:t>
      </w:r>
    </w:p>
    <w:p>
      <w:pPr>
        <w:spacing w:after="0" w:line="191" w:lineRule="exact"/>
        <w:rPr>
          <w:rFonts w:ascii="Times New Roman" w:cs="Times New Roman" w:eastAsia="Times New Roman" w:hAnsi="Times New Roman"/>
          <w:sz w:val="22"/>
          <w:szCs w:val="22"/>
          <w:color w:val="auto"/>
        </w:rPr>
      </w:pPr>
    </w:p>
    <w:p>
      <w:pPr>
        <w:jc w:val="both"/>
        <w:ind w:firstLine="656"/>
        <w:spacing w:after="0" w:line="246" w:lineRule="auto"/>
        <w:tabs>
          <w:tab w:leader="none" w:pos="145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Use</w:t>
      </w:r>
      <w:r>
        <w:rPr>
          <w:rFonts w:ascii="Times New Roman" w:cs="Times New Roman" w:eastAsia="Times New Roman" w:hAnsi="Times New Roman"/>
          <w:sz w:val="22"/>
          <w:szCs w:val="22"/>
          <w:color w:val="auto"/>
        </w:rPr>
        <w:t>. Tenant shall continuously occupy and use the Premises only for the Permitted Use (as set forth in the Basic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Information) and shall comply with all applicable Laws relating to the use, condition, access to, and occupancy of the Premises and will not commit waste, overload the Building’s Structure or the Building’s Systems or subject the Premises to any use that would damage the Premises. Tenant, at its sole cost and expense, shall obtain and keep in effect during the term, all permits, licenses, and other authorizations necessary to permit Tenant to use and occupy the Premises for the Permitted Use in accordance with applicable Law. The population density within the Premises as a whole shall at no time exceed the limitations of the certificate of occupancy, or as imposed by the local fire department or applicable Law. Notwithstanding anything in this Lease to the contrary, as between Landlord and Tenant: (a) Tenant shall bear the risk of complying with Title III of the Americans With Disabilities Act of 1990, any state laws governing handicapped access or architectural barriers, and all rules, regulations, and guidelines promulgated under such laws, as amended from time to time (the “</w:t>
      </w:r>
      <w:r>
        <w:rPr>
          <w:rFonts w:ascii="Times New Roman" w:cs="Times New Roman" w:eastAsia="Times New Roman" w:hAnsi="Times New Roman"/>
          <w:sz w:val="22"/>
          <w:szCs w:val="22"/>
          <w:b w:val="1"/>
          <w:bCs w:val="1"/>
          <w:u w:val="single" w:color="auto"/>
          <w:color w:val="auto"/>
        </w:rPr>
        <w:t>Disabilities Acts</w:t>
      </w:r>
      <w:r>
        <w:rPr>
          <w:rFonts w:ascii="Times New Roman" w:cs="Times New Roman" w:eastAsia="Times New Roman" w:hAnsi="Times New Roman"/>
          <w:sz w:val="22"/>
          <w:szCs w:val="22"/>
          <w:color w:val="auto"/>
        </w:rPr>
        <w:t>”) if and to the extent such compliance arises as a result of any Alterations Tenant performs in the Premises, as the result of Tenant’s specific (as opposed to general office) use of the Premises, as the result of the special needs of any employee</w:t>
      </w:r>
    </w:p>
    <w:p>
      <w:pPr>
        <w:sectPr>
          <w:pgSz w:w="11900" w:h="16838" w:orient="portrait"/>
          <w:cols w:equalWidth="0" w:num="1">
            <w:col w:w="11420"/>
          </w:cols>
          <w:pgMar w:left="240" w:top="625"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1"/>
          <w:szCs w:val="21"/>
          <w:color w:val="auto"/>
        </w:rPr>
        <w:t>of Tenant that is beyond that generally required by the Disabilities Act, or as the result of an Event of Default by Tenant hereunder;</w:t>
      </w:r>
    </w:p>
    <w:p>
      <w:pPr>
        <w:spacing w:after="0" w:line="39" w:lineRule="exact"/>
        <w:rPr>
          <w:sz w:val="20"/>
          <w:szCs w:val="20"/>
          <w:color w:val="auto"/>
        </w:rPr>
      </w:pPr>
    </w:p>
    <w:p>
      <w:pPr>
        <w:jc w:val="both"/>
        <w:ind w:firstLine="8"/>
        <w:spacing w:after="0" w:line="243" w:lineRule="auto"/>
        <w:tabs>
          <w:tab w:leader="none" w:pos="31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shall bear the risk of complying with the Disabilities Acts in the Premises for any other reasons not articulated in (a) above and in the Common Areas (subject to reimbursement as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other than compliance that is necessitated by Tenant’s use of the Premises for other than the Permitted Use or as a result of any Alterations made by Tenant (which risk and responsibility shall be borne by Tenant). Tenant shall not use any substantial portion of the Premises for a “call center”, any other telemarketing use, or any credit processing use. In addition, the Premises shall not be used for any purpose which creates strong, unusual, or offensive odors, fumes, dust or vapors; which emits noise or sounds that are objectionable due to intermittence, beat, frequency, shrillness, or loudness; which is associated with indecent or pornographic matters; or which involves political campaigning or issues. Tenant shall conduct its business and control each other Tenant Party so as not to create any nuisance or unreasonably interfere with other tenants or Landlord in its management of the Building. Tenant shall not knowingly conduct or permit to be conducted in the Premises any activity, or place any equipment in or about the Premises or the Building, which will invalidate the insurance coverage in effect or increase the rate of fire insurance or other insurance on the Premises or the Building. If any invalidation of coverage or increase in the rate of fire insurance or other insurance occurs or is threatened by any insurance company due to activity conducted from the Premises that is not commensurate with general office use, or any act or omission by Tenant, or its agents, employees, representatives, or contractors, such statement or threat shall be conclusive evidence that the increase in such rate is due to such act of Tenant or the contents or equipment in or about the Premises, and, as a result thereof, Tenant shall cease conducting such activity and shall be liable for such increase and such increase shall be considered Additional Rent payable with the next monthly installment of Base Rent due under this Lease, and Landlord’s acceptance of such amount shall not waive any of Landlord’s other rights. In no event shall Tenant introduce or permit to be kept on the Premises or brought into the Building any dangerous, noxious, radioactive or explosive substance.</w:t>
      </w:r>
    </w:p>
    <w:p>
      <w:pPr>
        <w:spacing w:after="0" w:line="196"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 and Subletting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305"/>
        <w:spacing w:after="0" w:line="254" w:lineRule="auto"/>
        <w:tabs>
          <w:tab w:leader="none" w:pos="173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Transfers</w:t>
      </w:r>
      <w:r>
        <w:rPr>
          <w:rFonts w:ascii="Times New Roman" w:cs="Times New Roman" w:eastAsia="Times New Roman" w:hAnsi="Times New Roman"/>
          <w:sz w:val="22"/>
          <w:szCs w:val="22"/>
          <w:color w:val="auto"/>
        </w:rPr>
        <w:t>. Except as expressly permitted in Section 9(h), Tenant shall not, without the prior written consent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Landlord, which consent will not be unreasonably withheld, conditioned, or delayed assign, transfer, or encumber this Lease or any estate or interest herein; (2) sublet any portion of the Premises; (3) grant any license, concession, or other right of occupancy of any portion of the Premises; or (4) permit the use of the Premises by any parties other than Tenant (any of the events listed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9(a)(1)</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being a “</w:t>
      </w:r>
      <w:r>
        <w:rPr>
          <w:rFonts w:ascii="Times New Roman" w:cs="Times New Roman" w:eastAsia="Times New Roman" w:hAnsi="Times New Roman"/>
          <w:sz w:val="22"/>
          <w:szCs w:val="22"/>
          <w:b w:val="1"/>
          <w:bCs w:val="1"/>
          <w:u w:val="single" w:color="auto"/>
          <w:color w:val="auto"/>
        </w:rPr>
        <w:t>Transfer</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305"/>
        <w:spacing w:after="0" w:line="252" w:lineRule="auto"/>
        <w:tabs>
          <w:tab w:leader="none" w:pos="1945"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Consent Standards</w:t>
      </w:r>
      <w:r>
        <w:rPr>
          <w:rFonts w:ascii="Times New Roman" w:cs="Times New Roman" w:eastAsia="Times New Roman" w:hAnsi="Times New Roman"/>
          <w:sz w:val="22"/>
          <w:szCs w:val="22"/>
          <w:color w:val="auto"/>
        </w:rPr>
        <w:t>. Landlord shall not unreasonably condition, withhold or delay its consent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assignment or subletting of the Premises, provided that no Event of Default exists and the proposed transferee: (1) with respect to a proposed transferee that is not otherwise subject to </w:t>
      </w:r>
      <w:r>
        <w:rPr>
          <w:rFonts w:ascii="Times New Roman" w:cs="Times New Roman" w:eastAsia="Times New Roman" w:hAnsi="Times New Roman"/>
          <w:sz w:val="22"/>
          <w:szCs w:val="22"/>
          <w:u w:val="single" w:color="auto"/>
          <w:color w:val="auto"/>
        </w:rPr>
        <w:t>Section 9(g)</w:t>
      </w:r>
      <w:r>
        <w:rPr>
          <w:rFonts w:ascii="Times New Roman" w:cs="Times New Roman" w:eastAsia="Times New Roman" w:hAnsi="Times New Roman"/>
          <w:sz w:val="22"/>
          <w:szCs w:val="22"/>
          <w:color w:val="auto"/>
        </w:rPr>
        <w:t>, is creditworthy; (2) has a good reputation in the business community; (3) will use the Premises for the Permitted Use (thus, excluding without limitation, uses for credit processing and telemarketing); and (4) will not use the Premises, Project or Complex in a manner that would materially increase the pedestrian or vehicular traffic to the Premises, Project or Complex.</w:t>
      </w:r>
    </w:p>
    <w:p>
      <w:pPr>
        <w:sectPr>
          <w:pgSz w:w="11900" w:h="16838" w:orient="portrait"/>
          <w:cols w:equalWidth="0" w:num="1">
            <w:col w:w="11420"/>
          </w:cols>
          <w:pgMar w:left="240" w:top="625" w:right="239" w:bottom="1440" w:gutter="0" w:footer="0" w:header="0"/>
        </w:sectPr>
      </w:pPr>
    </w:p>
    <w:bookmarkStart w:id="55" w:name="page56"/>
    <w:bookmarkEnd w:id="55"/>
    <w:p>
      <w:pPr>
        <w:jc w:val="both"/>
        <w:ind w:left="-1200" w:firstLine="1305"/>
        <w:spacing w:after="0" w:line="260" w:lineRule="auto"/>
        <w:tabs>
          <w:tab w:leader="none" w:pos="51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Request for Consent</w:t>
      </w:r>
      <w:r>
        <w:rPr>
          <w:rFonts w:ascii="Times New Roman" w:cs="Times New Roman" w:eastAsia="Times New Roman" w:hAnsi="Times New Roman"/>
          <w:sz w:val="21"/>
          <w:szCs w:val="21"/>
          <w:color w:val="auto"/>
        </w:rPr>
        <w:t>. If Tenant requests Landlord’s consent to a Transfer, then, at least thirty (30) days prior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effective date of the proposed Transfer, Tenant shall provide Landlord with a written description of all terms and conditions of the proposed Transfer, copies of the proposed pertinent documentation, and the following information about the proposed transferee: name and address; reasonably satisfactory information about its business and business history; its proposed use of the Premises; financial statements; and general references sufficient to enable Landlord to determine the proposed transferee’s creditworthiness and character. Concurrently with Tenant’s notice of any request for consent to a Transfer, Tenant shall pay to Landlord a fee of $500 to defray Landlord’s expenses in reviewing such request, and Tenant shall also reimburse Landlord immediately upon request for its reasonable and documented attorneys’ fees incurred in connection with considering any request for consent to a Transfer. Landlord’s failure to respond within such thirty (30) day period and following a second notice (which notice shall have a heading in at least 12-point type, bold and all caps </w:t>
      </w:r>
      <w:r>
        <w:rPr>
          <w:rFonts w:ascii="Times New Roman" w:cs="Times New Roman" w:eastAsia="Times New Roman" w:hAnsi="Times New Roman"/>
          <w:sz w:val="21"/>
          <w:szCs w:val="21"/>
          <w:b w:val="1"/>
          <w:bCs w:val="1"/>
          <w:color w:val="auto"/>
        </w:rPr>
        <w:t>“FAILURE TO RESPOND SHALL RESULT IN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DEEMED CONSENT BY LANDLORD TO A REQUEST FOR ASSIGNMENT”</w:t>
      </w:r>
      <w:r>
        <w:rPr>
          <w:rFonts w:ascii="Times New Roman" w:cs="Times New Roman" w:eastAsia="Times New Roman" w:hAnsi="Times New Roman"/>
          <w:sz w:val="21"/>
          <w:szCs w:val="21"/>
          <w:color w:val="auto"/>
        </w:rPr>
        <w:t>) and Landlord’s failure to respond within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five (5) business days after receipt of such second notice, shall be deemed Landlord’s consent to Tenant’s request for assignment.</w:t>
      </w:r>
    </w:p>
    <w:p>
      <w:pPr>
        <w:spacing w:after="0" w:line="169" w:lineRule="exact"/>
        <w:rPr>
          <w:rFonts w:ascii="Times New Roman" w:cs="Times New Roman" w:eastAsia="Times New Roman" w:hAnsi="Times New Roman"/>
          <w:sz w:val="21"/>
          <w:szCs w:val="21"/>
          <w:color w:val="auto"/>
        </w:rPr>
      </w:pPr>
    </w:p>
    <w:p>
      <w:pPr>
        <w:jc w:val="both"/>
        <w:ind w:left="-1200" w:firstLine="1305"/>
        <w:spacing w:after="0" w:line="247" w:lineRule="auto"/>
        <w:tabs>
          <w:tab w:leader="none" w:pos="89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to Consent</w:t>
      </w:r>
      <w:r>
        <w:rPr>
          <w:rFonts w:ascii="Times New Roman" w:cs="Times New Roman" w:eastAsia="Times New Roman" w:hAnsi="Times New Roman"/>
          <w:sz w:val="22"/>
          <w:szCs w:val="22"/>
          <w:color w:val="auto"/>
        </w:rPr>
        <w:t>. If Landlord consents to a proposed Transfer, then the proposed transferee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 to Landlord a written agreement whereby it expressly assumes Tenant’s obligations hereunder; however, any transferee of less than all of the space in the Premises shall be liable only for obligations under this Lease that are properly allocable to the space subject to the Transfer from and after the effective date of such Transfer. No Transfer shall release Tenant from its obligations under this Lease, but rather Tenant and its transferee shall be jointly and severally liable therefor. Landlord’s consent to any Transfer shall not be deemed consent to any subsequent Transfers. If an Event of Default occurs while the Premises or any part thereof are subject to a Transfer, then Landlord, in addition to its other remedies, may collect directly from such transferee all rents becoming due to Tenant and apply such rents against Rent. Tenant authorizes its transferees to make payments of rent directly to Landlord upon receipt of notice from Landlord to do so following the occurrence of an Event of Default hereunder. Tenant shall pay for the cost of any demising walls or other improvements necessitated by a proposed subletting or assignment (provided that the foregoing shall not waive any approval right that Landlord may have with respect to such improvements pursuant to another provision of this Lease).</w:t>
      </w:r>
    </w:p>
    <w:p>
      <w:pPr>
        <w:spacing w:after="0" w:line="184" w:lineRule="exact"/>
        <w:rPr>
          <w:rFonts w:ascii="Times New Roman" w:cs="Times New Roman" w:eastAsia="Times New Roman" w:hAnsi="Times New Roman"/>
          <w:sz w:val="22"/>
          <w:szCs w:val="22"/>
          <w:color w:val="auto"/>
        </w:rPr>
      </w:pPr>
    </w:p>
    <w:p>
      <w:pPr>
        <w:jc w:val="both"/>
        <w:ind w:left="-1200" w:firstLine="1305"/>
        <w:spacing w:after="0" w:line="262" w:lineRule="auto"/>
        <w:tabs>
          <w:tab w:leader="none" w:pos="89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Attornment by Subtenants</w:t>
      </w:r>
      <w:r>
        <w:rPr>
          <w:rFonts w:ascii="Times New Roman" w:cs="Times New Roman" w:eastAsia="Times New Roman" w:hAnsi="Times New Roman"/>
          <w:sz w:val="21"/>
          <w:szCs w:val="21"/>
          <w:color w:val="auto"/>
        </w:rPr>
        <w:t>. Each sublease by Tenant hereunder shall be subject and subordinate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Lease and to the matters to which this Lease is or shall be subordinate, and each subtenant by entering into a sublease is deemed to have agreed that in the event of termination, re-entry or dispossession by Landlord under this Lease, Landlord may, at its option, either terminate the sublease or take over all of the right, title and interest of Tenant, as sublandlord, under such sublease, and such subtenant shall, at Landlord’s option, attorn to Landlord pursuant to the then executory provisions of such sublease, except that Landlord shall not be: (1) liable for any previous act or omission of Tenant under such sublease; (2) subject to any counterclaim, offset or defense that such subtenant might have against Tenant; (3) bound by any material modification of such sublease made without Landlord’s consent or by any rent or additional rent or advance rent which such subtenant might have paid for more than the current month to Tenant, and all such rent shall remain due and owing, notwithstanding such advance payment; (4) bound</w:t>
      </w:r>
    </w:p>
    <w:p>
      <w:pPr>
        <w:sectPr>
          <w:pgSz w:w="11900" w:h="16838" w:orient="portrait"/>
          <w:cols w:equalWidth="0" w:num="1">
            <w:col w:w="10220"/>
          </w:cols>
          <w:pgMar w:left="1440" w:top="621" w:right="239" w:bottom="1440" w:gutter="0" w:footer="0" w:header="0"/>
        </w:sectPr>
      </w:pPr>
    </w:p>
    <w:bookmarkStart w:id="56" w:name="page57"/>
    <w:bookmarkEnd w:id="56"/>
    <w:p>
      <w:pPr>
        <w:jc w:val="both"/>
        <w:spacing w:after="0" w:line="252" w:lineRule="auto"/>
        <w:rPr>
          <w:sz w:val="20"/>
          <w:szCs w:val="20"/>
          <w:color w:val="auto"/>
        </w:rPr>
      </w:pPr>
      <w:r>
        <w:rPr>
          <w:rFonts w:ascii="Times New Roman" w:cs="Times New Roman" w:eastAsia="Times New Roman" w:hAnsi="Times New Roman"/>
          <w:sz w:val="22"/>
          <w:szCs w:val="22"/>
          <w:color w:val="auto"/>
        </w:rPr>
        <w:t>by any security or advance rental deposit made by such subtenant which is not delivered or paid over to Landlord and with respect to which such subtenant shall look solely to Tenant for refund or reimbursement; or (5) obligated to perform any work in the subleased space or to prepare it for occupancy, and in connection with such attornment, the subtenant shall execute and deliver to Landlord any instruments Landlord may reasonably request to evidence and confirm such attornment.</w:t>
      </w:r>
    </w:p>
    <w:p>
      <w:pPr>
        <w:spacing w:after="0" w:line="176" w:lineRule="exact"/>
        <w:rPr>
          <w:sz w:val="20"/>
          <w:szCs w:val="20"/>
          <w:color w:val="auto"/>
        </w:rPr>
      </w:pPr>
    </w:p>
    <w:p>
      <w:pPr>
        <w:jc w:val="both"/>
        <w:ind w:firstLine="1305"/>
        <w:spacing w:after="0" w:line="258" w:lineRule="auto"/>
        <w:tabs>
          <w:tab w:leader="none" w:pos="173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Confirming Attornment</w:t>
      </w:r>
      <w:r>
        <w:rPr>
          <w:rFonts w:ascii="Times New Roman" w:cs="Times New Roman" w:eastAsia="Times New Roman" w:hAnsi="Times New Roman"/>
          <w:sz w:val="22"/>
          <w:szCs w:val="22"/>
          <w:color w:val="auto"/>
        </w:rPr>
        <w:t>. Each subtenant or licensee of Tenant shall be deemed, automatically upon and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condition of its occupying or using the Premises or any part thereof, to have agreed to be bound by the terms and conditions set forth in this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9(e)</w:t>
      </w:r>
      <w:r>
        <w:rPr>
          <w:rFonts w:ascii="Times New Roman" w:cs="Times New Roman" w:eastAsia="Times New Roman" w:hAnsi="Times New Roman"/>
          <w:sz w:val="22"/>
          <w:szCs w:val="22"/>
          <w:color w:val="auto"/>
        </w:rPr>
        <w:t xml:space="preserve"> shall be self-operative, and no further instrument shall be required to give effect to this provision.</w:t>
      </w:r>
    </w:p>
    <w:p>
      <w:pPr>
        <w:spacing w:after="0" w:line="172"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6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Transfers</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Tenant may Transfer all or part of its interest in this Lease or all or part of the Premises (a “</w:t>
      </w:r>
      <w:r>
        <w:rPr>
          <w:rFonts w:ascii="Times New Roman" w:cs="Times New Roman" w:eastAsia="Times New Roman" w:hAnsi="Times New Roman"/>
          <w:sz w:val="22"/>
          <w:szCs w:val="22"/>
          <w:u w:val="single" w:color="auto"/>
          <w:color w:val="auto"/>
        </w:rPr>
        <w:t>Permitted Transfer</w:t>
      </w:r>
      <w:r>
        <w:rPr>
          <w:rFonts w:ascii="Times New Roman" w:cs="Times New Roman" w:eastAsia="Times New Roman" w:hAnsi="Times New Roman"/>
          <w:sz w:val="22"/>
          <w:szCs w:val="22"/>
          <w:color w:val="auto"/>
        </w:rPr>
        <w:t>”) to the following types of entities (a “</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without the written consent of Landlord:</w:t>
      </w:r>
    </w:p>
    <w:p>
      <w:pPr>
        <w:spacing w:after="0" w:line="168" w:lineRule="exact"/>
        <w:rPr>
          <w:sz w:val="20"/>
          <w:szCs w:val="20"/>
          <w:color w:val="auto"/>
        </w:rPr>
      </w:pPr>
    </w:p>
    <w:p>
      <w:pPr>
        <w:ind w:left="1780" w:hanging="475"/>
        <w:spacing w:after="0"/>
        <w:tabs>
          <w:tab w:leader="none" w:pos="17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Affiliate of Tenant;</w:t>
      </w:r>
    </w:p>
    <w:p>
      <w:pPr>
        <w:spacing w:after="0" w:line="219" w:lineRule="exact"/>
        <w:rPr>
          <w:rFonts w:ascii="Times New Roman" w:cs="Times New Roman" w:eastAsia="Times New Roman" w:hAnsi="Times New Roman"/>
          <w:sz w:val="22"/>
          <w:szCs w:val="22"/>
          <w:color w:val="auto"/>
        </w:rPr>
      </w:pPr>
    </w:p>
    <w:p>
      <w:pPr>
        <w:jc w:val="both"/>
        <w:ind w:left="660" w:firstLine="645"/>
        <w:spacing w:after="0" w:line="249" w:lineRule="auto"/>
        <w:tabs>
          <w:tab w:leader="none" w:pos="183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limited partnership, limited liability partnership, limited liability company or other business entity in which or with which Tenant, or its corporate successors or assigns, is merged or consolidated, in accordance with applicable statutory provisions governing merger and consolidation of business entities, so long as (A) Tenant’s obligations hereunder are assumed by the entity surviving such merger or created by such consolidation; and (B) the Permitted Transferee has $10 million in equity after deduction of all intercompany goodwill and intangible accounts (both assets and liabilities); or</w:t>
      </w:r>
    </w:p>
    <w:p>
      <w:pPr>
        <w:spacing w:after="0" w:line="180"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83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limited partnership, limited liability partnership, limited liability company or other business entity acquiring all or substantially all of Tenant’s assets if such entity’s Tangible Net Worth after such acquisition is not less than the Tangible Net Worth of Tenant as of the date of execution of this Lease.</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Tenant shall promptly notify Landlord of any such Permitted Transfer. Tenant shall remain liable for the performance of all of the obligations of Tenant hereunder, or if Tenant no longer exists because of a merger, consolidation, or acquisition, the surviving or acquiring entity shall expressly assume in writing the obligations of Tenant hereunder. Additionally, the Permitted Transferee shall comply with all of the terms and conditions of this Lease, including the Permitted Use, and the use of the Premises by the Permitted Transferee may not violate any other agreements affecting the Premises, the Building or the Complex, Landlord or other tenants of the Complex. No later than five (5) business days after the effective date of any Permitted Transfer, Tenant agrees to furnish Landlord with (A) copies of the instrument effecting any of the foregoing Transfers, (B) documentation establishing Tenant’s satisfaction of the requirements set forth above applicable to any such Transfer, and (C) evidence of insurance as required under this Lease with respect to the Permitted Transferee. The occurrence of a Permitted Transfer shall not waive Landlord’s rights as to any subsequent Transfers. “</w:t>
      </w:r>
      <w:r>
        <w:rPr>
          <w:rFonts w:ascii="Times New Roman" w:cs="Times New Roman" w:eastAsia="Times New Roman" w:hAnsi="Times New Roman"/>
          <w:sz w:val="22"/>
          <w:szCs w:val="22"/>
          <w:b w:val="1"/>
          <w:bCs w:val="1"/>
          <w:u w:val="single" w:color="auto"/>
          <w:color w:val="auto"/>
        </w:rPr>
        <w:t>Tangible Net Worth</w:t>
      </w:r>
      <w:r>
        <w:rPr>
          <w:rFonts w:ascii="Times New Roman" w:cs="Times New Roman" w:eastAsia="Times New Roman" w:hAnsi="Times New Roman"/>
          <w:sz w:val="22"/>
          <w:szCs w:val="22"/>
          <w:color w:val="auto"/>
        </w:rPr>
        <w:t>” means the excess of total assets over total liabilities, in each case as determined in accordance with generally accepted accounting principles</w:t>
      </w:r>
    </w:p>
    <w:p>
      <w:pPr>
        <w:sectPr>
          <w:pgSz w:w="11900" w:h="16838" w:orient="portrait"/>
          <w:cols w:equalWidth="0" w:num="1">
            <w:col w:w="11420"/>
          </w:cols>
          <w:pgMar w:left="240" w:top="625" w:right="239" w:bottom="1440" w:gutter="0" w:footer="0" w:header="0"/>
        </w:sectPr>
      </w:pPr>
    </w:p>
    <w:bookmarkStart w:id="57" w:name="page58"/>
    <w:bookmarkEnd w:id="57"/>
    <w:p>
      <w:pPr>
        <w:jc w:val="both"/>
        <w:spacing w:after="0" w:line="259" w:lineRule="auto"/>
        <w:rPr>
          <w:sz w:val="20"/>
          <w:szCs w:val="20"/>
          <w:color w:val="auto"/>
        </w:rPr>
      </w:pPr>
      <w:r>
        <w:rPr>
          <w:rFonts w:ascii="Times New Roman" w:cs="Times New Roman" w:eastAsia="Times New Roman" w:hAnsi="Times New Roman"/>
          <w:sz w:val="22"/>
          <w:szCs w:val="22"/>
          <w:color w:val="auto"/>
        </w:rPr>
        <w:t>consistently applied (“</w:t>
      </w:r>
      <w:r>
        <w:rPr>
          <w:rFonts w:ascii="Times New Roman" w:cs="Times New Roman" w:eastAsia="Times New Roman" w:hAnsi="Times New Roman"/>
          <w:sz w:val="22"/>
          <w:szCs w:val="22"/>
          <w:b w:val="1"/>
          <w:bCs w:val="1"/>
          <w:u w:val="single" w:color="auto"/>
          <w:color w:val="auto"/>
        </w:rPr>
        <w:t>GAAP</w:t>
      </w:r>
      <w:r>
        <w:rPr>
          <w:rFonts w:ascii="Times New Roman" w:cs="Times New Roman" w:eastAsia="Times New Roman" w:hAnsi="Times New Roman"/>
          <w:sz w:val="22"/>
          <w:szCs w:val="22"/>
          <w:color w:val="auto"/>
        </w:rPr>
        <w:t xml:space="preserve">”), excluding, however, from the determination of total assets all assets which would be classified as intangible assets under GAAP including goodwill, licenses, patents, trademarks, trade names, copyrights, and franchises. Any subsequent Transfer by a Permitted Transferee shall be subject to the terms of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1580" w:hanging="924"/>
        <w:spacing w:after="0"/>
        <w:tabs>
          <w:tab w:leader="none" w:pos="15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Insurance; Waivers; Subrogation; Indemnity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305"/>
        <w:spacing w:after="0" w:line="288" w:lineRule="auto"/>
        <w:tabs>
          <w:tab w:leader="none" w:pos="177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Tenant’s Insurance</w:t>
      </w:r>
      <w:r>
        <w:rPr>
          <w:rFonts w:ascii="Times New Roman" w:cs="Times New Roman" w:eastAsia="Times New Roman" w:hAnsi="Times New Roman"/>
          <w:sz w:val="22"/>
          <w:szCs w:val="22"/>
          <w:color w:val="auto"/>
        </w:rPr>
        <w:t>. Effective as of the earlier of: (1) the date Tenant enters or occupies the Premises; or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Commencement Date, and continuing throughout the Term, Tenant shall maintain the following insurance policies:</w:t>
      </w:r>
    </w:p>
    <w:p>
      <w:pPr>
        <w:spacing w:after="0" w:line="139" w:lineRule="exact"/>
        <w:rPr>
          <w:rFonts w:ascii="Times New Roman" w:cs="Times New Roman" w:eastAsia="Times New Roman" w:hAnsi="Times New Roman"/>
          <w:sz w:val="22"/>
          <w:szCs w:val="22"/>
          <w:color w:val="auto"/>
        </w:rPr>
      </w:pPr>
    </w:p>
    <w:p>
      <w:pPr>
        <w:jc w:val="both"/>
        <w:ind w:firstLine="1953"/>
        <w:spacing w:after="0" w:line="257" w:lineRule="auto"/>
        <w:tabs>
          <w:tab w:leader="none" w:pos="2464"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General Liability Insurance</w:t>
      </w:r>
      <w:r>
        <w:rPr>
          <w:rFonts w:ascii="Times New Roman" w:cs="Times New Roman" w:eastAsia="Times New Roman" w:hAnsi="Times New Roman"/>
          <w:sz w:val="22"/>
          <w:szCs w:val="22"/>
          <w:color w:val="auto"/>
        </w:rPr>
        <w:t xml:space="preserve"> in amounts of no less than $1,000,000 per occurrence for bodily injury and property damage, and $3,000,000 general aggregate for property damage liability. Such policy shall be endorsed to add Landlord and Management Company (as requested by Landlord) as an additional insured. Limits can be satisfied through the maintenance of a combination of primary and umbrella policies. .</w:t>
      </w:r>
    </w:p>
    <w:p>
      <w:pPr>
        <w:spacing w:after="0" w:line="172" w:lineRule="exact"/>
        <w:rPr>
          <w:rFonts w:ascii="Times New Roman" w:cs="Times New Roman" w:eastAsia="Times New Roman" w:hAnsi="Times New Roman"/>
          <w:sz w:val="22"/>
          <w:szCs w:val="22"/>
          <w:color w:val="auto"/>
        </w:rPr>
      </w:pPr>
    </w:p>
    <w:p>
      <w:pPr>
        <w:jc w:val="both"/>
        <w:ind w:firstLine="1953"/>
        <w:spacing w:after="0" w:line="246" w:lineRule="auto"/>
        <w:tabs>
          <w:tab w:leader="none" w:pos="2456"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Property Insurance</w:t>
      </w:r>
      <w:r>
        <w:rPr>
          <w:rFonts w:ascii="Times New Roman" w:cs="Times New Roman" w:eastAsia="Times New Roman" w:hAnsi="Times New Roman"/>
          <w:sz w:val="22"/>
          <w:szCs w:val="22"/>
          <w:color w:val="auto"/>
        </w:rPr>
        <w:t xml:space="preserve"> covering at full replacement cost value the following property in the Premises: (A) inventory; (B) FF&amp;E (unattached furniture, fixtures, and equipment); (C) alterations, improvements and betterments made by the Tenant including but not necessarily limited to all permanently attached fixtures and equipment; and (D) any other property in which the Tenant retains the risk of loss including electronic data processing equipment, employee personal property or other property owned or leased by Tenant. Such property insurance shall include: (1) coverage against such perils as are commonly included in the special causes of loss form, with no exclusions for wind and hail, vandalism and malicious mischief, and endorsed to add the perils of earthquake and flood; (2) business income or extra expense coverage providing for the full recovery of loss of rents and continuing expenses on an actual loss sustained basis for a period of not less than 12 months; and (3) an “agreed amount” endorsement waiving any coinsurance requirements. “</w:t>
      </w:r>
      <w:r>
        <w:rPr>
          <w:rFonts w:ascii="Times New Roman" w:cs="Times New Roman" w:eastAsia="Times New Roman" w:hAnsi="Times New Roman"/>
          <w:sz w:val="22"/>
          <w:szCs w:val="22"/>
          <w:b w:val="1"/>
          <w:bCs w:val="1"/>
          <w:u w:val="single" w:color="auto"/>
          <w:color w:val="auto"/>
        </w:rPr>
        <w:t>Full replacement value</w:t>
      </w:r>
      <w:r>
        <w:rPr>
          <w:rFonts w:ascii="Times New Roman" w:cs="Times New Roman" w:eastAsia="Times New Roman" w:hAnsi="Times New Roman"/>
          <w:sz w:val="22"/>
          <w:szCs w:val="22"/>
          <w:color w:val="auto"/>
        </w:rPr>
        <w:t>,” as used herein, means the cost of repairing, replacing, or reinstating, including demolishing, any item of property, with materials of like kind and quality in compliance with, (and without, an exclusion pertaining to application of), any law or building ordinance regulating repair or construction at the time of loss and without deduction for physical, accounting, or any other depreciation, in an amount sufficient to meet the requirements of any applicable co-insurance clause and to prevent Tenant from being a co-insurer.</w:t>
      </w:r>
    </w:p>
    <w:p>
      <w:pPr>
        <w:spacing w:after="0" w:line="194" w:lineRule="exact"/>
        <w:rPr>
          <w:rFonts w:ascii="Times New Roman" w:cs="Times New Roman" w:eastAsia="Times New Roman" w:hAnsi="Times New Roman"/>
          <w:sz w:val="22"/>
          <w:szCs w:val="22"/>
          <w:color w:val="auto"/>
        </w:rPr>
      </w:pPr>
    </w:p>
    <w:p>
      <w:pPr>
        <w:jc w:val="both"/>
        <w:ind w:firstLine="1953"/>
        <w:spacing w:after="0" w:line="251" w:lineRule="auto"/>
        <w:tabs>
          <w:tab w:leader="none" w:pos="2449"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Workers Compensation Insurance</w:t>
      </w:r>
      <w:r>
        <w:rPr>
          <w:rFonts w:ascii="Times New Roman" w:cs="Times New Roman" w:eastAsia="Times New Roman" w:hAnsi="Times New Roman"/>
          <w:sz w:val="22"/>
          <w:szCs w:val="22"/>
          <w:color w:val="auto"/>
        </w:rPr>
        <w:t xml:space="preserve"> covering statutory benefits in the state where the Premises is located. This policy shall include “other states” insurance, so as to include all states not named on the declarations page of the insurance policy, except for the monopolistic states. Tenant is required to carry this insurance regardless of eligibility for waiver or exemption of coverage under any applicable state statute. Such insurance shall include an employers’ liability coverage part with limits that shall be not less than $1,000,000 each accident for bodily injury by accident and $1,000,000 each employee and policy limit for bodily injury by disease.</w:t>
      </w:r>
    </w:p>
    <w:p>
      <w:pPr>
        <w:spacing w:after="0" w:line="181" w:lineRule="exact"/>
        <w:rPr>
          <w:rFonts w:ascii="Times New Roman" w:cs="Times New Roman" w:eastAsia="Times New Roman" w:hAnsi="Times New Roman"/>
          <w:sz w:val="22"/>
          <w:szCs w:val="22"/>
          <w:color w:val="auto"/>
        </w:rPr>
      </w:pPr>
    </w:p>
    <w:p>
      <w:pPr>
        <w:jc w:val="both"/>
        <w:ind w:firstLine="1953"/>
        <w:spacing w:after="0" w:line="263" w:lineRule="auto"/>
        <w:tabs>
          <w:tab w:leader="none" w:pos="2572"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insurance or any changes or endorsements to the insurance required herein, including increased limits of coverage, as Landlord, or any mortgagee or lessor of Landlord, may reasonably require from time to time upon reasonable advance notice to Tenant.</w:t>
      </w:r>
    </w:p>
    <w:p>
      <w:pPr>
        <w:sectPr>
          <w:pgSz w:w="11900" w:h="16838" w:orient="portrait"/>
          <w:cols w:equalWidth="0" w:num="1">
            <w:col w:w="11420"/>
          </w:cols>
          <w:pgMar w:left="240" w:top="621" w:right="239" w:bottom="1440" w:gutter="0" w:footer="0" w:header="0"/>
        </w:sectPr>
      </w:pPr>
    </w:p>
    <w:bookmarkStart w:id="58" w:name="page59"/>
    <w:bookmarkEnd w:id="58"/>
    <w:p>
      <w:pPr>
        <w:jc w:val="both"/>
        <w:spacing w:after="0" w:line="245" w:lineRule="auto"/>
        <w:rPr>
          <w:sz w:val="20"/>
          <w:szCs w:val="20"/>
          <w:color w:val="auto"/>
        </w:rPr>
      </w:pPr>
      <w:r>
        <w:rPr>
          <w:rFonts w:ascii="Times New Roman" w:cs="Times New Roman" w:eastAsia="Times New Roman" w:hAnsi="Times New Roman"/>
          <w:sz w:val="22"/>
          <w:szCs w:val="22"/>
          <w:color w:val="auto"/>
        </w:rPr>
        <w:t>Tenant’s commercial general liability insurance, automobile liability insurance and, all other insurance policies, where such policies permit coverage for Landlord as an additional insured, shall provide primary coverage to Landlord and shall not require contribution by any insurance maintained by Landlord, when any policy issued to Landlord provides duplicate or similar coverage, and in such circumstance Landlord’s policy will be excess over Tenant’s policy. Tenant shall furnish to Landlord certificates of such insurance, and where applicable with an additional insured endorsement at least ten (10) days prior to the earlier of the Commencement Date or the date Tenant enters or occupies the Premises, and at least fifteen (15) days prior to each renewal of said insurance, and Tenant shall notify Landlord at least thirty (30) days before cancellation or non-renewal or a material change of any such insurance policies. All such insurance policies shall be in form, and issued by companies licensed to do business in the state where the Premises is located, rated by AM Best as having a financial strength rating of “A-” or better and a financial size category of “IX” or greater, or otherwise reasonably satisfactory to Landlord. If Tenant fails to comply with the foregoing insurance requirements or to deliver to Landlord the certificates or evidence of coverage required herein, Landlord, in addition to any other remedy available pursuant to this Lease or otherwise, may, but shall not be obligated to, obtain such insurance and Tenant shall pay to Landlord on demand the premium costs thereof. Any and all of the premiums, deductibles and self-insured retentions associated with the policies providing the insurance coverage required herein shall be assumed by, for the account of, and at the sole risk of Tenant.</w:t>
      </w:r>
    </w:p>
    <w:p>
      <w:pPr>
        <w:spacing w:after="0" w:line="187" w:lineRule="exact"/>
        <w:rPr>
          <w:sz w:val="20"/>
          <w:szCs w:val="20"/>
          <w:color w:val="auto"/>
        </w:rPr>
      </w:pPr>
    </w:p>
    <w:p>
      <w:pPr>
        <w:ind w:left="1760" w:hanging="455"/>
        <w:spacing w:after="0"/>
        <w:tabs>
          <w:tab w:leader="none" w:pos="17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Landlord’s Insurance</w:t>
      </w:r>
      <w:r>
        <w:rPr>
          <w:rFonts w:ascii="Times New Roman" w:cs="Times New Roman" w:eastAsia="Times New Roman" w:hAnsi="Times New Roman"/>
          <w:sz w:val="21"/>
          <w:szCs w:val="21"/>
          <w:color w:val="auto"/>
        </w:rPr>
        <w:t>. Throughout the Term, Landlord shall maintain, as a minimum, the following insurance</w:t>
      </w:r>
    </w:p>
    <w:p>
      <w:pPr>
        <w:spacing w:after="0" w:line="45" w:lineRule="exact"/>
        <w:rPr>
          <w:rFonts w:ascii="Times New Roman" w:cs="Times New Roman" w:eastAsia="Times New Roman" w:hAnsi="Times New Roman"/>
          <w:sz w:val="21"/>
          <w:szCs w:val="21"/>
          <w:color w:val="auto"/>
        </w:rPr>
      </w:pPr>
    </w:p>
    <w:p>
      <w:pPr>
        <w:jc w:val="both"/>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policies: (1) property insurance for the Building’s replacement value (excluding property required to be insured by Tenant, it being agreed that Landlord shall have no obligation to provide insurance for such property), less a commercially-reasonable deductible if Landlord so chooses; and (2) commercial general liability insurance in an amount of not less than $3,000,000 per occurrence for bodily injury and property damage, $3,000,000 each person or organization for personal and advertising injury, $3,000,000 general aggregate, and $3,000,000 products and completed operations aggregate. Limits can be satisfied through the maintenance of a combination of primary and umbrella policies. Landlord may, but is not obligated to, maintain such other insurance and additional coverages as it may deem necessary. Tenant shall pay its Proportionate Share of the cost of all insurance carried by Landlord with respect to the Building or Complex, as applicable, as set 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foregoing insurance policies and any other insurance carried by Landlord shall be for the sole benefit of Landlord and under Landlord’s sole control, and Tenant shall have no right or claim to any proceeds thereof or any other rights thereunder.</w:t>
      </w:r>
    </w:p>
    <w:p>
      <w:pPr>
        <w:spacing w:after="0" w:line="183" w:lineRule="exact"/>
        <w:rPr>
          <w:rFonts w:ascii="Times New Roman" w:cs="Times New Roman" w:eastAsia="Times New Roman" w:hAnsi="Times New Roman"/>
          <w:sz w:val="21"/>
          <w:szCs w:val="21"/>
          <w:color w:val="auto"/>
        </w:rPr>
      </w:pPr>
    </w:p>
    <w:p>
      <w:pPr>
        <w:jc w:val="both"/>
        <w:ind w:firstLine="1305"/>
        <w:spacing w:after="0" w:line="252" w:lineRule="auto"/>
        <w:tabs>
          <w:tab w:leader="none" w:pos="177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Subrogation</w:t>
      </w:r>
      <w:r>
        <w:rPr>
          <w:rFonts w:ascii="Times New Roman" w:cs="Times New Roman" w:eastAsia="Times New Roman" w:hAnsi="Times New Roman"/>
          <w:sz w:val="22"/>
          <w:szCs w:val="22"/>
          <w:color w:val="auto"/>
        </w:rPr>
        <w:t>. Notwithstanding anything to the contrary herein, to the extent permitted by law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without affecting the coverage provided by insurance required to be maintained hereunder, Landlord and Tenant shall each agree to waive any right to recover against the other party (and the other party’s agents, officers, directors and employees) on account of any and all claims it may have against the other party (and the other party’s agents, officers, directors and employees) with respect to the insurance actually maintained, or required to be maintained hereunder, under subparagraphs </w:t>
      </w:r>
      <w:r>
        <w:rPr>
          <w:rFonts w:ascii="Times New Roman" w:cs="Times New Roman" w:eastAsia="Times New Roman" w:hAnsi="Times New Roman"/>
          <w:sz w:val="22"/>
          <w:szCs w:val="22"/>
          <w:u w:val="single" w:color="auto"/>
          <w:color w:val="auto"/>
        </w:rPr>
        <w:t>10(a)(i)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inclusive, and to the extent proceeds are realized from such insurance coverage that are applied to such claims.</w:t>
      </w:r>
    </w:p>
    <w:p>
      <w:pPr>
        <w:sectPr>
          <w:pgSz w:w="11900" w:h="16838" w:orient="portrait"/>
          <w:cols w:equalWidth="0" w:num="1">
            <w:col w:w="11420"/>
          </w:cols>
          <w:pgMar w:left="240" w:top="625" w:right="239" w:bottom="1440" w:gutter="0" w:footer="0" w:header="0"/>
        </w:sectPr>
      </w:pPr>
    </w:p>
    <w:bookmarkStart w:id="59" w:name="page60"/>
    <w:bookmarkEnd w:id="59"/>
    <w:p>
      <w:pPr>
        <w:spacing w:after="0" w:line="271" w:lineRule="auto"/>
        <w:rPr>
          <w:sz w:val="20"/>
          <w:szCs w:val="20"/>
          <w:color w:val="auto"/>
        </w:rPr>
      </w:pPr>
      <w:r>
        <w:rPr>
          <w:rFonts w:ascii="Times New Roman" w:cs="Times New Roman" w:eastAsia="Times New Roman" w:hAnsi="Times New Roman"/>
          <w:sz w:val="22"/>
          <w:szCs w:val="22"/>
          <w:color w:val="auto"/>
        </w:rPr>
        <w:t>Each policy described in this Lease shall contain a waiver of subrogation endorsement that provides that the waiver of any right to recovery shall not invalidate the policy in any way</w:t>
      </w:r>
    </w:p>
    <w:p>
      <w:pPr>
        <w:spacing w:after="0" w:line="154" w:lineRule="exact"/>
        <w:rPr>
          <w:sz w:val="20"/>
          <w:szCs w:val="20"/>
          <w:color w:val="auto"/>
        </w:rPr>
      </w:pPr>
    </w:p>
    <w:p>
      <w:pPr>
        <w:jc w:val="both"/>
        <w:ind w:firstLine="1305"/>
        <w:spacing w:after="0" w:line="249" w:lineRule="auto"/>
        <w:tabs>
          <w:tab w:leader="none" w:pos="185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Indemnity</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Tenant shall indemnify, defend and hold harmless Landlord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Indemnitees from and against all claims, demands, liabilities, causes of action, suits, judgments, damages, and expenses (including reasonable attorneys’ fees) and all losses and damages arising from any injury to or death of any person or the damage to or theft, destruction, loss, or loss of use of any property or inconvenience (a “</w:t>
      </w:r>
      <w:r>
        <w:rPr>
          <w:rFonts w:ascii="Times New Roman" w:cs="Times New Roman" w:eastAsia="Times New Roman" w:hAnsi="Times New Roman"/>
          <w:sz w:val="22"/>
          <w:szCs w:val="22"/>
          <w:b w:val="1"/>
          <w:bCs w:val="1"/>
          <w:u w:val="single" w:color="auto"/>
          <w:color w:val="auto"/>
        </w:rPr>
        <w:t>Loss</w:t>
      </w:r>
      <w:r>
        <w:rPr>
          <w:rFonts w:ascii="Times New Roman" w:cs="Times New Roman" w:eastAsia="Times New Roman" w:hAnsi="Times New Roman"/>
          <w:sz w:val="22"/>
          <w:szCs w:val="22"/>
          <w:color w:val="auto"/>
        </w:rPr>
        <w:t xml:space="preserve">”) arising from any occurrence in the Premises, the use of the Common Areas by any Tenant Party, or the installation, operation, maintenance, repair or removal of any of Tenant’s Off-Premises Equipment; or (2) Tenant’s failure to perform its obligations under this Lease. The indemnities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10(d)</w:t>
      </w:r>
      <w:r>
        <w:rPr>
          <w:rFonts w:ascii="Times New Roman" w:cs="Times New Roman" w:eastAsia="Times New Roman" w:hAnsi="Times New Roman"/>
          <w:sz w:val="22"/>
          <w:szCs w:val="22"/>
          <w:color w:val="auto"/>
        </w:rPr>
        <w:t xml:space="preserve"> shall survive termination or expiration of this Lease and shall not terminate or be waived, diminished or affected in any manner by any abatement or apportionment of Rent under any provision of this Lease.</w:t>
      </w:r>
    </w:p>
    <w:p>
      <w:pPr>
        <w:spacing w:after="0" w:line="182"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Subordination; Attornment; Notice to Landlord’s Mortgagee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5"/>
        <w:spacing w:after="0" w:line="246" w:lineRule="auto"/>
        <w:tabs>
          <w:tab w:leader="none" w:pos="1878"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Subordination</w:t>
      </w:r>
      <w:r>
        <w:rPr>
          <w:rFonts w:ascii="Times New Roman" w:cs="Times New Roman" w:eastAsia="Times New Roman" w:hAnsi="Times New Roman"/>
          <w:sz w:val="22"/>
          <w:szCs w:val="22"/>
          <w:color w:val="auto"/>
        </w:rPr>
        <w:t>. This Lease shall be subordinate to any deed to secure debt, mortgage, or other security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instrument (each, as renewed, modified, and/or extended from time to time, a “</w:t>
      </w:r>
      <w:r>
        <w:rPr>
          <w:rFonts w:ascii="Times New Roman" w:cs="Times New Roman" w:eastAsia="Times New Roman" w:hAnsi="Times New Roman"/>
          <w:sz w:val="22"/>
          <w:szCs w:val="22"/>
          <w:b w:val="1"/>
          <w:bCs w:val="1"/>
          <w:u w:val="single" w:color="auto"/>
          <w:color w:val="auto"/>
        </w:rPr>
        <w:t>Mortgage</w:t>
      </w:r>
      <w:r>
        <w:rPr>
          <w:rFonts w:ascii="Times New Roman" w:cs="Times New Roman" w:eastAsia="Times New Roman" w:hAnsi="Times New Roman"/>
          <w:sz w:val="22"/>
          <w:szCs w:val="22"/>
          <w:color w:val="auto"/>
        </w:rPr>
        <w:t>”), or any ground lease, master lease, or primary lease (each, as renewed, modified, and/or extended from time to time, a “</w:t>
      </w:r>
      <w:r>
        <w:rPr>
          <w:rFonts w:ascii="Times New Roman" w:cs="Times New Roman" w:eastAsia="Times New Roman" w:hAnsi="Times New Roman"/>
          <w:sz w:val="22"/>
          <w:szCs w:val="22"/>
          <w:b w:val="1"/>
          <w:bCs w:val="1"/>
          <w:u w:val="single" w:color="auto"/>
          <w:color w:val="auto"/>
        </w:rPr>
        <w:t>Primary Lease</w:t>
      </w:r>
      <w:r>
        <w:rPr>
          <w:rFonts w:ascii="Times New Roman" w:cs="Times New Roman" w:eastAsia="Times New Roman" w:hAnsi="Times New Roman"/>
          <w:sz w:val="22"/>
          <w:szCs w:val="22"/>
          <w:color w:val="auto"/>
        </w:rPr>
        <w:t>”), that now or hereafter covers all or any part of the Premises (the mortgagee under any such Mortgage, grantee under any such deed to secure debt, or the lessor under any such Primary Lease is referred to herein as a “</w:t>
      </w:r>
      <w:r>
        <w:rPr>
          <w:rFonts w:ascii="Times New Roman" w:cs="Times New Roman" w:eastAsia="Times New Roman" w:hAnsi="Times New Roman"/>
          <w:sz w:val="22"/>
          <w:szCs w:val="22"/>
          <w:b w:val="1"/>
          <w:bCs w:val="1"/>
          <w:u w:val="single" w:color="auto"/>
          <w:color w:val="auto"/>
        </w:rPr>
        <w:t>Landlord’s Mortgagee</w:t>
      </w:r>
      <w:r>
        <w:rPr>
          <w:rFonts w:ascii="Times New Roman" w:cs="Times New Roman" w:eastAsia="Times New Roman" w:hAnsi="Times New Roman"/>
          <w:sz w:val="22"/>
          <w:szCs w:val="22"/>
          <w:color w:val="auto"/>
        </w:rPr>
        <w:t>”).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(10) days after written request therefor such documentation, in recordable form if required, as a Landlord’s Mortgagee may reasonably request to evidence the subordination of this Lease to such Landlord’s Mortgagee’s Mortgage or Primary Lease (including a subordination, non-disturbance and attornment agreement) or, if the Landlord’s Mortgagee so elects, the subordination of such Landlord’s Mortgagee’s Mortgage or Primary Lease to this Lease. Notwithstanding the foregoing, the subordination of this Lease to future Mortgages shall be subject to Tenant’s receipt of a non-disturbance agreement reasonably acceptable to Tenant which provides in substance that so long as Tenant is not in an Event of Default under the Lease past applicable cure periods, its use and occupancy of the Premises shall not be disturbed notwithstanding any default of Landlord under such Mortgage.</w:t>
      </w:r>
    </w:p>
    <w:p>
      <w:pPr>
        <w:spacing w:after="0" w:line="186" w:lineRule="exact"/>
        <w:rPr>
          <w:rFonts w:ascii="Times New Roman" w:cs="Times New Roman" w:eastAsia="Times New Roman" w:hAnsi="Times New Roman"/>
          <w:sz w:val="22"/>
          <w:szCs w:val="22"/>
          <w:color w:val="auto"/>
        </w:rPr>
      </w:pPr>
    </w:p>
    <w:p>
      <w:pPr>
        <w:jc w:val="both"/>
        <w:ind w:firstLine="1305"/>
        <w:spacing w:after="0" w:line="265" w:lineRule="auto"/>
        <w:tabs>
          <w:tab w:leader="none" w:pos="181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Attornment</w:t>
      </w:r>
      <w:r>
        <w:rPr>
          <w:rFonts w:ascii="Times New Roman" w:cs="Times New Roman" w:eastAsia="Times New Roman" w:hAnsi="Times New Roman"/>
          <w:sz w:val="22"/>
          <w:szCs w:val="22"/>
          <w:color w:val="auto"/>
        </w:rPr>
        <w:t>. Tenant shall attorn to any party succeeding to Landlord’s interest in the Premises, whether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foreclosure, deed in lieu of foreclosure, power of sale, termination of lease, or otherwise, upon such party’s request, and shall execute such agreements confirming such attornment as such party may reasonably request.</w:t>
      </w:r>
    </w:p>
    <w:p>
      <w:pPr>
        <w:spacing w:after="0" w:line="161" w:lineRule="exact"/>
        <w:rPr>
          <w:rFonts w:ascii="Times New Roman" w:cs="Times New Roman" w:eastAsia="Times New Roman" w:hAnsi="Times New Roman"/>
          <w:sz w:val="22"/>
          <w:szCs w:val="22"/>
          <w:color w:val="auto"/>
        </w:rPr>
      </w:pPr>
    </w:p>
    <w:p>
      <w:pPr>
        <w:ind w:right="20" w:firstLine="1305"/>
        <w:spacing w:after="0" w:line="288" w:lineRule="auto"/>
        <w:tabs>
          <w:tab w:leader="none" w:pos="174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 to Landlord’s Mortgagee</w:t>
      </w:r>
      <w:r>
        <w:rPr>
          <w:rFonts w:ascii="Times New Roman" w:cs="Times New Roman" w:eastAsia="Times New Roman" w:hAnsi="Times New Roman"/>
          <w:sz w:val="22"/>
          <w:szCs w:val="22"/>
          <w:color w:val="auto"/>
        </w:rPr>
        <w:t>. Tenant shall not seek to enforce any remedy it may have for any default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 of Landlord without first giving written</w:t>
      </w:r>
    </w:p>
    <w:p>
      <w:pPr>
        <w:sectPr>
          <w:pgSz w:w="11900" w:h="16838" w:orient="portrait"/>
          <w:cols w:equalWidth="0" w:num="1">
            <w:col w:w="11420"/>
          </w:cols>
          <w:pgMar w:left="240" w:top="625" w:right="239" w:bottom="1440" w:gutter="0" w:footer="0" w:header="0"/>
        </w:sectPr>
      </w:pPr>
    </w:p>
    <w:bookmarkStart w:id="60" w:name="page61"/>
    <w:bookmarkEnd w:id="60"/>
    <w:p>
      <w:pPr>
        <w:jc w:val="both"/>
        <w:spacing w:after="0" w:line="257" w:lineRule="auto"/>
        <w:rPr>
          <w:sz w:val="20"/>
          <w:szCs w:val="20"/>
          <w:color w:val="auto"/>
        </w:rPr>
      </w:pPr>
      <w:r>
        <w:rPr>
          <w:rFonts w:ascii="Times New Roman" w:cs="Times New Roman" w:eastAsia="Times New Roman" w:hAnsi="Times New Roman"/>
          <w:sz w:val="22"/>
          <w:szCs w:val="22"/>
          <w:color w:val="auto"/>
        </w:rPr>
        <w:t>notice by certified mail, return receipt requested, specifying the default in reasonable detail, to any Landlord’s Mortgagee whose address has been given to Tenant, and affording such Landlord’s Mortgagee a reasonable opportunity to perform Landlord’s obligations hereunder, which shall not exceed the cure periods provided to Landlord under the Lease.</w:t>
      </w:r>
    </w:p>
    <w:p>
      <w:pPr>
        <w:spacing w:after="0" w:line="169" w:lineRule="exact"/>
        <w:rPr>
          <w:sz w:val="20"/>
          <w:szCs w:val="20"/>
          <w:color w:val="auto"/>
        </w:rPr>
      </w:pPr>
    </w:p>
    <w:p>
      <w:pPr>
        <w:jc w:val="both"/>
        <w:ind w:firstLine="1305"/>
        <w:spacing w:after="0" w:line="245" w:lineRule="auto"/>
        <w:tabs>
          <w:tab w:leader="none" w:pos="188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Landlord’s Mortgagee’s Protection Provisions</w:t>
      </w:r>
      <w:r>
        <w:rPr>
          <w:rFonts w:ascii="Times New Roman" w:cs="Times New Roman" w:eastAsia="Times New Roman" w:hAnsi="Times New Roman"/>
          <w:sz w:val="22"/>
          <w:szCs w:val="22"/>
          <w:color w:val="auto"/>
        </w:rPr>
        <w:t>. If Landlord’s Mortgagee shall succeed to the interest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under this Lease, then, subject to the terms of any subordination, non-disturbance and attornment agreement, Landlord’s Mortgagee shall not be: (1) liable for any act or omission of any prior lessor (including Landlord); (2) bound by any rent or additional rent or advance rent which Tenant might have paid for more than one (1) month in advance to any prior lessor (including Landlord), and all such rent shall remain due and owing, notwithstanding such advance payment; (3) bound by any security or advance rental deposit made by Tenant which is not delivered or paid over to Landlord’s Mortgagee and with respect to which Tenant shall look solely to Landlord for refund or reimbursement; (4) bound by any termination, amendment or modification of this Lease made without Landlord’s Mortgagee’s consent and written approval, except for those terminations, amendments and modifications permitted to be made by Landlord without Landlord’s Mortgagee’s consent pursuant to the terms of the loan documents between Landlord and Landlord’s Mortgagee; (5) subject to the defenses which Tenant might have against any prior lessor (including Landlord); and (6) subject to the offsets which Tenant might have against any prior lessor (including Landlord) except for those offset rights which (A) are expressly provided in this Lease, (B) relate to periods of time following the acquisition of the Building by Landlord’s Mortgagee, and (C) Tenant has provided written notice to Landlord’s Mortgagee and provided Landlord’s Mortgagee a reasonable opportunity to cure the event giving rise to such offset event. Landlord’s Mortgagee shall have no liability or responsibility under or pursuant to the terms of this Lease or otherwise after it ceases to own an interest in the Building. Nothing in this Lease shall be construed to require Landlord’s Mortgagee to see to the application of the proceeds of any loan, and Tenant’s agreements set forth herein shall not be impaired on account of any modification of the documents evidencing and securing any loan.</w:t>
      </w:r>
    </w:p>
    <w:p>
      <w:pPr>
        <w:spacing w:after="0" w:line="186" w:lineRule="exact"/>
        <w:rPr>
          <w:rFonts w:ascii="Times New Roman" w:cs="Times New Roman" w:eastAsia="Times New Roman" w:hAnsi="Times New Roman"/>
          <w:sz w:val="22"/>
          <w:szCs w:val="22"/>
          <w:color w:val="auto"/>
        </w:rPr>
      </w:pPr>
    </w:p>
    <w:p>
      <w:pPr>
        <w:jc w:val="both"/>
        <w:ind w:firstLine="656"/>
        <w:spacing w:after="0" w:line="249" w:lineRule="auto"/>
        <w:tabs>
          <w:tab w:leader="none" w:pos="11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Rules and Regulations</w:t>
      </w:r>
      <w:r>
        <w:rPr>
          <w:rFonts w:ascii="Times New Roman" w:cs="Times New Roman" w:eastAsia="Times New Roman" w:hAnsi="Times New Roman"/>
          <w:sz w:val="22"/>
          <w:szCs w:val="22"/>
          <w:color w:val="auto"/>
        </w:rPr>
        <w:t>. Tenant shall comply with the rules and regulations of the Building which are attached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Upon reasonable advance written notice to Tenant, Landlord may, from time to time, change such rules and regulations for the safety, care, or cleanliness of the Building and related facilities, provided that such changes are uniformly applied to all tenants of the Building, will not unreasonably interfere with Tenant’s use of the Premises and are enforced by Landlord in a non-discriminatory manner. Tenant shall be responsible for the compliance with such rules and regulations by each Tenant Party.</w:t>
      </w:r>
    </w:p>
    <w:p>
      <w:pPr>
        <w:spacing w:after="0" w:line="180" w:lineRule="exact"/>
        <w:rPr>
          <w:rFonts w:ascii="Times New Roman" w:cs="Times New Roman" w:eastAsia="Times New Roman" w:hAnsi="Times New Roman"/>
          <w:sz w:val="22"/>
          <w:szCs w:val="22"/>
          <w:color w:val="auto"/>
        </w:rPr>
      </w:pPr>
    </w:p>
    <w:p>
      <w:pPr>
        <w:ind w:left="1580" w:hanging="924"/>
        <w:spacing w:after="0"/>
        <w:tabs>
          <w:tab w:leader="none" w:pos="15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Condemnation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305"/>
        <w:spacing w:after="0" w:line="288" w:lineRule="auto"/>
        <w:tabs>
          <w:tab w:leader="none" w:pos="181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Total Taking</w:t>
      </w:r>
      <w:r>
        <w:rPr>
          <w:rFonts w:ascii="Times New Roman" w:cs="Times New Roman" w:eastAsia="Times New Roman" w:hAnsi="Times New Roman"/>
          <w:sz w:val="22"/>
          <w:szCs w:val="22"/>
          <w:color w:val="auto"/>
        </w:rPr>
        <w:t>. If the entire Building or Premises are taken by right of eminent domain or conveyed in lieu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(a “</w:t>
      </w:r>
      <w:r>
        <w:rPr>
          <w:rFonts w:ascii="Times New Roman" w:cs="Times New Roman" w:eastAsia="Times New Roman" w:hAnsi="Times New Roman"/>
          <w:sz w:val="22"/>
          <w:szCs w:val="22"/>
          <w:b w:val="1"/>
          <w:bCs w:val="1"/>
          <w:u w:val="single" w:color="auto"/>
          <w:color w:val="auto"/>
        </w:rPr>
        <w:t>Taking</w:t>
      </w:r>
      <w:r>
        <w:rPr>
          <w:rFonts w:ascii="Times New Roman" w:cs="Times New Roman" w:eastAsia="Times New Roman" w:hAnsi="Times New Roman"/>
          <w:sz w:val="22"/>
          <w:szCs w:val="22"/>
          <w:color w:val="auto"/>
        </w:rPr>
        <w:t>”), this Lease shall terminate as of the date of the Taking.</w:t>
      </w:r>
    </w:p>
    <w:p>
      <w:pPr>
        <w:spacing w:after="0" w:line="135" w:lineRule="exact"/>
        <w:rPr>
          <w:rFonts w:ascii="Times New Roman" w:cs="Times New Roman" w:eastAsia="Times New Roman" w:hAnsi="Times New Roman"/>
          <w:sz w:val="22"/>
          <w:szCs w:val="22"/>
          <w:color w:val="auto"/>
        </w:rPr>
      </w:pPr>
    </w:p>
    <w:p>
      <w:pPr>
        <w:jc w:val="both"/>
        <w:ind w:firstLine="1305"/>
        <w:spacing w:after="0" w:line="265" w:lineRule="auto"/>
        <w:tabs>
          <w:tab w:leader="none" w:pos="172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Partial Taking - Tenant’s Rights</w:t>
      </w:r>
      <w:r>
        <w:rPr>
          <w:rFonts w:ascii="Times New Roman" w:cs="Times New Roman" w:eastAsia="Times New Roman" w:hAnsi="Times New Roman"/>
          <w:sz w:val="22"/>
          <w:szCs w:val="22"/>
          <w:color w:val="auto"/>
        </w:rPr>
        <w:t>. If any part of the Building becomes subject to a Taking and such Taking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prevent Tenant from conducting its business in the Premises in a manner reasonably comparable to that conducted immediately before such Taking</w:t>
      </w:r>
    </w:p>
    <w:p>
      <w:pPr>
        <w:sectPr>
          <w:pgSz w:w="11900" w:h="16838" w:orient="portrait"/>
          <w:cols w:equalWidth="0" w:num="1">
            <w:col w:w="11420"/>
          </w:cols>
          <w:pgMar w:left="240" w:top="625" w:right="239" w:bottom="1440" w:gutter="0" w:footer="0" w:header="0"/>
        </w:sectPr>
      </w:pPr>
    </w:p>
    <w:bookmarkStart w:id="61" w:name="page62"/>
    <w:bookmarkEnd w:id="61"/>
    <w:p>
      <w:pPr>
        <w:jc w:val="both"/>
        <w:spacing w:after="0" w:line="249" w:lineRule="auto"/>
        <w:rPr>
          <w:sz w:val="20"/>
          <w:szCs w:val="20"/>
          <w:color w:val="auto"/>
        </w:rPr>
      </w:pPr>
      <w:r>
        <w:rPr>
          <w:rFonts w:ascii="Times New Roman" w:cs="Times New Roman" w:eastAsia="Times New Roman" w:hAnsi="Times New Roman"/>
          <w:sz w:val="22"/>
          <w:szCs w:val="22"/>
          <w:color w:val="auto"/>
        </w:rPr>
        <w:t>for a period of more than one hundred eighty (180) days, then Tenant may terminate this Lease as of the date of such Taking by giving written notice to Landlord within thirty (30) days after the Taking, and Rent shall be apportioned as of the date of such Taking. If Tenant does not terminate this Lease, then Rent shall be abated on a reasonable basis as to that portion of the Premises rendered untenantable by the Taking for the duration of the Taking. Anything in this Lease to the contrary notwithstanding, Tenant shall have the right to terminate this Lease after giving Landlord thirty (30) days’ prior written notice if a Taking occurs during the last twelve (12) months of the Term.</w:t>
      </w:r>
    </w:p>
    <w:p>
      <w:pPr>
        <w:spacing w:after="0" w:line="177" w:lineRule="exact"/>
        <w:rPr>
          <w:sz w:val="20"/>
          <w:szCs w:val="20"/>
          <w:color w:val="auto"/>
        </w:rPr>
      </w:pPr>
    </w:p>
    <w:p>
      <w:pPr>
        <w:jc w:val="both"/>
        <w:ind w:firstLine="1305"/>
        <w:spacing w:after="0" w:line="269" w:lineRule="auto"/>
        <w:tabs>
          <w:tab w:leader="none" w:pos="173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Partial Taking - Landlord’s Rights</w:t>
      </w:r>
      <w:r>
        <w:rPr>
          <w:rFonts w:ascii="Times New Roman" w:cs="Times New Roman" w:eastAsia="Times New Roman" w:hAnsi="Times New Roman"/>
          <w:sz w:val="21"/>
          <w:szCs w:val="21"/>
          <w:color w:val="auto"/>
        </w:rPr>
        <w:t>. If any material portion, but less than all, of the Building becomes subject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a Taking, or if Landlord is required to pay any of the proceeds arising from a Taking to a Landlord’s Mortgagee, then Landlord may terminate this Lease by delivering written notice thereof to Tenant within thirty (30) days after such Taking, and Rent shall be apportioned as of the date of such Taking. If Landlord does not so terminate this Lease, then this Lease will continue, provided; however, that if any portion of the Premises is subject to the Taking, then the provisions of </w:t>
      </w:r>
      <w:r>
        <w:rPr>
          <w:rFonts w:ascii="Times New Roman" w:cs="Times New Roman" w:eastAsia="Times New Roman" w:hAnsi="Times New Roman"/>
          <w:sz w:val="21"/>
          <w:szCs w:val="21"/>
          <w:u w:val="single" w:color="auto"/>
          <w:color w:val="auto"/>
        </w:rPr>
        <w:t>Section 13(b)</w:t>
      </w:r>
      <w:r>
        <w:rPr>
          <w:rFonts w:ascii="Times New Roman" w:cs="Times New Roman" w:eastAsia="Times New Roman" w:hAnsi="Times New Roman"/>
          <w:sz w:val="21"/>
          <w:szCs w:val="21"/>
          <w:color w:val="auto"/>
        </w:rPr>
        <w:t xml:space="preserve"> shall apply.</w:t>
      </w:r>
    </w:p>
    <w:p>
      <w:pPr>
        <w:spacing w:after="0" w:line="159" w:lineRule="exact"/>
        <w:rPr>
          <w:rFonts w:ascii="Times New Roman" w:cs="Times New Roman" w:eastAsia="Times New Roman" w:hAnsi="Times New Roman"/>
          <w:sz w:val="21"/>
          <w:szCs w:val="21"/>
          <w:color w:val="auto"/>
        </w:rPr>
      </w:pPr>
    </w:p>
    <w:p>
      <w:pPr>
        <w:jc w:val="both"/>
        <w:ind w:firstLine="1305"/>
        <w:spacing w:after="0" w:line="258" w:lineRule="auto"/>
        <w:tabs>
          <w:tab w:leader="none" w:pos="174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color w:val="auto"/>
        </w:rPr>
        <w:t>. If any Taking occurs, then Landlord shall receive the entire award or other compensation for the Land,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Building, and other improvements taken; however, Tenant may separately pursue a claim (to the extent it will not reduce Landlord’s award) against the condemnor for the value of Tenant’s personal property which Tenant is entitled to remove under this Lease, moving costs, loss of business, and other claims it may have.</w:t>
      </w:r>
    </w:p>
    <w:p>
      <w:pPr>
        <w:spacing w:after="0" w:line="168" w:lineRule="exact"/>
        <w:rPr>
          <w:rFonts w:ascii="Times New Roman" w:cs="Times New Roman" w:eastAsia="Times New Roman" w:hAnsi="Times New Roman"/>
          <w:sz w:val="22"/>
          <w:szCs w:val="22"/>
          <w:color w:val="auto"/>
        </w:rPr>
      </w:pPr>
    </w:p>
    <w:p>
      <w:pPr>
        <w:ind w:left="1580" w:hanging="924"/>
        <w:spacing w:after="0"/>
        <w:tabs>
          <w:tab w:leader="none" w:pos="15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Fire or Other Casualty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5"/>
        <w:spacing w:after="0" w:line="265" w:lineRule="auto"/>
        <w:tabs>
          <w:tab w:leader="none" w:pos="175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Repair Estimate</w:t>
      </w:r>
      <w:r>
        <w:rPr>
          <w:rFonts w:ascii="Times New Roman" w:cs="Times New Roman" w:eastAsia="Times New Roman" w:hAnsi="Times New Roman"/>
          <w:sz w:val="22"/>
          <w:szCs w:val="22"/>
          <w:color w:val="auto"/>
        </w:rPr>
        <w:t>. If the Project is damaged by fire or other casualty (a “</w:t>
      </w:r>
      <w:r>
        <w:rPr>
          <w:rFonts w:ascii="Times New Roman" w:cs="Times New Roman" w:eastAsia="Times New Roman" w:hAnsi="Times New Roman"/>
          <w:sz w:val="22"/>
          <w:szCs w:val="22"/>
          <w:b w:val="1"/>
          <w:bCs w:val="1"/>
          <w:u w:val="single" w:color="auto"/>
          <w:color w:val="auto"/>
        </w:rPr>
        <w:t>Casualty</w:t>
      </w:r>
      <w:r>
        <w:rPr>
          <w:rFonts w:ascii="Times New Roman" w:cs="Times New Roman" w:eastAsia="Times New Roman" w:hAnsi="Times New Roman"/>
          <w:sz w:val="22"/>
          <w:szCs w:val="22"/>
          <w:color w:val="auto"/>
        </w:rPr>
        <w:t>”), Landlord shall use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faith efforts to deliver to Tenant within sixty (60) days after such Casualty a good faith estimate (the “</w:t>
      </w:r>
      <w:r>
        <w:rPr>
          <w:rFonts w:ascii="Times New Roman" w:cs="Times New Roman" w:eastAsia="Times New Roman" w:hAnsi="Times New Roman"/>
          <w:sz w:val="22"/>
          <w:szCs w:val="22"/>
          <w:b w:val="1"/>
          <w:bCs w:val="1"/>
          <w:u w:val="single" w:color="auto"/>
          <w:color w:val="auto"/>
        </w:rPr>
        <w:t>Damage Notice</w:t>
      </w:r>
      <w:r>
        <w:rPr>
          <w:rFonts w:ascii="Times New Roman" w:cs="Times New Roman" w:eastAsia="Times New Roman" w:hAnsi="Times New Roman"/>
          <w:sz w:val="22"/>
          <w:szCs w:val="22"/>
          <w:color w:val="auto"/>
        </w:rPr>
        <w:t>”) of the time needed to repair the damage caused by such Casualty.</w:t>
      </w:r>
    </w:p>
    <w:p>
      <w:pPr>
        <w:spacing w:after="0" w:line="161"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83"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Tenant’s Rights</w:t>
      </w:r>
      <w:r>
        <w:rPr>
          <w:rFonts w:ascii="Times New Roman" w:cs="Times New Roman" w:eastAsia="Times New Roman" w:hAnsi="Times New Roman"/>
          <w:sz w:val="22"/>
          <w:szCs w:val="22"/>
          <w:color w:val="auto"/>
        </w:rPr>
        <w:t>. If a material portion of the Premises is damaged by Casualty such that Tenant is prevented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conducting its business in the Premises in a manner reasonably comparable to that conducted immediately before such Casualty and Landlord estimates that the damage caused thereby cannot be repaired within one hundred eighty (180) days after the commencement of repairs (the “</w:t>
      </w:r>
      <w:r>
        <w:rPr>
          <w:rFonts w:ascii="Times New Roman" w:cs="Times New Roman" w:eastAsia="Times New Roman" w:hAnsi="Times New Roman"/>
          <w:sz w:val="22"/>
          <w:szCs w:val="22"/>
          <w:b w:val="1"/>
          <w:bCs w:val="1"/>
          <w:u w:val="single" w:color="auto"/>
          <w:color w:val="auto"/>
        </w:rPr>
        <w:t>Repair Period</w:t>
      </w:r>
      <w:r>
        <w:rPr>
          <w:rFonts w:ascii="Times New Roman" w:cs="Times New Roman" w:eastAsia="Times New Roman" w:hAnsi="Times New Roman"/>
          <w:sz w:val="22"/>
          <w:szCs w:val="22"/>
          <w:color w:val="auto"/>
        </w:rPr>
        <w:t>”), then Tenant may terminate this Lease by delivering written notice to Landlord of its election to terminate within thirty (30) days after the Damage Notice has been delivered to Tenant. Anything in this Lease to the contrary notwithstanding, Tenant shall have the right to terminate this Lease after giving Landlord thirty (30) day’s prior written notice if any Casualty occurs during the last twelve (12) months of the Term.</w:t>
      </w:r>
    </w:p>
    <w:p>
      <w:pPr>
        <w:spacing w:after="0" w:line="181" w:lineRule="exact"/>
        <w:rPr>
          <w:rFonts w:ascii="Times New Roman" w:cs="Times New Roman" w:eastAsia="Times New Roman" w:hAnsi="Times New Roman"/>
          <w:sz w:val="22"/>
          <w:szCs w:val="22"/>
          <w:color w:val="auto"/>
        </w:rPr>
      </w:pPr>
    </w:p>
    <w:p>
      <w:pPr>
        <w:jc w:val="both"/>
        <w:ind w:firstLine="1305"/>
        <w:spacing w:after="0" w:line="252" w:lineRule="auto"/>
        <w:tabs>
          <w:tab w:leader="none" w:pos="173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Landlord’s Rights</w:t>
      </w:r>
      <w:r>
        <w:rPr>
          <w:rFonts w:ascii="Times New Roman" w:cs="Times New Roman" w:eastAsia="Times New Roman" w:hAnsi="Times New Roman"/>
          <w:sz w:val="22"/>
          <w:szCs w:val="22"/>
          <w:color w:val="auto"/>
        </w:rPr>
        <w:t>. If a Casualty damages the Premises or a material portion of the Building and: (1) Landlord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estimates that the damage to the Premises cannot be repaired within the Repair Period; and (2) the damage to the Premises exceeds fifty percent (50%) of the replacement cost thereof (excluding foundations and footings), as reasonably estimated by Landlord, and such damage occurs during the last two (2) years of the Term; (3) regardless of the extent of damage to the Premises, Landlord makes good faith determination that restoring the Building would be uneconomical; or (4) Landlord is required to pay all insurance proceeds arising</w:t>
      </w:r>
    </w:p>
    <w:p>
      <w:pPr>
        <w:sectPr>
          <w:pgSz w:w="11900" w:h="16838" w:orient="portrait"/>
          <w:cols w:equalWidth="0" w:num="1">
            <w:col w:w="11420"/>
          </w:cols>
          <w:pgMar w:left="240" w:top="625" w:right="239" w:bottom="1440" w:gutter="0" w:footer="0" w:header="0"/>
        </w:sectPr>
      </w:pPr>
    </w:p>
    <w:bookmarkStart w:id="62" w:name="page63"/>
    <w:bookmarkEnd w:id="62"/>
    <w:p>
      <w:pPr>
        <w:spacing w:after="0" w:line="271" w:lineRule="auto"/>
        <w:rPr>
          <w:sz w:val="20"/>
          <w:szCs w:val="20"/>
          <w:color w:val="auto"/>
        </w:rPr>
      </w:pPr>
      <w:r>
        <w:rPr>
          <w:rFonts w:ascii="Times New Roman" w:cs="Times New Roman" w:eastAsia="Times New Roman" w:hAnsi="Times New Roman"/>
          <w:sz w:val="22"/>
          <w:szCs w:val="22"/>
          <w:color w:val="auto"/>
        </w:rPr>
        <w:t>out of the Casualty to a Landlord’s Mortgagee, then Landlord may terminate this Lease by giving written notice of its election to terminate within thirty (30) days after the Damage Notice has been delivered to Tenant.</w:t>
      </w:r>
    </w:p>
    <w:p>
      <w:pPr>
        <w:spacing w:after="0" w:line="154" w:lineRule="exact"/>
        <w:rPr>
          <w:sz w:val="20"/>
          <w:szCs w:val="20"/>
          <w:color w:val="auto"/>
        </w:rPr>
      </w:pPr>
    </w:p>
    <w:p>
      <w:pPr>
        <w:jc w:val="both"/>
        <w:ind w:firstLine="1305"/>
        <w:spacing w:after="0" w:line="246" w:lineRule="auto"/>
        <w:tabs>
          <w:tab w:leader="none" w:pos="1796"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Repair Obligation</w:t>
      </w:r>
      <w:r>
        <w:rPr>
          <w:rFonts w:ascii="Times New Roman" w:cs="Times New Roman" w:eastAsia="Times New Roman" w:hAnsi="Times New Roman"/>
          <w:sz w:val="22"/>
          <w:szCs w:val="22"/>
          <w:color w:val="auto"/>
        </w:rPr>
        <w:t>. If neither party elects to terminate this Lease following a Casualty, then Landlord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within a reasonable time after such Casualty, begin to repair the Premises and shall proceed with reasonable diligence to restore the Premises to substantially the same condition as they existed immediately before such Casualty; however, other than building standard leasehold improvements Landlord shall not be required to repair or replace any Alterations or betterments within the Premises that are required to be insured by Tenant (which shall be promptly and with due diligence repaired and restored by Tenant at Tenant’s sole cost and expense) or any furniture, equipment, trade fixtures or personal property of Tenant or others in the Premises or the Building, and Landlord’s obligation to repair or restore the Premises shall be limited to the extent of the insurance proceeds actually received by Landlord for the Casualty in question. If Landlord fails to complete repairs to the Premises within one hundred eighty (180) days of the date of the casualty, subject to force majeure delays, then Tenant shall have the right to terminate the Lease upon written notice delivered to Landlord at any time after such one hundred eighty (180) day period and prior to Landlord’s Substantial Completion of such repairs. If this Lease is terminated under the provisions of this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Landlord shall be entitled to the full proceeds of the insurance policies providing coverage for all Alterations, improvements and betterments in the Premises (and, if Tenant has failed to maintain insurance on such items as required by this Lease, Tenant shall pay Landlord an amount equal to the proceeds Landlord would have received had Tenant maintained insurance on such items as required by this Lease).</w:t>
      </w:r>
    </w:p>
    <w:p>
      <w:pPr>
        <w:spacing w:after="0" w:line="189" w:lineRule="exact"/>
        <w:rPr>
          <w:rFonts w:ascii="Times New Roman" w:cs="Times New Roman" w:eastAsia="Times New Roman" w:hAnsi="Times New Roman"/>
          <w:sz w:val="22"/>
          <w:szCs w:val="22"/>
          <w:color w:val="auto"/>
        </w:rPr>
      </w:pPr>
    </w:p>
    <w:p>
      <w:pPr>
        <w:jc w:val="both"/>
        <w:ind w:firstLine="1305"/>
        <w:spacing w:after="0" w:line="259" w:lineRule="auto"/>
        <w:tabs>
          <w:tab w:leader="none" w:pos="179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Abatement of Rent</w:t>
      </w:r>
      <w:r>
        <w:rPr>
          <w:rFonts w:ascii="Times New Roman" w:cs="Times New Roman" w:eastAsia="Times New Roman" w:hAnsi="Times New Roman"/>
          <w:sz w:val="22"/>
          <w:szCs w:val="22"/>
          <w:color w:val="auto"/>
        </w:rPr>
        <w:t>. If the Premises are damaged by Casualty, Rent for the portion of the Premises rendered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untenantable by the damage shall be abated on a reasonable basis from the date of damage until the completion of Landlord’s repairs (or until the date of termination of this Lease by Landlord or Tenant as provided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as the case may be).</w:t>
      </w:r>
    </w:p>
    <w:p>
      <w:pPr>
        <w:spacing w:after="0" w:line="166" w:lineRule="exact"/>
        <w:rPr>
          <w:rFonts w:ascii="Times New Roman" w:cs="Times New Roman" w:eastAsia="Times New Roman" w:hAnsi="Times New Roman"/>
          <w:sz w:val="22"/>
          <w:szCs w:val="22"/>
          <w:color w:val="auto"/>
        </w:rPr>
      </w:pPr>
    </w:p>
    <w:p>
      <w:pPr>
        <w:jc w:val="both"/>
        <w:ind w:firstLine="656"/>
        <w:spacing w:after="0" w:line="249" w:lineRule="auto"/>
        <w:tabs>
          <w:tab w:leader="none" w:pos="156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Personal Property Taxes</w:t>
      </w:r>
      <w:r>
        <w:rPr>
          <w:rFonts w:ascii="Times New Roman" w:cs="Times New Roman" w:eastAsia="Times New Roman" w:hAnsi="Times New Roman"/>
          <w:sz w:val="22"/>
          <w:szCs w:val="22"/>
          <w:color w:val="auto"/>
        </w:rPr>
        <w:t>. Tenant shall be liable for all taxes levied or assessed against personal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furniture, or fixtures placed by Tenant in the Premises or in or on the Project. 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thirty (30) days following written request therefor, the part of such taxes for which Tenant is primarily liable hereunder.</w:t>
      </w:r>
    </w:p>
    <w:p>
      <w:pPr>
        <w:spacing w:after="0" w:line="180" w:lineRule="exact"/>
        <w:rPr>
          <w:rFonts w:ascii="Times New Roman" w:cs="Times New Roman" w:eastAsia="Times New Roman" w:hAnsi="Times New Roman"/>
          <w:sz w:val="22"/>
          <w:szCs w:val="22"/>
          <w:color w:val="auto"/>
        </w:rPr>
      </w:pPr>
    </w:p>
    <w:p>
      <w:pPr>
        <w:ind w:left="1580" w:hanging="924"/>
        <w:spacing w:after="0"/>
        <w:tabs>
          <w:tab w:leader="none" w:pos="15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Events of Default</w:t>
      </w:r>
      <w:r>
        <w:rPr>
          <w:rFonts w:ascii="Times New Roman" w:cs="Times New Roman" w:eastAsia="Times New Roman" w:hAnsi="Times New Roman"/>
          <w:sz w:val="22"/>
          <w:szCs w:val="22"/>
          <w:color w:val="auto"/>
        </w:rPr>
        <w:t>. Each of the following occurrences shall be an “</w:t>
      </w:r>
      <w:r>
        <w:rPr>
          <w:rFonts w:ascii="Times New Roman" w:cs="Times New Roman" w:eastAsia="Times New Roman" w:hAnsi="Times New Roman"/>
          <w:sz w:val="22"/>
          <w:szCs w:val="22"/>
          <w:b w:val="1"/>
          <w:bCs w:val="1"/>
          <w:u w:val="single" w:color="auto"/>
          <w:color w:val="auto"/>
        </w:rPr>
        <w:t>Event of Default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 Default</w:t>
      </w:r>
      <w:r>
        <w:rPr>
          <w:rFonts w:ascii="Times New Roman" w:cs="Times New Roman" w:eastAsia="Times New Roman" w:hAnsi="Times New Roman"/>
          <w:sz w:val="22"/>
          <w:szCs w:val="22"/>
          <w:color w:val="auto"/>
        </w:rPr>
        <w:t>. Tenant’s failure to pay Rent within five (5) Business Days after the same is due;</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Intentionally Omitted</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625" w:right="239" w:bottom="1440" w:gutter="0" w:footer="0" w:header="0"/>
        </w:sectPr>
      </w:pPr>
    </w:p>
    <w:bookmarkStart w:id="63" w:name="page64"/>
    <w:bookmarkEnd w:id="63"/>
    <w:p>
      <w:pPr>
        <w:jc w:val="both"/>
        <w:ind w:left="-8" w:firstLine="1305"/>
        <w:spacing w:after="0" w:line="265" w:lineRule="auto"/>
        <w:tabs>
          <w:tab w:leader="none" w:pos="1843"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Estoppel</w:t>
      </w:r>
      <w:r>
        <w:rPr>
          <w:rFonts w:ascii="Times New Roman" w:cs="Times New Roman" w:eastAsia="Times New Roman" w:hAnsi="Times New Roman"/>
          <w:sz w:val="22"/>
          <w:szCs w:val="22"/>
          <w:color w:val="auto"/>
        </w:rPr>
        <w:t>. Tenant fails to provide: (i) any estoppel certificate after Landlord’s written request therefor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25(e);</w:t>
      </w:r>
      <w:r>
        <w:rPr>
          <w:rFonts w:ascii="Times New Roman" w:cs="Times New Roman" w:eastAsia="Times New Roman" w:hAnsi="Times New Roman"/>
          <w:sz w:val="22"/>
          <w:szCs w:val="22"/>
          <w:color w:val="auto"/>
        </w:rPr>
        <w:t xml:space="preserve"> or (ii) any financial statement after Landlord’s written request therefor pursuant to </w:t>
      </w:r>
      <w:r>
        <w:rPr>
          <w:rFonts w:ascii="Times New Roman" w:cs="Times New Roman" w:eastAsia="Times New Roman" w:hAnsi="Times New Roman"/>
          <w:sz w:val="22"/>
          <w:szCs w:val="22"/>
          <w:u w:val="single" w:color="auto"/>
          <w:color w:val="auto"/>
        </w:rPr>
        <w:t>Section 25(q)</w:t>
      </w:r>
      <w:r>
        <w:rPr>
          <w:rFonts w:ascii="Times New Roman" w:cs="Times New Roman" w:eastAsia="Times New Roman" w:hAnsi="Times New Roman"/>
          <w:sz w:val="22"/>
          <w:szCs w:val="22"/>
          <w:color w:val="auto"/>
        </w:rPr>
        <w:t>, and such failure shall continue for five (5) Business Days after Landlord’s second (2nd) written notice thereof to Tenant;</w:t>
      </w:r>
    </w:p>
    <w:p>
      <w:pPr>
        <w:spacing w:after="0" w:line="161" w:lineRule="exact"/>
        <w:rPr>
          <w:rFonts w:ascii="Times New Roman" w:cs="Times New Roman" w:eastAsia="Times New Roman" w:hAnsi="Times New Roman"/>
          <w:sz w:val="22"/>
          <w:szCs w:val="22"/>
          <w:color w:val="auto"/>
        </w:rPr>
      </w:pPr>
    </w:p>
    <w:p>
      <w:pPr>
        <w:ind w:left="-8" w:right="20" w:firstLine="1305"/>
        <w:spacing w:after="0" w:line="288" w:lineRule="auto"/>
        <w:tabs>
          <w:tab w:leader="none" w:pos="1802"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 Tenant fails to procure, maintain and deliver to Landlord evidence of the insurance policies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coverages as required under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w:t>
      </w:r>
    </w:p>
    <w:p>
      <w:pPr>
        <w:spacing w:after="0" w:line="135" w:lineRule="exact"/>
        <w:rPr>
          <w:rFonts w:ascii="Times New Roman" w:cs="Times New Roman" w:eastAsia="Times New Roman" w:hAnsi="Times New Roman"/>
          <w:sz w:val="22"/>
          <w:szCs w:val="22"/>
          <w:color w:val="auto"/>
        </w:rPr>
      </w:pPr>
    </w:p>
    <w:p>
      <w:pPr>
        <w:jc w:val="both"/>
        <w:ind w:left="-8" w:firstLine="1305"/>
        <w:spacing w:after="0" w:line="265" w:lineRule="auto"/>
        <w:tabs>
          <w:tab w:leader="none" w:pos="1857"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Mechanic’s Liens</w:t>
      </w:r>
      <w:r>
        <w:rPr>
          <w:rFonts w:ascii="Times New Roman" w:cs="Times New Roman" w:eastAsia="Times New Roman" w:hAnsi="Times New Roman"/>
          <w:sz w:val="22"/>
          <w:szCs w:val="22"/>
          <w:color w:val="auto"/>
        </w:rPr>
        <w:t>. Tenant fails to pay and release of record, or diligently contest and bond around,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mechanic’s lien filed against the Premises or the Project for any work performed, materials furnished, or obligation incurred by or at the request of Tenant, within the time and in the manner required by </w:t>
      </w:r>
      <w:r>
        <w:rPr>
          <w:rFonts w:ascii="Times New Roman" w:cs="Times New Roman" w:eastAsia="Times New Roman" w:hAnsi="Times New Roman"/>
          <w:sz w:val="22"/>
          <w:szCs w:val="22"/>
          <w:u w:val="single" w:color="auto"/>
          <w:color w:val="auto"/>
        </w:rPr>
        <w:t>Section 7(c)</w:t>
      </w:r>
      <w:r>
        <w:rPr>
          <w:rFonts w:ascii="Times New Roman" w:cs="Times New Roman" w:eastAsia="Times New Roman" w:hAnsi="Times New Roman"/>
          <w:sz w:val="22"/>
          <w:szCs w:val="22"/>
          <w:color w:val="auto"/>
        </w:rPr>
        <w:t>;</w:t>
      </w:r>
    </w:p>
    <w:p>
      <w:pPr>
        <w:spacing w:after="0" w:line="161" w:lineRule="exact"/>
        <w:rPr>
          <w:rFonts w:ascii="Times New Roman" w:cs="Times New Roman" w:eastAsia="Times New Roman" w:hAnsi="Times New Roman"/>
          <w:sz w:val="22"/>
          <w:szCs w:val="22"/>
          <w:color w:val="auto"/>
        </w:rPr>
      </w:pPr>
    </w:p>
    <w:p>
      <w:pPr>
        <w:jc w:val="both"/>
        <w:ind w:left="-8" w:firstLine="1305"/>
        <w:spacing w:after="0" w:line="265" w:lineRule="auto"/>
        <w:tabs>
          <w:tab w:leader="none" w:pos="1779"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Defaults</w:t>
      </w:r>
      <w:r>
        <w:rPr>
          <w:rFonts w:ascii="Times New Roman" w:cs="Times New Roman" w:eastAsia="Times New Roman" w:hAnsi="Times New Roman"/>
          <w:sz w:val="22"/>
          <w:szCs w:val="22"/>
          <w:color w:val="auto"/>
        </w:rPr>
        <w:t>. Tenant’s failure to perform, comply with, or observe any other agreement or obligation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under this Lease and the continuance of such failure for a period of thirty (30) calendar days or more after Landlord has delivered to Tenant written notice thereof; and</w:t>
      </w:r>
    </w:p>
    <w:p>
      <w:pPr>
        <w:spacing w:after="0" w:line="161" w:lineRule="exact"/>
        <w:rPr>
          <w:rFonts w:ascii="Times New Roman" w:cs="Times New Roman" w:eastAsia="Times New Roman" w:hAnsi="Times New Roman"/>
          <w:sz w:val="22"/>
          <w:szCs w:val="22"/>
          <w:color w:val="auto"/>
        </w:rPr>
      </w:pPr>
    </w:p>
    <w:p>
      <w:pPr>
        <w:ind w:left="1732" w:hanging="435"/>
        <w:spacing w:after="0"/>
        <w:tabs>
          <w:tab w:leader="none" w:pos="1732" w:val="left"/>
        </w:tabs>
        <w:numPr>
          <w:ilvl w:val="2"/>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Insolvency</w:t>
      </w:r>
      <w:r>
        <w:rPr>
          <w:rFonts w:ascii="Times New Roman" w:cs="Times New Roman" w:eastAsia="Times New Roman" w:hAnsi="Times New Roman"/>
          <w:sz w:val="21"/>
          <w:szCs w:val="21"/>
          <w:color w:val="auto"/>
        </w:rPr>
        <w:t>. The filing of a petition by or against Tenant: (1) in any bankruptcy or other insolvency proceeding;</w:t>
      </w:r>
    </w:p>
    <w:p>
      <w:pPr>
        <w:spacing w:after="0" w:line="45" w:lineRule="exact"/>
        <w:rPr>
          <w:rFonts w:ascii="Times New Roman" w:cs="Times New Roman" w:eastAsia="Times New Roman" w:hAnsi="Times New Roman"/>
          <w:sz w:val="21"/>
          <w:szCs w:val="21"/>
          <w:color w:val="auto"/>
        </w:rPr>
      </w:pPr>
    </w:p>
    <w:p>
      <w:pPr>
        <w:jc w:val="both"/>
        <w:ind w:left="-8" w:firstLine="8"/>
        <w:spacing w:after="0" w:line="264" w:lineRule="auto"/>
        <w:tabs>
          <w:tab w:leader="none" w:pos="32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any relief under any state or federal debtor relief law; (3) for the appointment of a liquidator or receiver for all or substantially all of Tenant’s property or for Tenant’s interest in this Lease; or (4) for the reorganization or modification of Tenant’s capital structure; however, if such a petition is filed against Tenant, then such filing shall not be an Event of Default unless Tenant fails to have the proceedings initiated by such petition dismissed within sixty (60) calendar days after the filing thereof.</w:t>
      </w:r>
    </w:p>
    <w:p>
      <w:pPr>
        <w:spacing w:after="0" w:line="163" w:lineRule="exact"/>
        <w:rPr>
          <w:rFonts w:ascii="Times New Roman" w:cs="Times New Roman" w:eastAsia="Times New Roman" w:hAnsi="Times New Roman"/>
          <w:sz w:val="21"/>
          <w:szCs w:val="21"/>
          <w:color w:val="auto"/>
        </w:rPr>
      </w:pPr>
    </w:p>
    <w:p>
      <w:pPr>
        <w:ind w:left="-8" w:firstLine="656"/>
        <w:spacing w:after="0" w:line="275" w:lineRule="auto"/>
        <w:tabs>
          <w:tab w:leader="none" w:pos="1559"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any Event of Default, Landlord may, in addition to all other rights and remedies afforded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hereunder or by law or equity, take any one or more of the following actions:</w:t>
      </w:r>
    </w:p>
    <w:p>
      <w:pPr>
        <w:spacing w:after="0" w:line="149" w:lineRule="exact"/>
        <w:rPr>
          <w:rFonts w:ascii="Times New Roman" w:cs="Times New Roman" w:eastAsia="Times New Roman" w:hAnsi="Times New Roman"/>
          <w:sz w:val="22"/>
          <w:szCs w:val="22"/>
          <w:color w:val="auto"/>
        </w:rPr>
      </w:pPr>
    </w:p>
    <w:p>
      <w:pPr>
        <w:jc w:val="both"/>
        <w:ind w:left="-8" w:firstLine="1305"/>
        <w:spacing w:after="0" w:line="265" w:lineRule="auto"/>
        <w:tabs>
          <w:tab w:leader="none" w:pos="1776"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Lease</w:t>
      </w:r>
      <w:r>
        <w:rPr>
          <w:rFonts w:ascii="Times New Roman" w:cs="Times New Roman" w:eastAsia="Times New Roman" w:hAnsi="Times New Roman"/>
          <w:sz w:val="22"/>
          <w:szCs w:val="22"/>
          <w:color w:val="auto"/>
        </w:rPr>
        <w:t>. Terminate this Lease by giving Tenant written notice thereof, in which event Tenant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pay to Landlord the sum of: (1) all Rent accrued hereunder through the date of termination; and (2) all amounts due under </w:t>
      </w:r>
      <w:r>
        <w:rPr>
          <w:rFonts w:ascii="Times New Roman" w:cs="Times New Roman" w:eastAsia="Times New Roman" w:hAnsi="Times New Roman"/>
          <w:sz w:val="22"/>
          <w:szCs w:val="22"/>
          <w:u w:val="single" w:color="auto"/>
          <w:color w:val="auto"/>
        </w:rPr>
        <w:t>Section 18(a)</w:t>
      </w:r>
      <w:r>
        <w:rPr>
          <w:rFonts w:ascii="Times New Roman" w:cs="Times New Roman" w:eastAsia="Times New Roman" w:hAnsi="Times New Roman"/>
          <w:sz w:val="22"/>
          <w:szCs w:val="22"/>
          <w:color w:val="auto"/>
        </w:rPr>
        <w:t>.</w:t>
      </w:r>
    </w:p>
    <w:p>
      <w:pPr>
        <w:spacing w:after="0" w:line="161" w:lineRule="exact"/>
        <w:rPr>
          <w:rFonts w:ascii="Times New Roman" w:cs="Times New Roman" w:eastAsia="Times New Roman" w:hAnsi="Times New Roman"/>
          <w:sz w:val="22"/>
          <w:szCs w:val="22"/>
          <w:color w:val="auto"/>
        </w:rPr>
      </w:pPr>
    </w:p>
    <w:p>
      <w:pPr>
        <w:jc w:val="both"/>
        <w:ind w:left="-8" w:firstLine="1305"/>
        <w:spacing w:after="0" w:line="248" w:lineRule="auto"/>
        <w:tabs>
          <w:tab w:leader="none" w:pos="1720"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Possession</w:t>
      </w:r>
      <w:r>
        <w:rPr>
          <w:rFonts w:ascii="Times New Roman" w:cs="Times New Roman" w:eastAsia="Times New Roman" w:hAnsi="Times New Roman"/>
          <w:sz w:val="22"/>
          <w:szCs w:val="22"/>
          <w:color w:val="auto"/>
        </w:rPr>
        <w:t>. Terminate Tenant’s right to possess the Premises without terminating this Lease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giving written notice thereof to Tenant, in which event Tenant shall pay to Landlord: (1) all Rent and other amounts accrued hereunder to the date of termination of possession; (2) all amounts due from time to time under </w:t>
      </w:r>
      <w:r>
        <w:rPr>
          <w:rFonts w:ascii="Times New Roman" w:cs="Times New Roman" w:eastAsia="Times New Roman" w:hAnsi="Times New Roman"/>
          <w:sz w:val="22"/>
          <w:szCs w:val="22"/>
          <w:u w:val="single" w:color="auto"/>
          <w:color w:val="auto"/>
        </w:rPr>
        <w:t>Section 17(a)</w:t>
      </w:r>
      <w:r>
        <w:rPr>
          <w:rFonts w:ascii="Times New Roman" w:cs="Times New Roman" w:eastAsia="Times New Roman" w:hAnsi="Times New Roman"/>
          <w:sz w:val="22"/>
          <w:szCs w:val="22"/>
          <w:color w:val="auto"/>
        </w:rPr>
        <w:t xml:space="preserve">; and (3) all Rent and other net sums required hereunder to be paid by Tenant during the remainder of the Term, diminished by any net sums thereafter received by Landlord through reletting the Premises during such period, after deducting all reasonable and documented costs incurred by Landlord in reletting the Premises. If Landlord elects to proceed under this </w:t>
      </w:r>
      <w:r>
        <w:rPr>
          <w:rFonts w:ascii="Times New Roman" w:cs="Times New Roman" w:eastAsia="Times New Roman" w:hAnsi="Times New Roman"/>
          <w:sz w:val="22"/>
          <w:szCs w:val="22"/>
          <w:u w:val="single" w:color="auto"/>
          <w:color w:val="auto"/>
        </w:rPr>
        <w:t>Section 17(b)</w:t>
      </w:r>
      <w:r>
        <w:rPr>
          <w:rFonts w:ascii="Times New Roman" w:cs="Times New Roman" w:eastAsia="Times New Roman" w:hAnsi="Times New Roman"/>
          <w:sz w:val="22"/>
          <w:szCs w:val="22"/>
          <w:color w:val="auto"/>
        </w:rPr>
        <w:t>, Landlord may remove all of Tenant’s property from the Premises and store the same in a public warehouse or elsewhere at the cost of, and for the account of, Tenant, without becoming liable for any loss or damage which may be occasioned thereby. Landlord shall use commercially reasonable efforts to relet the Premises on such terms as Landlord in its sole discretion may determine (including a term different from the</w:t>
      </w:r>
    </w:p>
    <w:p>
      <w:pPr>
        <w:sectPr>
          <w:pgSz w:w="11900" w:h="16838" w:orient="portrait"/>
          <w:cols w:equalWidth="0" w:num="1">
            <w:col w:w="11412"/>
          </w:cols>
          <w:pgMar w:left="248" w:top="621" w:right="239" w:bottom="1440" w:gutter="0" w:footer="0" w:header="0"/>
        </w:sectPr>
      </w:pPr>
    </w:p>
    <w:bookmarkStart w:id="64" w:name="page65"/>
    <w:bookmarkEnd w:id="64"/>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Term, rental concessions, and alterations to, and improvement of, the Premises); however, Landlord shall not be obligated to expend funds in connection with reletting the Premises, nor to relet the Premises before leasing other portions of the Building or Complex, as applicable, and Landlord shall not be obligated to accept any prospective tenant proposed by Tenant unless such proposed tenant meets all of Landlord’s standard leasing criteria. Landlord shall not be liable for, nor shall Tenant’s obligations hereunder be diminished because of, Landlord’s failure to relet the Premises or to collect rent due for such reletting. Tenant shall not be entitled to the excess of any consideration obtained by reletting over the Rent due hereunder. Reentry by Landlord in the Premises shall not affect Tenant’s obligations hereunder for the unexpired Term; rather, Landlord may, from time to time, bring an action against Tenant to collect amounts due by Tenant, without the necessity of Landlord’s waiting until the expiration of the Term. Unless Landlord delivers written notice to Tenant expressly stating that it has elected to terminate this Lease, all actions taken by Landlord to dispossess or exclude Tenant from the Premises shall be deemed to be taken under this </w:t>
      </w:r>
      <w:r>
        <w:rPr>
          <w:rFonts w:ascii="Times New Roman" w:cs="Times New Roman" w:eastAsia="Times New Roman" w:hAnsi="Times New Roman"/>
          <w:sz w:val="22"/>
          <w:szCs w:val="22"/>
          <w:u w:val="single" w:color="auto"/>
          <w:color w:val="auto"/>
        </w:rPr>
        <w:t>Section 17(b)</w:t>
      </w:r>
      <w:r>
        <w:rPr>
          <w:rFonts w:ascii="Times New Roman" w:cs="Times New Roman" w:eastAsia="Times New Roman" w:hAnsi="Times New Roman"/>
          <w:sz w:val="22"/>
          <w:szCs w:val="22"/>
          <w:color w:val="auto"/>
        </w:rPr>
        <w:t xml:space="preserve">. If Landlord elects to proceed under this </w:t>
      </w:r>
      <w:r>
        <w:rPr>
          <w:rFonts w:ascii="Times New Roman" w:cs="Times New Roman" w:eastAsia="Times New Roman" w:hAnsi="Times New Roman"/>
          <w:sz w:val="22"/>
          <w:szCs w:val="22"/>
          <w:u w:val="single" w:color="auto"/>
          <w:color w:val="auto"/>
        </w:rPr>
        <w:t>Section 17(b)</w:t>
      </w:r>
      <w:r>
        <w:rPr>
          <w:rFonts w:ascii="Times New Roman" w:cs="Times New Roman" w:eastAsia="Times New Roman" w:hAnsi="Times New Roman"/>
          <w:sz w:val="22"/>
          <w:szCs w:val="22"/>
          <w:color w:val="auto"/>
        </w:rPr>
        <w:t xml:space="preserve">, it may at any time elect to terminate this Lease under </w:t>
      </w:r>
      <w:r>
        <w:rPr>
          <w:rFonts w:ascii="Times New Roman" w:cs="Times New Roman" w:eastAsia="Times New Roman" w:hAnsi="Times New Roman"/>
          <w:sz w:val="22"/>
          <w:szCs w:val="22"/>
          <w:u w:val="single" w:color="auto"/>
          <w:color w:val="auto"/>
        </w:rPr>
        <w:t>Section 17(a)</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305"/>
        <w:spacing w:after="0" w:line="254" w:lineRule="auto"/>
        <w:tabs>
          <w:tab w:leader="none" w:pos="178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 Acts on Behalf of Tenant</w:t>
      </w:r>
      <w:r>
        <w:rPr>
          <w:rFonts w:ascii="Times New Roman" w:cs="Times New Roman" w:eastAsia="Times New Roman" w:hAnsi="Times New Roman"/>
          <w:sz w:val="22"/>
          <w:szCs w:val="22"/>
          <w:color w:val="auto"/>
        </w:rPr>
        <w:t>. Perform any act Tenant is obligated to perform under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(and enter upon the Premises in connection therewith if necessary) in Tenant’s name and on Tenant’s behalf, without being liable for any claim for damages therefor, and Tenant shall reimburse Landlord on demand for any reasonable and documented expenses which Landlord may incur in thus effecting compliance with Tenant’s obligations under this Lease (including, but not limited to, reasonable and documented collection costs and legal expenses), plus interest thereon at the Default Rate; or</w:t>
      </w:r>
    </w:p>
    <w:p>
      <w:pPr>
        <w:spacing w:after="0" w:line="173" w:lineRule="exact"/>
        <w:rPr>
          <w:rFonts w:ascii="Times New Roman" w:cs="Times New Roman" w:eastAsia="Times New Roman" w:hAnsi="Times New Roman"/>
          <w:sz w:val="22"/>
          <w:szCs w:val="22"/>
          <w:color w:val="auto"/>
        </w:rPr>
      </w:pPr>
    </w:p>
    <w:p>
      <w:pPr>
        <w:jc w:val="both"/>
        <w:ind w:firstLine="1305"/>
        <w:spacing w:after="0" w:line="246" w:lineRule="auto"/>
        <w:tabs>
          <w:tab w:leader="none" w:pos="174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Landlord Defaults and Tenant Remedies</w:t>
      </w:r>
      <w:r>
        <w:rPr>
          <w:rFonts w:ascii="Times New Roman" w:cs="Times New Roman" w:eastAsia="Times New Roman" w:hAnsi="Times New Roman"/>
          <w:sz w:val="22"/>
          <w:szCs w:val="22"/>
          <w:color w:val="auto"/>
        </w:rPr>
        <w:t>. Landlord shall be in default under this Lease in the event Landlord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not begun and pursued with reasonable diligence the cure of any failure of Landlord to meet its obligations under this Lease within thirty (30) days of the receipt by Landlord of written notice from Tenant of Landlord’s alleged failure to perform (and an additional reasonable time after such receipt if (A) such failure cannot be cured within such thirty (30) day period, and (B) Landlord commences curing such failure within such thirty (30) day period and thereafter diligently pursues the curing of such failure). In no event shall Tenant have the right to terminate or rescind this Lease as a result of Landlord’s default. Tenant waives such remedies of termination or rescission (except as otherwise specifically provided for in this Lease) and agrees that Tenant’s remedies for default under this Lease and for breach of any promise or inducement are limited to (a) the right to remedy such default or breach and be reimbursed the reasonable costs thereof within thirty (30) days after Landlord’s receipt of a paid invoice and contractor’s lien waivers as applicable, therefore, and if Landlord fails to reimburse Tenant within such 30-day period, Tenant may offset the next amount of Base Rent then coming due under this Lease, or (ii) a suit for damages and/or injunction, and all remedies are specifically subject to Section 25(b). In addition, Tenant shall prior to the exercise of any such remedies, provide each Landlord’s Mortgagee (in each instance, only as to those entities of which Tenant has notice of their interest) with written notice and reasonable time to cure any default by Landlord.</w:t>
      </w:r>
    </w:p>
    <w:p>
      <w:pPr>
        <w:spacing w:after="0" w:line="19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Payment by Tenant; Non-Waiver; Cumulative Remedies</w:t>
      </w:r>
      <w:r>
        <w:rPr>
          <w:rFonts w:ascii="Times New Roman" w:cs="Times New Roman" w:eastAsia="Times New Roman" w:hAnsi="Times New Roman"/>
          <w:sz w:val="21"/>
          <w:szCs w:val="21"/>
          <w:color w:val="auto"/>
        </w:rPr>
        <w:t>.</w:t>
      </w:r>
    </w:p>
    <w:p>
      <w:pPr>
        <w:sectPr>
          <w:pgSz w:w="11900" w:h="16838" w:orient="portrait"/>
          <w:cols w:equalWidth="0" w:num="1">
            <w:col w:w="11420"/>
          </w:cols>
          <w:pgMar w:left="240" w:top="625" w:right="239" w:bottom="1440" w:gutter="0" w:footer="0" w:header="0"/>
        </w:sectPr>
      </w:pPr>
    </w:p>
    <w:bookmarkStart w:id="65" w:name="page66"/>
    <w:bookmarkEnd w:id="65"/>
    <w:p>
      <w:pPr>
        <w:jc w:val="both"/>
        <w:ind w:firstLine="1305"/>
        <w:spacing w:after="0" w:line="261" w:lineRule="auto"/>
        <w:tabs>
          <w:tab w:leader="none" w:pos="1743"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Payment by Tenant</w:t>
      </w:r>
      <w:r>
        <w:rPr>
          <w:rFonts w:ascii="Times New Roman" w:cs="Times New Roman" w:eastAsia="Times New Roman" w:hAnsi="Times New Roman"/>
          <w:sz w:val="21"/>
          <w:szCs w:val="21"/>
          <w:color w:val="auto"/>
        </w:rPr>
        <w:t>. Upon any Event of Default, Tenant shall pay to Landlord all reasonable and documented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costs incurred by Landlord (including documented court costs and reasonable and documented attorneys’ fees and expenses) in: (1) obtaining possession of the Premises; (2) removing and storing Tenant’s or any other occupant’s property; (3) repairing, restoring, altering, remodeling, or otherwise putting the Premises into the condition existing on the Commencement Date, reasonable wear and tear excepted; (4) if Tenant is dispossessed of the Premises and this Lease is not terminated, reletting all or any part of the Premises (including prorated brokerage commissions, documented cost of tenant finish work, and other documented costs incidental to such reletting); (5) performing Tenant’s obligations which Tenant failed to perform; and (6) enforcing, or advising Landlord of, its rights, remedies, and recourses arising out of the Event of Default.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p>
    <w:p>
      <w:pPr>
        <w:spacing w:after="0" w:line="169" w:lineRule="exact"/>
        <w:rPr>
          <w:rFonts w:ascii="Times New Roman" w:cs="Times New Roman" w:eastAsia="Times New Roman" w:hAnsi="Times New Roman"/>
          <w:sz w:val="21"/>
          <w:szCs w:val="21"/>
          <w:color w:val="auto"/>
        </w:rPr>
      </w:pPr>
    </w:p>
    <w:p>
      <w:pPr>
        <w:jc w:val="both"/>
        <w:ind w:firstLine="1305"/>
        <w:spacing w:after="0" w:line="266" w:lineRule="auto"/>
        <w:tabs>
          <w:tab w:leader="none" w:pos="181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Waiver</w:t>
      </w:r>
      <w:r>
        <w:rPr>
          <w:rFonts w:ascii="Times New Roman" w:cs="Times New Roman" w:eastAsia="Times New Roman" w:hAnsi="Times New Roman"/>
          <w:sz w:val="21"/>
          <w:szCs w:val="21"/>
          <w:color w:val="auto"/>
        </w:rPr>
        <w:t>. Landlord’s acceptance of Rent following an Event of Default shall not waive Landlord’s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regarding such Event of Default.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spacing w:after="0" w:line="163" w:lineRule="exact"/>
        <w:rPr>
          <w:rFonts w:ascii="Times New Roman" w:cs="Times New Roman" w:eastAsia="Times New Roman" w:hAnsi="Times New Roman"/>
          <w:sz w:val="21"/>
          <w:szCs w:val="21"/>
          <w:color w:val="auto"/>
        </w:rPr>
      </w:pPr>
    </w:p>
    <w:p>
      <w:pPr>
        <w:jc w:val="both"/>
        <w:ind w:firstLine="1305"/>
        <w:spacing w:after="0" w:line="258" w:lineRule="auto"/>
        <w:tabs>
          <w:tab w:leader="none" w:pos="171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Cumulative Remedies</w:t>
      </w:r>
      <w:r>
        <w:rPr>
          <w:rFonts w:ascii="Times New Roman" w:cs="Times New Roman" w:eastAsia="Times New Roman" w:hAnsi="Times New Roman"/>
          <w:sz w:val="22"/>
          <w:szCs w:val="22"/>
          <w:color w:val="auto"/>
        </w:rPr>
        <w:t>. Any and all remedies set forth in this Lease: (1) shall be in addition to any and all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remedies Landlord may have at law or in equity; (2) shall be cumulative; and (3) may be pursued successively or concurrently as Landlord may elect. The exercise of any remedy by Landlord shall not be deemed an election of remedies or preclude Landlord from exercising any other remedies in the future.</w:t>
      </w:r>
    </w:p>
    <w:p>
      <w:pPr>
        <w:spacing w:after="0" w:line="168" w:lineRule="exact"/>
        <w:rPr>
          <w:rFonts w:ascii="Times New Roman" w:cs="Times New Roman" w:eastAsia="Times New Roman" w:hAnsi="Times New Roman"/>
          <w:sz w:val="22"/>
          <w:szCs w:val="22"/>
          <w:color w:val="auto"/>
        </w:rPr>
      </w:pPr>
    </w:p>
    <w:p>
      <w:pPr>
        <w:jc w:val="both"/>
        <w:ind w:firstLine="1305"/>
        <w:spacing w:after="0" w:line="258" w:lineRule="auto"/>
        <w:tabs>
          <w:tab w:leader="none" w:pos="181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Designation</w:t>
      </w:r>
      <w:r>
        <w:rPr>
          <w:rFonts w:ascii="Times New Roman" w:cs="Times New Roman" w:eastAsia="Times New Roman" w:hAnsi="Times New Roman"/>
          <w:sz w:val="22"/>
          <w:szCs w:val="22"/>
          <w:color w:val="auto"/>
        </w:rPr>
        <w:t>. If Tenant is in arrears in payment of Rent, Tenant waives its right, if any, to designate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items to which any payments made by Tenant are to be credited, and Landlord may apply any payments made by Tenant to such items as Landlord sees fit, irrespective of any designation or request by Tenant as to the items to which any such payments shall be credited.</w:t>
      </w:r>
    </w:p>
    <w:p>
      <w:pPr>
        <w:spacing w:after="0" w:line="168" w:lineRule="exact"/>
        <w:rPr>
          <w:rFonts w:ascii="Times New Roman" w:cs="Times New Roman" w:eastAsia="Times New Roman" w:hAnsi="Times New Roman"/>
          <w:sz w:val="22"/>
          <w:szCs w:val="22"/>
          <w:color w:val="auto"/>
        </w:rPr>
      </w:pPr>
    </w:p>
    <w:p>
      <w:pPr>
        <w:jc w:val="both"/>
        <w:ind w:firstLine="1305"/>
        <w:spacing w:after="0" w:line="265" w:lineRule="auto"/>
        <w:tabs>
          <w:tab w:leader="none" w:pos="173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Counterclaims</w:t>
      </w:r>
      <w:r>
        <w:rPr>
          <w:rFonts w:ascii="Times New Roman" w:cs="Times New Roman" w:eastAsia="Times New Roman" w:hAnsi="Times New Roman"/>
          <w:sz w:val="22"/>
          <w:szCs w:val="22"/>
          <w:color w:val="auto"/>
        </w:rPr>
        <w:t>. Tenant shall not interpose any counterclaim (other than a compulsory counterclaim)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summary proceeding commenced by Landlord to recover possession of the Premises and shall not seek to consolidate such proceeding with any action which may have been or will be brought by Tenant or any other person or entity.</w:t>
      </w:r>
    </w:p>
    <w:p>
      <w:pPr>
        <w:spacing w:after="0" w:line="161" w:lineRule="exact"/>
        <w:rPr>
          <w:rFonts w:ascii="Times New Roman" w:cs="Times New Roman" w:eastAsia="Times New Roman" w:hAnsi="Times New Roman"/>
          <w:sz w:val="22"/>
          <w:szCs w:val="22"/>
          <w:color w:val="auto"/>
        </w:rPr>
      </w:pPr>
    </w:p>
    <w:p>
      <w:pPr>
        <w:ind w:left="1580" w:hanging="924"/>
        <w:spacing w:after="0"/>
        <w:tabs>
          <w:tab w:leader="none" w:pos="15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Landlord’s Lien</w:t>
      </w:r>
      <w:r>
        <w:rPr>
          <w:rFonts w:ascii="Times New Roman" w:cs="Times New Roman" w:eastAsia="Times New Roman" w:hAnsi="Times New Roman"/>
          <w:sz w:val="22"/>
          <w:szCs w:val="22"/>
          <w:color w:val="auto"/>
        </w:rPr>
        <w:t>.    Landlord hereby waives any contractual or statutory landlord’s lien with respect to the</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w:t>
      </w:r>
    </w:p>
    <w:p>
      <w:pPr>
        <w:spacing w:after="0" w:line="191" w:lineRule="exact"/>
        <w:rPr>
          <w:rFonts w:ascii="Times New Roman" w:cs="Times New Roman" w:eastAsia="Times New Roman" w:hAnsi="Times New Roman"/>
          <w:sz w:val="22"/>
          <w:szCs w:val="22"/>
          <w:color w:val="auto"/>
        </w:rPr>
      </w:pPr>
    </w:p>
    <w:p>
      <w:pPr>
        <w:jc w:val="both"/>
        <w:ind w:firstLine="656"/>
        <w:spacing w:after="0" w:line="259" w:lineRule="auto"/>
        <w:tabs>
          <w:tab w:leader="none" w:pos="156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Surrender of Premises</w:t>
      </w:r>
      <w:r>
        <w:rPr>
          <w:rFonts w:ascii="Times New Roman" w:cs="Times New Roman" w:eastAsia="Times New Roman" w:hAnsi="Times New Roman"/>
          <w:sz w:val="22"/>
          <w:szCs w:val="22"/>
          <w:color w:val="auto"/>
        </w:rPr>
        <w:t>. No act by Landlord shall be deemed an acceptance of a surrender of the Premises,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agreement to accept a surrender of the Premises shall be valid unless it is in writing and signed by Landlord. At the expiration or termination of this Lease, Tenant</w:t>
      </w:r>
    </w:p>
    <w:p>
      <w:pPr>
        <w:sectPr>
          <w:pgSz w:w="11900" w:h="16838" w:orient="portrait"/>
          <w:cols w:equalWidth="0" w:num="1">
            <w:col w:w="11420"/>
          </w:cols>
          <w:pgMar w:left="240" w:top="621" w:right="239" w:bottom="1440" w:gutter="0" w:footer="0" w:header="0"/>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shall deliver to Landlord the Premises with all improvements located therein in good repair and condition, free of Hazardous Materials placed on the Premises during the Term, broom-clean, reasonable wear and tear (except for any Taking or Casualty damage, as to which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shall control) excepted, and shall deliver to Landlord all keys to the Premises. Provided that Tenant has performed all of its obligations hereunder, Tenant may remove all unattached trade fixtures, furniture, and personal property placed in the Premises or elsewhere in the Building by Tenant (but Tenant may not remove any such item which was paid for, in whole or in part, by Landlord). Further, Tenant must remove any and all wiring and cabling prior to the Expiration Date. Additionally, at Landlord’s option, Tenant shall (not later than ten (10) days after the expiration or earlier termination of the Lease) remove such alterations, additions (including stairs and bank vaults), improvements, trade fixtures, personal property, equipment, wiring, conduits, cabling and furniture (including Tenant’s Off-Premises Equipment) to the extent Landlord gave Tenant notice of such requirement in its Alterations Consent. All items required to be removed by Landlord and not so removed shall, at Landlord’s option, be deemed to have been abandoned by Tenant and may be appropriated, sold, stored, destroyed, or otherwise disposed of by Landlord at Tenant’s cost without notice to Tenant and without any obligation to account for such items; any such disposition shall not be considered a strict foreclosure or other exercise of Landlord’s rights in respect of the security interest granted under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xml:space="preserve">. The provisions of this </w:t>
      </w:r>
      <w:r>
        <w:rPr>
          <w:rFonts w:ascii="Times New Roman" w:cs="Times New Roman" w:eastAsia="Times New Roman" w:hAnsi="Times New Roman"/>
          <w:sz w:val="21"/>
          <w:szCs w:val="21"/>
          <w:u w:val="single" w:color="auto"/>
          <w:color w:val="auto"/>
        </w:rPr>
        <w:t>Section 20</w:t>
      </w:r>
      <w:r>
        <w:rPr>
          <w:rFonts w:ascii="Times New Roman" w:cs="Times New Roman" w:eastAsia="Times New Roman" w:hAnsi="Times New Roman"/>
          <w:sz w:val="21"/>
          <w:szCs w:val="21"/>
          <w:color w:val="auto"/>
        </w:rPr>
        <w:t xml:space="preserve"> shall survive the expiration or earlier termination of the Lease.</w:t>
      </w:r>
    </w:p>
    <w:p>
      <w:pPr>
        <w:spacing w:after="0" w:line="170" w:lineRule="exact"/>
        <w:rPr>
          <w:sz w:val="20"/>
          <w:szCs w:val="20"/>
          <w:color w:val="auto"/>
        </w:rPr>
      </w:pPr>
    </w:p>
    <w:p>
      <w:pPr>
        <w:jc w:val="both"/>
        <w:ind w:firstLine="656"/>
        <w:spacing w:after="0" w:line="258" w:lineRule="auto"/>
        <w:tabs>
          <w:tab w:leader="none" w:pos="156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Holding Over</w:t>
      </w:r>
      <w:r>
        <w:rPr>
          <w:rFonts w:ascii="Times New Roman" w:cs="Times New Roman" w:eastAsia="Times New Roman" w:hAnsi="Times New Roman"/>
          <w:sz w:val="21"/>
          <w:szCs w:val="21"/>
          <w:color w:val="auto"/>
        </w:rPr>
        <w:t>. If Tenant fails to vacate the Premises at the end of the Term, then Tenant shall be a tenant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sufferance and, in addition to all other damages and remedies to which Landlord may be entitled for such holding over: (a) Tenant shall pay, in addition to the other Rent, Base Rent equal to one hundred ten percent (110%) of the Base Rent payable during the last month of the Term during the first thirty (30) days of such holding over, (b) one hundred fifty percent (150%) of the Base Rent payable during the last month of the Term for the remainder of the holdover period; and (c) at all times during the holdover period, Tenant shall otherwise continue to be subject to all of Tenant’s obligations under this Lease. The provisions of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 Notwithstanding the foregoing, if Tenant holds over with Landlord’s express written consent, then Tenant shall be a month-to-month tenant and Tenant shall pay, in addition to the other Rent, Base Rent equal to one hundred twenty-five percent (125%) of the Base Rent payable during the last month of the Term.</w:t>
      </w:r>
    </w:p>
    <w:p>
      <w:pPr>
        <w:spacing w:after="0" w:line="177" w:lineRule="exact"/>
        <w:rPr>
          <w:rFonts w:ascii="Times New Roman" w:cs="Times New Roman" w:eastAsia="Times New Roman" w:hAnsi="Times New Roman"/>
          <w:sz w:val="21"/>
          <w:szCs w:val="21"/>
          <w:color w:val="auto"/>
        </w:rPr>
      </w:pPr>
    </w:p>
    <w:p>
      <w:pPr>
        <w:ind w:left="1580" w:hanging="924"/>
        <w:spacing w:after="0"/>
        <w:tabs>
          <w:tab w:leader="none" w:pos="15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Certain Rights Reserved by Landlord</w:t>
      </w:r>
      <w:r>
        <w:rPr>
          <w:rFonts w:ascii="Times New Roman" w:cs="Times New Roman" w:eastAsia="Times New Roman" w:hAnsi="Times New Roman"/>
          <w:sz w:val="22"/>
          <w:szCs w:val="22"/>
          <w:color w:val="auto"/>
        </w:rPr>
        <w:t>. Landlord shall have the following rights:</w:t>
      </w:r>
    </w:p>
    <w:p>
      <w:pPr>
        <w:spacing w:after="0" w:line="219" w:lineRule="exact"/>
        <w:rPr>
          <w:rFonts w:ascii="Times New Roman" w:cs="Times New Roman" w:eastAsia="Times New Roman" w:hAnsi="Times New Roman"/>
          <w:sz w:val="22"/>
          <w:szCs w:val="22"/>
          <w:color w:val="auto"/>
        </w:rPr>
      </w:pPr>
    </w:p>
    <w:p>
      <w:pPr>
        <w:jc w:val="both"/>
        <w:ind w:firstLine="1305"/>
        <w:spacing w:after="0" w:line="265" w:lineRule="auto"/>
        <w:tabs>
          <w:tab w:leader="none" w:pos="193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Building Operations</w:t>
      </w:r>
      <w:r>
        <w:rPr>
          <w:rFonts w:ascii="Times New Roman" w:cs="Times New Roman" w:eastAsia="Times New Roman" w:hAnsi="Times New Roman"/>
          <w:sz w:val="22"/>
          <w:szCs w:val="22"/>
          <w:color w:val="auto"/>
        </w:rPr>
        <w:t>. To decorate and to make inspections, repairs, alterations, additions, changes,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improvements, whether structural or otherwise, in and about the Project or any part thereof; to enter upon the Premises (after giving Tenant reasonable notice thereof, which may be oral notice, except in cases of real or apparent emergency, in which</w:t>
      </w:r>
    </w:p>
    <w:p>
      <w:pPr>
        <w:sectPr>
          <w:pgSz w:w="11900" w:h="16838" w:orient="portrait"/>
          <w:cols w:equalWidth="0" w:num="1">
            <w:col w:w="11420"/>
          </w:cols>
          <w:pgMar w:left="240" w:top="625" w:right="239" w:bottom="1440" w:gutter="0" w:footer="0" w:header="0"/>
        </w:sectPr>
      </w:pPr>
    </w:p>
    <w:bookmarkStart w:id="67" w:name="page68"/>
    <w:bookmarkEnd w:id="67"/>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case no notice shall be required) and, subject to </w:t>
      </w:r>
      <w:r>
        <w:rPr>
          <w:rFonts w:ascii="Times New Roman" w:cs="Times New Roman" w:eastAsia="Times New Roman" w:hAnsi="Times New Roman"/>
          <w:sz w:val="21"/>
          <w:szCs w:val="21"/>
          <w:u w:val="single" w:color="auto"/>
          <w:color w:val="auto"/>
        </w:rPr>
        <w:t>Section 7(e),</w:t>
      </w:r>
      <w:r>
        <w:rPr>
          <w:rFonts w:ascii="Times New Roman" w:cs="Times New Roman" w:eastAsia="Times New Roman" w:hAnsi="Times New Roman"/>
          <w:sz w:val="21"/>
          <w:szCs w:val="21"/>
          <w:color w:val="auto"/>
        </w:rPr>
        <w:t xml:space="preserve"> during the continuance of any such work, to temporarily close doors, entryways, public space, and corridors in the Building; to interrupt or temporarily suspend Building services; to change the name of the Building; and to change the arrangement and location of entrances or passageways, doors, and doorways, corridors, elevators, stairs, restrooms, or other public parts of the Building; provided, that such alterations, changes, and improvements that are not being performed in connection with or as the result of an emergency shall not have a materially adverse effect on Tenant’s rights hereunder, and Landlord shall make reasonable efforts not to interfere with Tenant’s normal course of business;</w:t>
      </w:r>
    </w:p>
    <w:p>
      <w:pPr>
        <w:spacing w:after="0" w:line="164" w:lineRule="exact"/>
        <w:rPr>
          <w:sz w:val="20"/>
          <w:szCs w:val="20"/>
          <w:color w:val="auto"/>
        </w:rPr>
      </w:pPr>
    </w:p>
    <w:p>
      <w:pPr>
        <w:jc w:val="both"/>
        <w:ind w:firstLine="1305"/>
        <w:spacing w:after="0" w:line="252" w:lineRule="auto"/>
        <w:tabs>
          <w:tab w:leader="none" w:pos="172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Security</w:t>
      </w:r>
      <w:r>
        <w:rPr>
          <w:rFonts w:ascii="Times New Roman" w:cs="Times New Roman" w:eastAsia="Times New Roman" w:hAnsi="Times New Roman"/>
          <w:sz w:val="22"/>
          <w:szCs w:val="22"/>
          <w:color w:val="auto"/>
        </w:rPr>
        <w:t>. To take such reasonable security measures as Landlord deems advisable (provided, however,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security measures are for Landlord’s own protection, and Tenant acknowledges that Landlord is not a guarantor of the security or safety of any Tenant Party and that such security matters are the responsibility of Tenant), including evacuating the Building for cause, suspected cause, or for drill purposes; temporarily denying access to the Building; and closing the Building after Normal Business Hours and on Sundays and Holidays, subject, however, to Tenant’s right to enter when the Building is closed after Normal Business Hours under such reasonable regulations as Landlord may prescribe from time to time;</w:t>
      </w:r>
    </w:p>
    <w:p>
      <w:pPr>
        <w:spacing w:after="0" w:line="175" w:lineRule="exact"/>
        <w:rPr>
          <w:rFonts w:ascii="Times New Roman" w:cs="Times New Roman" w:eastAsia="Times New Roman" w:hAnsi="Times New Roman"/>
          <w:sz w:val="22"/>
          <w:szCs w:val="22"/>
          <w:color w:val="auto"/>
        </w:rPr>
      </w:pPr>
    </w:p>
    <w:p>
      <w:pPr>
        <w:jc w:val="both"/>
        <w:ind w:firstLine="1305"/>
        <w:spacing w:after="0" w:line="265" w:lineRule="auto"/>
        <w:tabs>
          <w:tab w:leader="none" w:pos="178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Repairs and Maintenance</w:t>
      </w:r>
      <w:r>
        <w:rPr>
          <w:rFonts w:ascii="Times New Roman" w:cs="Times New Roman" w:eastAsia="Times New Roman" w:hAnsi="Times New Roman"/>
          <w:sz w:val="22"/>
          <w:szCs w:val="22"/>
          <w:color w:val="auto"/>
        </w:rPr>
        <w:t>. To enter the Premises, upon reasonable prior notice to Tenant (which obligation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waived during an emergency and which otherwise may be by verbal or email notice) at reasonable hours to perform Landlord’s repair and maintenance obligations and rights under the Lease;</w:t>
      </w:r>
    </w:p>
    <w:p>
      <w:pPr>
        <w:spacing w:after="0" w:line="161" w:lineRule="exact"/>
        <w:rPr>
          <w:rFonts w:ascii="Times New Roman" w:cs="Times New Roman" w:eastAsia="Times New Roman" w:hAnsi="Times New Roman"/>
          <w:sz w:val="22"/>
          <w:szCs w:val="22"/>
          <w:color w:val="auto"/>
        </w:rPr>
      </w:pPr>
    </w:p>
    <w:p>
      <w:pPr>
        <w:ind w:firstLine="1305"/>
        <w:spacing w:after="0" w:line="288" w:lineRule="auto"/>
        <w:tabs>
          <w:tab w:leader="none" w:pos="1783"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Prospective Purchasers and Lenders</w:t>
      </w:r>
      <w:r>
        <w:rPr>
          <w:rFonts w:ascii="Times New Roman" w:cs="Times New Roman" w:eastAsia="Times New Roman" w:hAnsi="Times New Roman"/>
          <w:sz w:val="22"/>
          <w:szCs w:val="22"/>
          <w:color w:val="auto"/>
        </w:rPr>
        <w:t>. To enter the Premises, upon reasonable prior notice to Tenant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verbal or by email), at reasonable hours, to show the Premises to prospective purchasers or lenders; and</w:t>
      </w:r>
    </w:p>
    <w:p>
      <w:pPr>
        <w:spacing w:after="0" w:line="135" w:lineRule="exact"/>
        <w:rPr>
          <w:rFonts w:ascii="Times New Roman" w:cs="Times New Roman" w:eastAsia="Times New Roman" w:hAnsi="Times New Roman"/>
          <w:sz w:val="22"/>
          <w:szCs w:val="22"/>
          <w:color w:val="auto"/>
        </w:rPr>
      </w:pPr>
    </w:p>
    <w:p>
      <w:pPr>
        <w:jc w:val="both"/>
        <w:ind w:firstLine="1305"/>
        <w:spacing w:after="0" w:line="258" w:lineRule="auto"/>
        <w:tabs>
          <w:tab w:leader="none" w:pos="1811"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Prospective Tenants</w:t>
      </w:r>
      <w:r>
        <w:rPr>
          <w:rFonts w:ascii="Times New Roman" w:cs="Times New Roman" w:eastAsia="Times New Roman" w:hAnsi="Times New Roman"/>
          <w:sz w:val="22"/>
          <w:szCs w:val="22"/>
          <w:color w:val="auto"/>
        </w:rPr>
        <w:t>. At any time during the last twelve (12) months of the Term (or earlier if Tenant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notified Landlord in writing that it does not desire to renew the Term) upon reasonable prior notice to Tenant (which may be verbal or by email), or at any time following the occurrence of an Event of Default, to enter the Premises at all reasonable hours to show the Premises to prospective tenants.</w:t>
      </w:r>
    </w:p>
    <w:p>
      <w:pPr>
        <w:spacing w:after="0" w:line="168" w:lineRule="exact"/>
        <w:rPr>
          <w:rFonts w:ascii="Times New Roman" w:cs="Times New Roman" w:eastAsia="Times New Roman" w:hAnsi="Times New Roman"/>
          <w:sz w:val="22"/>
          <w:szCs w:val="22"/>
          <w:color w:val="auto"/>
        </w:rPr>
      </w:pPr>
    </w:p>
    <w:p>
      <w:pPr>
        <w:ind w:left="1580" w:hanging="924"/>
        <w:spacing w:after="0"/>
        <w:tabs>
          <w:tab w:leader="none" w:pos="15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Substitution Space</w:t>
      </w:r>
      <w:r>
        <w:rPr>
          <w:rFonts w:ascii="Times New Roman" w:cs="Times New Roman" w:eastAsia="Times New Roman" w:hAnsi="Times New Roman"/>
          <w:sz w:val="22"/>
          <w:szCs w:val="22"/>
          <w:color w:val="auto"/>
        </w:rPr>
        <w:t>.  Intentionally Omitted.</w:t>
      </w:r>
    </w:p>
    <w:p>
      <w:pPr>
        <w:spacing w:after="0" w:line="219" w:lineRule="exact"/>
        <w:rPr>
          <w:rFonts w:ascii="Times New Roman" w:cs="Times New Roman" w:eastAsia="Times New Roman" w:hAnsi="Times New Roman"/>
          <w:sz w:val="22"/>
          <w:szCs w:val="22"/>
          <w:color w:val="auto"/>
        </w:rPr>
      </w:pPr>
    </w:p>
    <w:p>
      <w:pPr>
        <w:jc w:val="both"/>
        <w:ind w:firstLine="656"/>
        <w:spacing w:after="0" w:line="247" w:lineRule="auto"/>
        <w:tabs>
          <w:tab w:leader="none" w:pos="156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Hazardous Materials</w:t>
      </w:r>
      <w:r>
        <w:rPr>
          <w:rFonts w:ascii="Times New Roman" w:cs="Times New Roman" w:eastAsia="Times New Roman" w:hAnsi="Times New Roman"/>
          <w:sz w:val="22"/>
          <w:szCs w:val="22"/>
          <w:color w:val="auto"/>
        </w:rPr>
        <w:t>. (a) As of the date hereof, Landlord represents, warrants and covenants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diligence, investigation or inquiry, that the Project including the Premises, do not contain asbestos or other Hazardous Materials (as defined in </w:t>
      </w:r>
      <w:r>
        <w:rPr>
          <w:rFonts w:ascii="Times New Roman" w:cs="Times New Roman" w:eastAsia="Times New Roman" w:hAnsi="Times New Roman"/>
          <w:sz w:val="22"/>
          <w:szCs w:val="22"/>
          <w:u w:val="single" w:color="auto"/>
          <w:color w:val="auto"/>
        </w:rPr>
        <w:t>Section 25(i)</w:t>
      </w:r>
      <w:r>
        <w:rPr>
          <w:rFonts w:ascii="Times New Roman" w:cs="Times New Roman" w:eastAsia="Times New Roman" w:hAnsi="Times New Roman"/>
          <w:sz w:val="22"/>
          <w:szCs w:val="22"/>
          <w:color w:val="auto"/>
        </w:rPr>
        <w:t xml:space="preserve"> hereof) in violation of applicable Environmental Laws (as defined in </w:t>
      </w:r>
      <w:r>
        <w:rPr>
          <w:rFonts w:ascii="Times New Roman" w:cs="Times New Roman" w:eastAsia="Times New Roman" w:hAnsi="Times New Roman"/>
          <w:sz w:val="22"/>
          <w:szCs w:val="22"/>
          <w:u w:val="single" w:color="auto"/>
          <w:color w:val="auto"/>
        </w:rPr>
        <w:t>Section 25(j)</w:t>
      </w:r>
      <w:r>
        <w:rPr>
          <w:rFonts w:ascii="Times New Roman" w:cs="Times New Roman" w:eastAsia="Times New Roman" w:hAnsi="Times New Roman"/>
          <w:sz w:val="22"/>
          <w:szCs w:val="22"/>
          <w:color w:val="auto"/>
        </w:rPr>
        <w:t xml:space="preserve"> below), except, in the case of Hazardous Materials only and not asbestos, commercially reasonable quantities for construction purposes, cleaning agents and other substances normally used in the construction, operation and maintenance of office buildings and not prohibited by applicable Environmental Law, all of which shall be stored, used and disposed of in accordance with applicable Environmental Laws. Landlord agrees not to knowingly use, dispose, store or generate any asbestos or other Hazardous Materials in violation of Environmental Laws in the common areas or other areas of the Project or Complex which are in Landlord’s control and in the event such Environmental Laws require Landlord to</w:t>
      </w:r>
    </w:p>
    <w:p>
      <w:pPr>
        <w:sectPr>
          <w:pgSz w:w="11900" w:h="16838" w:orient="portrait"/>
          <w:cols w:equalWidth="0" w:num="1">
            <w:col w:w="11420"/>
          </w:cols>
          <w:pgMar w:left="240" w:top="625" w:right="239" w:bottom="1440" w:gutter="0" w:footer="0" w:header="0"/>
        </w:sectPr>
      </w:pPr>
    </w:p>
    <w:bookmarkStart w:id="68" w:name="page69"/>
    <w:bookmarkEnd w:id="68"/>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remove or otherwise remedy the existence of any such asbestos or Hazardous Materials, Landlord agrees to remove or remedy same at its sole cost and expense (and the cost thereof shall not be treated as an operating expense). Landlord agrees to indemnify and save Tenant harmless against any losses, damages, costs, liabilities and claims suffered by Tenant in connection with a breach by Landlord of its obligations set forth in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except for such losses, damages, costs, liabilities or claims caused by Tenant’s or any Tenant Party’s negligence or intentional misconduct or breach of any provisions in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305"/>
        <w:spacing w:after="0" w:line="252" w:lineRule="auto"/>
        <w:tabs>
          <w:tab w:leader="none" w:pos="23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use, and conduct its operations at, the Premises in compliance with all applicable Environmental Laws, and will cause any Tenant Party or other person which enters upon, occupies or uses the Premises, to do so in compliance with all such Environmental Laws, will immediately pay or cause to be paid all costs and expenses incurred by reason of such compliance.</w:t>
      </w:r>
    </w:p>
    <w:p>
      <w:pPr>
        <w:spacing w:after="0" w:line="18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(c) Tenant shall not generate, use, treat, store, handle, release or dispose of, or permit the generation, use, treatment, storage, handling, release or disposal of Hazardous Materials on the Premises or the Project, or transport or permit the transportation of Hazardous Materials to or from the Premises or the Project or, except for limited quantities of household cleaning products and office supplies used or stored at the Premises and required in connection with the routine operation and maintenance of the Premises, and in compliance with all applicable Environmental Laws, will immediately pay or cause to be paid all costs and expenses incurred by reason of such compliance.</w:t>
      </w:r>
    </w:p>
    <w:p>
      <w:pPr>
        <w:spacing w:after="0" w:line="181"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 xml:space="preserve">(d) Tenant will immediately advise Landlord in writing of any of the following: (1) any pending or threatened Environmental Claim (as defined in </w:t>
      </w:r>
      <w:r>
        <w:rPr>
          <w:rFonts w:ascii="Times New Roman" w:cs="Times New Roman" w:eastAsia="Times New Roman" w:hAnsi="Times New Roman"/>
          <w:sz w:val="22"/>
          <w:szCs w:val="22"/>
          <w:u w:val="single" w:color="auto"/>
          <w:color w:val="auto"/>
        </w:rPr>
        <w:t>Section 25(i)</w:t>
      </w:r>
      <w:r>
        <w:rPr>
          <w:rFonts w:ascii="Times New Roman" w:cs="Times New Roman" w:eastAsia="Times New Roman" w:hAnsi="Times New Roman"/>
          <w:sz w:val="22"/>
          <w:szCs w:val="22"/>
          <w:color w:val="auto"/>
        </w:rPr>
        <w:t xml:space="preserve"> below) against Tenant relating to the Premises; (2) any condition or occurrence on the Premises that (a) results in noncompliance by Tenant with any applicable Environmental Law, or (b) could reasonably be anticipated to form the basis of an Environmental Claim against Tenant or Landlord or the Premises; (3) any condition or occurrence on the Premises or any property adjoining the Premises that could reasonably be anticipated to cause the Premises to be subject to any restrictions on the ownership, occupancy, use or transferability of the Premises under any Environmental Law; and (4) the actual or anticipated taking of any removal or remedial action by Tenant in response to the actual or alleged presence of any Hazardous Material on the Premises. All such notices shall describe in reasonable detail the nature of the claim, investigation, condition, occurrence or removal or remedial action and Tenant’s response thereto. In addition, Tenant will provide Landlord with copies of all communications regarding the Premises with any governmental agency relating to Environmental Laws, all such communications with any person relating to Environmental Claims, and such detailed reports of any such Environmental Claim as may reasonably be requested by Landlord.</w:t>
      </w:r>
    </w:p>
    <w:p>
      <w:pPr>
        <w:sectPr>
          <w:pgSz w:w="11900" w:h="16838" w:orient="portrait"/>
          <w:cols w:equalWidth="0" w:num="1">
            <w:col w:w="11420"/>
          </w:cols>
          <w:pgMar w:left="240" w:top="625" w:right="239" w:bottom="1440" w:gutter="0" w:footer="0" w:header="0"/>
        </w:sectPr>
      </w:pP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Tenant will not change or permit to be changed the present use of the Premises.</w:t>
      </w:r>
    </w:p>
    <w:p>
      <w:pPr>
        <w:spacing w:after="0" w:line="200" w:lineRule="exact"/>
        <w:rPr>
          <w:sz w:val="20"/>
          <w:szCs w:val="20"/>
          <w:color w:val="auto"/>
        </w:rPr>
      </w:pPr>
    </w:p>
    <w:p>
      <w:pPr>
        <w:sectPr>
          <w:pgSz w:w="11900" w:h="16838" w:orient="portrait"/>
          <w:cols w:equalWidth="0" w:num="2">
            <w:col w:w="2500" w:space="720"/>
            <w:col w:w="8200"/>
          </w:cols>
          <w:pgMar w:left="240" w:top="625" w:right="239" w:bottom="1440" w:gutter="0" w:footer="0" w:header="0"/>
          <w:type w:val="continuous"/>
        </w:sectPr>
      </w:pPr>
    </w:p>
    <w:p>
      <w:pPr>
        <w:spacing w:after="0" w:line="31" w:lineRule="exact"/>
        <w:rPr>
          <w:sz w:val="20"/>
          <w:szCs w:val="20"/>
          <w:color w:val="auto"/>
        </w:rPr>
      </w:pPr>
    </w:p>
    <w:p>
      <w:pPr>
        <w:ind w:left="1300"/>
        <w:spacing w:after="0"/>
        <w:tabs>
          <w:tab w:leader="none" w:pos="318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Tenant agrees to indemnify, defend and hold harmless the Indemnitees from and against all</w:t>
      </w:r>
    </w:p>
    <w:p>
      <w:pPr>
        <w:sectPr>
          <w:pgSz w:w="11900" w:h="16838" w:orient="portrait"/>
          <w:cols w:equalWidth="0" w:num="1">
            <w:col w:w="11420"/>
          </w:cols>
          <w:pgMar w:left="240" w:top="625" w:right="239" w:bottom="1440" w:gutter="0" w:footer="0" w:header="0"/>
          <w:type w:val="continuous"/>
        </w:sectPr>
      </w:pPr>
    </w:p>
    <w:p>
      <w:pPr>
        <w:spacing w:after="0" w:line="3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color w:val="auto"/>
        </w:rPr>
        <w:t>obligations (including removal and remedial actions), losses, claims, suits, judgments, liabilities, penalties, damages (including consequential and punitive</w:t>
      </w:r>
    </w:p>
    <w:p>
      <w:pPr>
        <w:sectPr>
          <w:pgSz w:w="11900" w:h="16838" w:orient="portrait"/>
          <w:cols w:equalWidth="0" w:num="1">
            <w:col w:w="11420"/>
          </w:cols>
          <w:pgMar w:left="240" w:top="625" w:right="239" w:bottom="1440" w:gutter="0" w:footer="0" w:header="0"/>
          <w:type w:val="continuous"/>
        </w:sectPr>
      </w:pPr>
    </w:p>
    <w:bookmarkStart w:id="69" w:name="page70"/>
    <w:bookmarkEnd w:id="69"/>
    <w:p>
      <w:pPr>
        <w:jc w:val="both"/>
        <w:spacing w:after="0" w:line="246" w:lineRule="auto"/>
        <w:rPr>
          <w:sz w:val="20"/>
          <w:szCs w:val="20"/>
          <w:color w:val="auto"/>
        </w:rPr>
      </w:pPr>
      <w:r>
        <w:rPr>
          <w:rFonts w:ascii="Times New Roman" w:cs="Times New Roman" w:eastAsia="Times New Roman" w:hAnsi="Times New Roman"/>
          <w:sz w:val="22"/>
          <w:szCs w:val="22"/>
          <w:color w:val="auto"/>
        </w:rPr>
        <w:t>damages), costs and expenses (including reasonable attorneys’ and consultants’ fees and expenses) of any kind or nature whatsoever that may at any time be incurred by, imposed on or asserted against such Indemnitees directly or indirectly based on, or arising or resulting from (a) the actual or alleged presence of Hazardous Materials on the Complex which is caused or permitted by Tenant or a Tenant Party and (b) any Environmental Claim relating in any way to Tenant’s operation or use of the Premises (the “</w:t>
      </w:r>
      <w:r>
        <w:rPr>
          <w:rFonts w:ascii="Times New Roman" w:cs="Times New Roman" w:eastAsia="Times New Roman" w:hAnsi="Times New Roman"/>
          <w:sz w:val="22"/>
          <w:szCs w:val="22"/>
          <w:b w:val="1"/>
          <w:bCs w:val="1"/>
          <w:u w:val="single" w:color="auto"/>
          <w:color w:val="auto"/>
        </w:rPr>
        <w:t>Hazardous Materials Indemnified Matters</w:t>
      </w:r>
      <w:r>
        <w:rPr>
          <w:rFonts w:ascii="Times New Roman" w:cs="Times New Roman" w:eastAsia="Times New Roman" w:hAnsi="Times New Roman"/>
          <w:sz w:val="22"/>
          <w:szCs w:val="22"/>
          <w:color w:val="auto"/>
        </w:rPr>
        <w:t xml:space="preserve">”). The foregoing indemnity shall not include any Hazardous Materials that were located at the Premises or the Project on the Commencement Date, nor any Hazardous Materials placed on the Premises or Project by Landlord, its employees, agents, or contractors, all of which will be Landlord’s responsibility to remediate, encapsulate or otherwise clean-up as may be required by applicable Environmental Laws. The provisions of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shall survive the expiration or sooner termination of this Lease.</w:t>
      </w:r>
    </w:p>
    <w:p>
      <w:pPr>
        <w:spacing w:after="0" w:line="192"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(g) To the extent that the undertaking in the preceding paragraph may be unenforceable because it is violative of any law or public policy, Tenant will contribute the maximum portion that it is permitted to pay and satisfy under applicable Law to the payment and satisfaction of all Hazardous Materials Indemnified Matters incurred by the Indemnitees.</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(h) All documented sums paid and documented costs incurred by Landlord with respect to any Hazardous Materials Indemnified Matter shall bear interest at the Default Rate from the date so paid or incurred until reimbursed by Tenant, and all such sums and costs shall be immediately due and payable on demand.</w:t>
      </w:r>
    </w:p>
    <w:p>
      <w:pPr>
        <w:spacing w:after="0" w:line="169"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(i) “</w:t>
      </w:r>
      <w:r>
        <w:rPr>
          <w:rFonts w:ascii="Times New Roman" w:cs="Times New Roman" w:eastAsia="Times New Roman" w:hAnsi="Times New Roman"/>
          <w:sz w:val="22"/>
          <w:szCs w:val="22"/>
          <w:b w:val="1"/>
          <w:bCs w:val="1"/>
          <w:u w:val="single" w:color="auto"/>
          <w:color w:val="auto"/>
        </w:rPr>
        <w:t>Hazardous Materials</w:t>
      </w:r>
      <w:r>
        <w:rPr>
          <w:rFonts w:ascii="Times New Roman" w:cs="Times New Roman" w:eastAsia="Times New Roman" w:hAnsi="Times New Roman"/>
          <w:sz w:val="22"/>
          <w:szCs w:val="22"/>
          <w:color w:val="auto"/>
        </w:rPr>
        <w:t>” means: (i) petroleum or petroleum products, natural or synthetic gas, asbestos in any form that is or could become friable, urea formaldehyde foam insulation, and radon gas; (ii) any substances defined as or included in the definition of “hazardous substances,” “hazardous wastes,” “hazardous materials,” “extremely hazardous wastes,” “restricted hazardous wastes,” “toxic substances,” “toxic pollutants,” “contaminants” or “pollutants,” or words of similar import, under any applicable Environmental Law; and (iii) any other substance exposure which is regulated by any governmental authority; (b) “</w:t>
      </w:r>
      <w:r>
        <w:rPr>
          <w:rFonts w:ascii="Times New Roman" w:cs="Times New Roman" w:eastAsia="Times New Roman" w:hAnsi="Times New Roman"/>
          <w:sz w:val="22"/>
          <w:szCs w:val="22"/>
          <w:b w:val="1"/>
          <w:bCs w:val="1"/>
          <w:u w:val="single" w:color="auto"/>
          <w:color w:val="auto"/>
        </w:rPr>
        <w:t>Environmental Law</w:t>
      </w:r>
      <w:r>
        <w:rPr>
          <w:rFonts w:ascii="Times New Roman" w:cs="Times New Roman" w:eastAsia="Times New Roman" w:hAnsi="Times New Roman"/>
          <w:sz w:val="22"/>
          <w:szCs w:val="22"/>
          <w:color w:val="auto"/>
        </w:rPr>
        <w:t>” means any federal, state or local statute, law, rule, regulation, ordinance, code, policy or rule of common law now or hereafter in effect and in each case as amended, and any judicial or administrative interpretation thereof, including any judicial or administrative order, consent decree or judgment, relating to the environment, health, safety or Hazardous Materials, including without limitation, the Comprehensive Environmental Response, Compensation, and Liability Act of 1980, 42 U.S.C. §§ 9601 et seq.; the Resource Conservation and Recovery Act, 42 U.S.C. §§ 6901 et seq.; the Hazardous Materials Transportation Act, 49 U.S.C. §§ 1801 et seq.; the Clean Water Act, 33 U.S.C. §§ 1251 et seq.; the Toxic Substances Control Act, 15 U.S.C. §§ 2601 et seq.; the Clean Air Act, 42 U.S.C. §§ 7401 et seq.; the Safe Drinking Water Act, 42 U.S.C. §§ 300f et seq.; the Atomic Energy Act, 42 U.S.C. §§ 2011 et seq.; the Federal Insecticide, Fungicide and Rodenticide Act, 7 U.S.C. §§ 136 et seq.; the Occupational Safety and Health Act, 29 U.S.C. §§ 651 et seq.; (c) “</w:t>
      </w:r>
      <w:r>
        <w:rPr>
          <w:rFonts w:ascii="Times New Roman" w:cs="Times New Roman" w:eastAsia="Times New Roman" w:hAnsi="Times New Roman"/>
          <w:sz w:val="22"/>
          <w:szCs w:val="22"/>
          <w:b w:val="1"/>
          <w:bCs w:val="1"/>
          <w:u w:val="single" w:color="auto"/>
          <w:color w:val="auto"/>
        </w:rPr>
        <w:t>Environmental Claims</w:t>
      </w:r>
      <w:r>
        <w:rPr>
          <w:rFonts w:ascii="Times New Roman" w:cs="Times New Roman" w:eastAsia="Times New Roman" w:hAnsi="Times New Roman"/>
          <w:sz w:val="22"/>
          <w:szCs w:val="22"/>
          <w:color w:val="auto"/>
        </w:rPr>
        <w:t>” means any and all administrative, regulatory or judicial actions, suits, demands, demand letters, claims, liens, notices of non-compliance or violation, investigations, proceedings, consent orders or consent agreements relating in any way to any Environmental Law or any Environmental Permit, including without limitation (i) any and all Environmental Claims by governmental or regulatory authorities for enforcement, cleanup, removal,</w:t>
      </w:r>
    </w:p>
    <w:p>
      <w:pPr>
        <w:sectPr>
          <w:pgSz w:w="11900" w:h="16838" w:orient="portrait"/>
          <w:cols w:equalWidth="0" w:num="1">
            <w:col w:w="11420"/>
          </w:cols>
          <w:pgMar w:left="240" w:top="625" w:right="239" w:bottom="1440" w:gutter="0" w:footer="0" w:header="0"/>
        </w:sectPr>
      </w:pPr>
    </w:p>
    <w:bookmarkStart w:id="70" w:name="page71"/>
    <w:bookmarkEnd w:id="70"/>
    <w:p>
      <w:pPr>
        <w:jc w:val="both"/>
        <w:spacing w:after="0" w:line="257" w:lineRule="auto"/>
        <w:rPr>
          <w:sz w:val="20"/>
          <w:szCs w:val="20"/>
          <w:color w:val="auto"/>
        </w:rPr>
      </w:pPr>
      <w:r>
        <w:rPr>
          <w:rFonts w:ascii="Times New Roman" w:cs="Times New Roman" w:eastAsia="Times New Roman" w:hAnsi="Times New Roman"/>
          <w:sz w:val="22"/>
          <w:szCs w:val="22"/>
          <w:color w:val="auto"/>
        </w:rPr>
        <w:t>response, remedial or other actions or damages pursuant to any applicable Environmental Law and (ii) any and all Environmental Claims by any third party seeking damages, contribution, indemnification, cost recovery, compensation or injunctive relief resulting from Hazardous Materials or arising from alleged injury or threat of injury to health, safety or the environment.</w:t>
      </w:r>
    </w:p>
    <w:p>
      <w:pPr>
        <w:spacing w:after="0" w:line="169" w:lineRule="exact"/>
        <w:rPr>
          <w:sz w:val="20"/>
          <w:szCs w:val="20"/>
          <w:color w:val="auto"/>
        </w:rPr>
      </w:pPr>
    </w:p>
    <w:p>
      <w:pPr>
        <w:ind w:left="1580" w:hanging="924"/>
        <w:spacing w:after="0"/>
        <w:tabs>
          <w:tab w:leader="none" w:pos="15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5"/>
        <w:spacing w:after="0" w:line="265" w:lineRule="auto"/>
        <w:tabs>
          <w:tab w:leader="none" w:pos="1728"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Landlord Transfer</w:t>
      </w:r>
      <w:r>
        <w:rPr>
          <w:rFonts w:ascii="Times New Roman" w:cs="Times New Roman" w:eastAsia="Times New Roman" w:hAnsi="Times New Roman"/>
          <w:sz w:val="22"/>
          <w:szCs w:val="22"/>
          <w:color w:val="auto"/>
        </w:rPr>
        <w:t>. Landlord may transfer any portion of the Building and any of its rights under this Lease.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assigns its rights under this Lease, then Landlord shall thereby be released from any further obligations hereunder arising after the date of transfer, provided that the assignee assumes Landlord’s obligations hereunder in writing.</w:t>
      </w:r>
    </w:p>
    <w:p>
      <w:pPr>
        <w:spacing w:after="0" w:line="161" w:lineRule="exact"/>
        <w:rPr>
          <w:rFonts w:ascii="Times New Roman" w:cs="Times New Roman" w:eastAsia="Times New Roman" w:hAnsi="Times New Roman"/>
          <w:sz w:val="22"/>
          <w:szCs w:val="22"/>
          <w:color w:val="auto"/>
        </w:rPr>
      </w:pPr>
    </w:p>
    <w:p>
      <w:pPr>
        <w:ind w:left="1820" w:hanging="515"/>
        <w:spacing w:after="0"/>
        <w:tabs>
          <w:tab w:leader="none" w:pos="182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Landlord’s Liability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 LIABILITY OF LANDLORD (AND ITS PARTNERS, SHAREHOLDERS</w:t>
      </w:r>
    </w:p>
    <w:p>
      <w:pPr>
        <w:spacing w:after="0" w:line="33" w:lineRule="exact"/>
        <w:rPr>
          <w:rFonts w:ascii="Times New Roman" w:cs="Times New Roman" w:eastAsia="Times New Roman" w:hAnsi="Times New Roman"/>
          <w:sz w:val="22"/>
          <w:szCs w:val="22"/>
          <w:color w:val="auto"/>
        </w:rPr>
      </w:pPr>
    </w:p>
    <w:p>
      <w:pPr>
        <w:jc w:val="both"/>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OR MEMBERS) TO TENANT (OR ANY PERSON OR ENTITY CLAIMING BY, THROUGH OR UNDER TENANT) FOR ANY DEFAULT BY LANDLORD UNDER THE TERMS OF THIS LEASE OR ANY MATTER RELATING TO OR ARISING OUT OF THE OCCUPANCY OR USE OF THE PREMISES AND/OR OTHER AREAS OF THE BUILDING OR COMPLEX SHALL BE LIMITED TO TENANT’S ACTUAL DIRECT, BUT NOT CONSEQUENTIAL (OR OTHER SPECULATIVE), DAMAGES THEREFOR AND SHALL BE RECOVERABLE ONLY FROM THE INTEREST OF LANDLORD IN THE BUILDING, AND LANDLORD (AND ITS PARTNERS, SHAREHOLDERS OR MEMBERS) SHALL NOT BE PERSONALLY LIABLE FOR ANY DEFICIENCY.</w:t>
      </w:r>
    </w:p>
    <w:p>
      <w:pPr>
        <w:spacing w:after="0" w:line="180" w:lineRule="exact"/>
        <w:rPr>
          <w:rFonts w:ascii="Times New Roman" w:cs="Times New Roman" w:eastAsia="Times New Roman" w:hAnsi="Times New Roman"/>
          <w:sz w:val="22"/>
          <w:szCs w:val="22"/>
          <w:color w:val="auto"/>
        </w:rPr>
      </w:pPr>
    </w:p>
    <w:p>
      <w:pPr>
        <w:jc w:val="both"/>
        <w:ind w:firstLine="1305"/>
        <w:spacing w:after="0" w:line="252" w:lineRule="auto"/>
        <w:tabs>
          <w:tab w:leader="none" w:pos="175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Force Majeure</w:t>
      </w:r>
      <w:r>
        <w:rPr>
          <w:rFonts w:ascii="Times New Roman" w:cs="Times New Roman" w:eastAsia="Times New Roman" w:hAnsi="Times New Roman"/>
          <w:sz w:val="22"/>
          <w:szCs w:val="22"/>
          <w:color w:val="auto"/>
        </w:rPr>
        <w:t>. Other than for Tenant’s obligations under this Lease that can be performed by the payment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money (e.g., payment of Rent and maintenance of insurance) and Tenant’s obligations pursuant to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acts of terrorism, governmental laws, regulations, or restrictions, or any other causes of any kind whatsoever which are beyond the control of such party.</w:t>
      </w:r>
    </w:p>
    <w:p>
      <w:pPr>
        <w:spacing w:after="0" w:line="175" w:lineRule="exact"/>
        <w:rPr>
          <w:rFonts w:ascii="Times New Roman" w:cs="Times New Roman" w:eastAsia="Times New Roman" w:hAnsi="Times New Roman"/>
          <w:sz w:val="22"/>
          <w:szCs w:val="22"/>
          <w:color w:val="auto"/>
        </w:rPr>
      </w:pPr>
    </w:p>
    <w:p>
      <w:pPr>
        <w:jc w:val="both"/>
        <w:ind w:firstLine="1305"/>
        <w:spacing w:after="0" w:line="250" w:lineRule="auto"/>
        <w:tabs>
          <w:tab w:leader="none" w:pos="182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Brokerage</w:t>
      </w:r>
      <w:r>
        <w:rPr>
          <w:rFonts w:ascii="Times New Roman" w:cs="Times New Roman" w:eastAsia="Times New Roman" w:hAnsi="Times New Roman"/>
          <w:sz w:val="22"/>
          <w:szCs w:val="22"/>
          <w:color w:val="auto"/>
        </w:rPr>
        <w:t>. Landlord and Tenant warrant and represent to each other that neither party has dealt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 or agent in connection with the negotiation or execution of this Lease other than as set forth in the Basic Lease Information. Landlord and Tenant shall indemnity, defend and hold each other, harmless from and against all costs, expenses, attorney’s fees, liens or liability for any commissions or other compensation claimed by any other broker or agent, with respect to this Lease or the negotiation thereof, based on the actions of the indemnifying party, its agents or representatives. The obligations of each party contained herein shall survive the expiration or earlier termination of the Lease. Landlord shall be responsible for the payment of brokerage commissions or fees to each of the brokers listed in the Basic Lease Information.</w:t>
      </w:r>
    </w:p>
    <w:p>
      <w:pPr>
        <w:spacing w:after="0" w:line="181" w:lineRule="exact"/>
        <w:rPr>
          <w:sz w:val="20"/>
          <w:szCs w:val="20"/>
          <w:color w:val="auto"/>
        </w:rPr>
      </w:pPr>
    </w:p>
    <w:p>
      <w:pPr>
        <w:jc w:val="both"/>
        <w:ind w:right="20" w:firstLine="1305"/>
        <w:spacing w:after="0" w:line="259" w:lineRule="auto"/>
        <w:tabs>
          <w:tab w:leader="none" w:pos="160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Estoppel Certificates</w:t>
      </w:r>
      <w:r>
        <w:rPr>
          <w:rFonts w:ascii="Times New Roman" w:cs="Times New Roman" w:eastAsia="Times New Roman" w:hAnsi="Times New Roman"/>
          <w:sz w:val="22"/>
          <w:szCs w:val="22"/>
          <w:color w:val="auto"/>
        </w:rPr>
        <w:t>. From time to time, but not more frequently than once in any twelve (12) month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in connection with a sale of Building, a refinancing of the debt on the Building or an Event of Default by Tenant hereunder, Tenant shall furnish to any</w:t>
      </w:r>
    </w:p>
    <w:p>
      <w:pPr>
        <w:sectPr>
          <w:pgSz w:w="11900" w:h="16838" w:orient="portrait"/>
          <w:cols w:equalWidth="0" w:num="1">
            <w:col w:w="11420"/>
          </w:cols>
          <w:pgMar w:left="240" w:top="625" w:right="239" w:bottom="1440" w:gutter="0" w:footer="0" w:header="0"/>
        </w:sectPr>
      </w:pPr>
    </w:p>
    <w:bookmarkStart w:id="71" w:name="page72"/>
    <w:bookmarkEnd w:id="71"/>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party designated by Landlord, within ten (10) Business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Building, the initial form of estoppel certificate to be signed by Tenant is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2220" w:hanging="915"/>
        <w:spacing w:after="0"/>
        <w:tabs>
          <w:tab w:leader="none" w:pos="22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and other communications given pursuant to this Lease shall be in writing and shall</w:t>
      </w:r>
    </w:p>
    <w:p>
      <w:pPr>
        <w:spacing w:after="0" w:line="31" w:lineRule="exact"/>
        <w:rPr>
          <w:rFonts w:ascii="Times New Roman" w:cs="Times New Roman" w:eastAsia="Times New Roman" w:hAnsi="Times New Roman"/>
          <w:sz w:val="22"/>
          <w:szCs w:val="22"/>
          <w:color w:val="auto"/>
        </w:rPr>
      </w:pPr>
    </w:p>
    <w:p>
      <w:pPr>
        <w:jc w:val="both"/>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(1) mailed by first class, United States Mail, postage prepaid, certified, with return receipt requested, and addressed to the parties hereto at the address specified in the Basic Lease Information; (2) hand delivered to the intended addressee; (3) sent by a nationally recognized overnight courier service; or (4) sent by facsimile transmission during Normal Business Hours followed by a copy of such notice sent in another manner permitted hereunder. All notices shall be effective upon the earlier to occur of actual receipt, one (1) Business Day following deposit with a nationally recognized overnight courier service, or three (3) days following deposit in the United States mail. The parties hereto may change their addresses by giving notice thereof to the other in conformity with this provision.</w:t>
      </w:r>
    </w:p>
    <w:p>
      <w:pPr>
        <w:spacing w:after="0" w:line="183" w:lineRule="exact"/>
        <w:rPr>
          <w:rFonts w:ascii="Times New Roman" w:cs="Times New Roman" w:eastAsia="Times New Roman" w:hAnsi="Times New Roman"/>
          <w:sz w:val="22"/>
          <w:szCs w:val="22"/>
          <w:color w:val="auto"/>
        </w:rPr>
      </w:pPr>
    </w:p>
    <w:p>
      <w:pPr>
        <w:jc w:val="both"/>
        <w:ind w:firstLine="1305"/>
        <w:spacing w:after="0" w:line="259" w:lineRule="auto"/>
        <w:tabs>
          <w:tab w:leader="none" w:pos="225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Separability</w:t>
      </w:r>
      <w:r>
        <w:rPr>
          <w:rFonts w:ascii="Times New Roman" w:cs="Times New Roman" w:eastAsia="Times New Roman" w:hAnsi="Times New Roman"/>
          <w:sz w:val="22"/>
          <w:szCs w:val="22"/>
          <w:color w:val="auto"/>
        </w:rPr>
        <w:t>. If any clause or provision of this Lease is illegal, invalid, or unenforceable under present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future Laws, then the remainder of this Lease shall not be affected thereby and shall remain valid and be enforced to the fullest extent permitted by law.</w:t>
      </w:r>
    </w:p>
    <w:p>
      <w:pPr>
        <w:spacing w:after="0" w:line="166" w:lineRule="exact"/>
        <w:rPr>
          <w:rFonts w:ascii="Times New Roman" w:cs="Times New Roman" w:eastAsia="Times New Roman" w:hAnsi="Times New Roman"/>
          <w:sz w:val="22"/>
          <w:szCs w:val="22"/>
          <w:color w:val="auto"/>
        </w:rPr>
      </w:pPr>
    </w:p>
    <w:p>
      <w:pPr>
        <w:jc w:val="both"/>
        <w:ind w:firstLine="1305"/>
        <w:spacing w:after="0" w:line="247" w:lineRule="auto"/>
        <w:tabs>
          <w:tab w:leader="none" w:pos="225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Binding Effect</w:t>
      </w:r>
      <w:r>
        <w:rPr>
          <w:rFonts w:ascii="Times New Roman" w:cs="Times New Roman" w:eastAsia="Times New Roman" w:hAnsi="Times New Roman"/>
          <w:sz w:val="22"/>
          <w:szCs w:val="22"/>
          <w:color w:val="auto"/>
        </w:rPr>
        <w:t>. This Lease may not be amended except by instrument in writing 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Landlord and Tenant. No provision of this Lease shall be 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p>
    <w:p>
      <w:pPr>
        <w:spacing w:after="0" w:line="186" w:lineRule="exact"/>
        <w:rPr>
          <w:rFonts w:ascii="Times New Roman" w:cs="Times New Roman" w:eastAsia="Times New Roman" w:hAnsi="Times New Roman"/>
          <w:sz w:val="22"/>
          <w:szCs w:val="22"/>
          <w:color w:val="auto"/>
        </w:rPr>
      </w:pPr>
    </w:p>
    <w:p>
      <w:pPr>
        <w:jc w:val="both"/>
        <w:ind w:firstLine="1305"/>
        <w:spacing w:after="0" w:line="259" w:lineRule="auto"/>
        <w:tabs>
          <w:tab w:leader="none" w:pos="22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Quiet Enjoyment</w:t>
      </w:r>
      <w:r>
        <w:rPr>
          <w:rFonts w:ascii="Times New Roman" w:cs="Times New Roman" w:eastAsia="Times New Roman" w:hAnsi="Times New Roman"/>
          <w:sz w:val="22"/>
          <w:szCs w:val="22"/>
          <w:color w:val="auto"/>
        </w:rPr>
        <w:t>. Provided Tenant has performed all of its obligations hereunder, Tenant shall peaceably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quietly hold and enjoy the Premises for the Term, without hindrance from Landlord or any party claiming by, through, or under Landlord, but not otherwise, subject to the terms and conditions of this Lease.</w:t>
      </w:r>
    </w:p>
    <w:p>
      <w:pPr>
        <w:spacing w:after="0" w:line="166" w:lineRule="exact"/>
        <w:rPr>
          <w:rFonts w:ascii="Times New Roman" w:cs="Times New Roman" w:eastAsia="Times New Roman" w:hAnsi="Times New Roman"/>
          <w:sz w:val="22"/>
          <w:szCs w:val="22"/>
          <w:color w:val="auto"/>
        </w:rPr>
      </w:pPr>
    </w:p>
    <w:p>
      <w:pPr>
        <w:jc w:val="both"/>
        <w:ind w:firstLine="1305"/>
        <w:spacing w:after="0" w:line="259" w:lineRule="auto"/>
        <w:tabs>
          <w:tab w:leader="none" w:pos="221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Merger</w:t>
      </w:r>
      <w:r>
        <w:rPr>
          <w:rFonts w:ascii="Times New Roman" w:cs="Times New Roman" w:eastAsia="Times New Roman" w:hAnsi="Times New Roman"/>
          <w:sz w:val="22"/>
          <w:szCs w:val="22"/>
          <w:color w:val="auto"/>
        </w:rPr>
        <w:t>. There shall be no merger of the leasehold estate hereby created with the fee estate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Premises or any part thereof if the same person acquires or holds, directly or indirectly, this Lease or any interest in this Lease and the fee estate in the leasehold Premises or any interest in such fee estate.</w:t>
      </w:r>
    </w:p>
    <w:p>
      <w:pPr>
        <w:spacing w:after="0" w:line="166" w:lineRule="exact"/>
        <w:rPr>
          <w:rFonts w:ascii="Times New Roman" w:cs="Times New Roman" w:eastAsia="Times New Roman" w:hAnsi="Times New Roman"/>
          <w:sz w:val="22"/>
          <w:szCs w:val="22"/>
          <w:color w:val="auto"/>
        </w:rPr>
      </w:pPr>
    </w:p>
    <w:p>
      <w:pPr>
        <w:ind w:firstLine="1305"/>
        <w:spacing w:after="0" w:line="275" w:lineRule="auto"/>
        <w:tabs>
          <w:tab w:leader="none" w:pos="225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Offer</w:t>
      </w:r>
      <w:r>
        <w:rPr>
          <w:rFonts w:ascii="Times New Roman" w:cs="Times New Roman" w:eastAsia="Times New Roman" w:hAnsi="Times New Roman"/>
          <w:sz w:val="22"/>
          <w:szCs w:val="22"/>
          <w:color w:val="auto"/>
        </w:rPr>
        <w:t>. The submission of this Lease to Tenant shall not be construed as an offer, and Tenant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any rights under this Lease unless Landlord executes a copy of this Lease and delivers it to Tenant.</w:t>
      </w:r>
    </w:p>
    <w:p>
      <w:pPr>
        <w:sectPr>
          <w:pgSz w:w="11900" w:h="16838" w:orient="portrait"/>
          <w:cols w:equalWidth="0" w:num="1">
            <w:col w:w="11420"/>
          </w:cols>
          <w:pgMar w:left="240" w:top="625" w:right="239" w:bottom="1440" w:gutter="0" w:footer="0" w:header="0"/>
        </w:sectPr>
      </w:pPr>
    </w:p>
    <w:bookmarkStart w:id="72" w:name="page73"/>
    <w:bookmarkEnd w:id="72"/>
    <w:p>
      <w:pPr>
        <w:jc w:val="both"/>
        <w:ind w:left="-1200" w:firstLine="1305"/>
        <w:spacing w:after="0" w:line="251" w:lineRule="auto"/>
        <w:tabs>
          <w:tab w:leader="none" w:pos="101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Lease constitutes the entire agreement between Landlord and Tenant regarding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p>
    <w:p>
      <w:pPr>
        <w:spacing w:after="0" w:line="176" w:lineRule="exact"/>
        <w:rPr>
          <w:rFonts w:ascii="Times New Roman" w:cs="Times New Roman" w:eastAsia="Times New Roman" w:hAnsi="Times New Roman"/>
          <w:sz w:val="22"/>
          <w:szCs w:val="22"/>
          <w:color w:val="auto"/>
        </w:rPr>
      </w:pPr>
    </w:p>
    <w:p>
      <w:pPr>
        <w:jc w:val="both"/>
        <w:ind w:left="-1200" w:firstLine="1305"/>
        <w:spacing w:after="0" w:line="251" w:lineRule="auto"/>
        <w:tabs>
          <w:tab w:leader="none" w:pos="112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TO THE MAXIMUM EXTENT PERMITTED BY LAW, LANDLORD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EACH WAIVE ANY RIGHT TO TRIAL BY JURY IN ANY LITIGATION OR TO HAVE A JURY PARTICIPATE IN RESOLVING ANY DISPUTE ARISING OUT OF OR WITH RESPECT TO THIS LEASE OR ANY OTHER INSTRUMENT, DOCUMENT OR AGREEMENT EXECUTED OR DELIVERED IN CONNECTION HEREWITH OR THE TRANSACTIONS RELATED HERETO.</w:t>
      </w:r>
    </w:p>
    <w:p>
      <w:pPr>
        <w:spacing w:after="0" w:line="176" w:lineRule="exact"/>
        <w:rPr>
          <w:rFonts w:ascii="Times New Roman" w:cs="Times New Roman" w:eastAsia="Times New Roman" w:hAnsi="Times New Roman"/>
          <w:sz w:val="22"/>
          <w:szCs w:val="22"/>
          <w:color w:val="auto"/>
        </w:rPr>
      </w:pPr>
    </w:p>
    <w:p>
      <w:pPr>
        <w:ind w:left="-1200" w:firstLine="1305"/>
        <w:spacing w:after="0" w:line="275" w:lineRule="auto"/>
        <w:tabs>
          <w:tab w:leader="none" w:pos="105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Lease shall be governed by and construed in accordance with the laws of the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which the Premises are located (the “</w:t>
      </w:r>
      <w:r>
        <w:rPr>
          <w:rFonts w:ascii="Times New Roman" w:cs="Times New Roman" w:eastAsia="Times New Roman" w:hAnsi="Times New Roman"/>
          <w:sz w:val="22"/>
          <w:szCs w:val="22"/>
          <w:b w:val="1"/>
          <w:bCs w:val="1"/>
          <w:u w:val="single" w:color="auto"/>
          <w:color w:val="auto"/>
        </w:rPr>
        <w:t>State</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jc w:val="both"/>
        <w:ind w:left="-1200" w:firstLine="1305"/>
        <w:spacing w:after="0" w:line="251" w:lineRule="auto"/>
        <w:tabs>
          <w:tab w:leader="none" w:pos="105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Recording</w:t>
      </w:r>
      <w:r>
        <w:rPr>
          <w:rFonts w:ascii="Times New Roman" w:cs="Times New Roman" w:eastAsia="Times New Roman" w:hAnsi="Times New Roman"/>
          <w:sz w:val="22"/>
          <w:szCs w:val="22"/>
          <w:color w:val="auto"/>
        </w:rPr>
        <w:t>. Tenant shall not record this Lease or any memorandum of this Lease without the prior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of Landlord, which consent may be withheld or denied in the sole and absolute discretion of Landlord, and any recordation by Tenant shall be a material breach of this Lease. Tenant grants to Landlord a power of attorney to execute and record a release releasing any such recorded instrument of record that was recorded without the prior written consent of Landlord, which power of attorney is coupled with an interest and is non-revocable during the Term.</w:t>
      </w:r>
    </w:p>
    <w:p>
      <w:pPr>
        <w:spacing w:after="0" w:line="176" w:lineRule="exact"/>
        <w:rPr>
          <w:rFonts w:ascii="Times New Roman" w:cs="Times New Roman" w:eastAsia="Times New Roman" w:hAnsi="Times New Roman"/>
          <w:sz w:val="22"/>
          <w:szCs w:val="22"/>
          <w:color w:val="auto"/>
        </w:rPr>
      </w:pPr>
    </w:p>
    <w:p>
      <w:pPr>
        <w:jc w:val="both"/>
        <w:ind w:left="-1200" w:firstLine="1305"/>
        <w:spacing w:after="0" w:line="254" w:lineRule="auto"/>
        <w:tabs>
          <w:tab w:leader="none" w:pos="105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Joint and Several Liability</w:t>
      </w:r>
      <w:r>
        <w:rPr>
          <w:rFonts w:ascii="Times New Roman" w:cs="Times New Roman" w:eastAsia="Times New Roman" w:hAnsi="Times New Roman"/>
          <w:sz w:val="22"/>
          <w:szCs w:val="22"/>
          <w:color w:val="auto"/>
        </w:rPr>
        <w:t>. If Tenant is comprised of more than one (1) party, each such party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p>
    <w:p>
      <w:pPr>
        <w:spacing w:after="0" w:line="171" w:lineRule="exact"/>
        <w:rPr>
          <w:rFonts w:ascii="Times New Roman" w:cs="Times New Roman" w:eastAsia="Times New Roman" w:hAnsi="Times New Roman"/>
          <w:sz w:val="22"/>
          <w:szCs w:val="22"/>
          <w:color w:val="auto"/>
        </w:rPr>
      </w:pPr>
    </w:p>
    <w:p>
      <w:pPr>
        <w:jc w:val="both"/>
        <w:ind w:left="-1200" w:firstLine="1305"/>
        <w:spacing w:after="0" w:line="259" w:lineRule="auto"/>
        <w:tabs>
          <w:tab w:leader="none" w:pos="1064"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Financial Reports</w:t>
      </w:r>
      <w:r>
        <w:rPr>
          <w:rFonts w:ascii="Times New Roman" w:cs="Times New Roman" w:eastAsia="Times New Roman" w:hAnsi="Times New Roman"/>
          <w:sz w:val="21"/>
          <w:szCs w:val="21"/>
          <w:color w:val="auto"/>
        </w:rPr>
        <w:t>. Within fifteen (15) days after Landlord’s request, Tenant will furnish Tenant’s most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Tenant will discuss its financial statements with Landlord and, following the occurrence of an Event of Default hereunder, will give Landlord access to Tenant’s books and records in order to enable Landlord to verify the financial statements. Landlord will not disclose any aspect of Tenant’s financial statements that Tenant designates to Landlord as confidential except: (1) to Landlord’s Mortgagee or prospective mortgagees or purchasers of the Building; (2) to Landlord’s advisors and consultants; (3) in litigation between Landlord and Tenant; and (4) if required by court order. Tenant shall not be required to deliver the financial statements required</w:t>
      </w:r>
    </w:p>
    <w:p>
      <w:pPr>
        <w:sectPr>
          <w:pgSz w:w="11900" w:h="16838" w:orient="portrait"/>
          <w:cols w:equalWidth="0" w:num="1">
            <w:col w:w="10220"/>
          </w:cols>
          <w:pgMar w:left="1440" w:top="621" w:right="239" w:bottom="1440" w:gutter="0" w:footer="0" w:header="0"/>
        </w:sectPr>
      </w:pPr>
    </w:p>
    <w:bookmarkStart w:id="73" w:name="page74"/>
    <w:bookmarkEnd w:id="73"/>
    <w:p>
      <w:pPr>
        <w:spacing w:after="0" w:line="271" w:lineRule="auto"/>
        <w:rPr>
          <w:sz w:val="20"/>
          <w:szCs w:val="20"/>
          <w:color w:val="auto"/>
        </w:rPr>
      </w:pPr>
      <w:r>
        <w:rPr>
          <w:rFonts w:ascii="Times New Roman" w:cs="Times New Roman" w:eastAsia="Times New Roman" w:hAnsi="Times New Roman"/>
          <w:sz w:val="22"/>
          <w:szCs w:val="22"/>
          <w:color w:val="auto"/>
        </w:rPr>
        <w:t>under this Section 26(q) more than once in any twelve (12) month period unless requested by Landlord’s Mortgagee or a prospective buyer or lender of the Building or an Event of Default occurs.</w:t>
      </w:r>
    </w:p>
    <w:p>
      <w:pPr>
        <w:spacing w:after="0" w:line="154" w:lineRule="exact"/>
        <w:rPr>
          <w:sz w:val="20"/>
          <w:szCs w:val="20"/>
          <w:color w:val="auto"/>
        </w:rPr>
      </w:pPr>
    </w:p>
    <w:p>
      <w:pPr>
        <w:jc w:val="both"/>
        <w:ind w:firstLine="1305"/>
        <w:spacing w:after="0" w:line="249" w:lineRule="auto"/>
        <w:tabs>
          <w:tab w:leader="none" w:pos="222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Landlord’s Fees</w:t>
      </w:r>
      <w:r>
        <w:rPr>
          <w:rFonts w:ascii="Times New Roman" w:cs="Times New Roman" w:eastAsia="Times New Roman" w:hAnsi="Times New Roman"/>
          <w:sz w:val="22"/>
          <w:szCs w:val="22"/>
          <w:color w:val="auto"/>
        </w:rPr>
        <w:t>. Whenever Tenant requests Landlord to take any action not required of it hereunder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 any consent required or permitted under this Lease, Tenant will reimburse Landlord for Landlord’s reasonable, documented out-of-pocket costs payable to third parties and incurred by Landlord in reviewing the proposed action or consent, including reasonable and documented attorneys’, engineers’ or architects’ fees, within thirty (30) days after Landlord’s delivery to Tenant of a statement of such costs. Tenant will be obligated to make such reimbursement without regard to whether Landlord consents to any such proposed action.</w:t>
      </w:r>
    </w:p>
    <w:p>
      <w:pPr>
        <w:spacing w:after="0" w:line="180" w:lineRule="exact"/>
        <w:rPr>
          <w:rFonts w:ascii="Times New Roman" w:cs="Times New Roman" w:eastAsia="Times New Roman" w:hAnsi="Times New Roman"/>
          <w:sz w:val="22"/>
          <w:szCs w:val="22"/>
          <w:color w:val="auto"/>
        </w:rPr>
      </w:pPr>
    </w:p>
    <w:p>
      <w:pPr>
        <w:jc w:val="both"/>
        <w:ind w:firstLine="1305"/>
        <w:spacing w:after="0" w:line="246" w:lineRule="auto"/>
        <w:tabs>
          <w:tab w:leader="none" w:pos="232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Telecommunications</w:t>
      </w:r>
      <w:r>
        <w:rPr>
          <w:rFonts w:ascii="Times New Roman" w:cs="Times New Roman" w:eastAsia="Times New Roman" w:hAnsi="Times New Roman"/>
          <w:sz w:val="22"/>
          <w:szCs w:val="22"/>
          <w:color w:val="auto"/>
        </w:rPr>
        <w:t>. Tenant and its telecommunications companies, including local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telecommunications companies and alternative access vendor services companies, shall have no right of access to and within the Building, other than the Premises, for the installation and operation of telecommunications systems, including voice, video, data, Internet, and any other services provided over wire, fiber optic, microwave, wireless, and any other transmission systems (“</w:t>
      </w:r>
      <w:r>
        <w:rPr>
          <w:rFonts w:ascii="Times New Roman" w:cs="Times New Roman" w:eastAsia="Times New Roman" w:hAnsi="Times New Roman"/>
          <w:sz w:val="22"/>
          <w:szCs w:val="22"/>
          <w:b w:val="1"/>
          <w:bCs w:val="1"/>
          <w:u w:val="single" w:color="auto"/>
          <w:color w:val="auto"/>
        </w:rPr>
        <w:t>Telecommunications Services</w:t>
      </w:r>
      <w:r>
        <w:rPr>
          <w:rFonts w:ascii="Times New Roman" w:cs="Times New Roman" w:eastAsia="Times New Roman" w:hAnsi="Times New Roman"/>
          <w:sz w:val="22"/>
          <w:szCs w:val="22"/>
          <w:color w:val="auto"/>
        </w:rPr>
        <w:t>”), for part or all of Tenant’s telecommunications within the Building and from the Building to any other location without Landlord’s prior written consent. All providers of Telecommunications Services shall be required to comply with the reasonable rules and regulations of the Building, applicable Laws and Landlord’s policies and practices for the Building. Tenant acknowledges that Landlord shall not be required to provide or arrange for any Telecommunications Services and that Landlord shall have no liability to any Tenant Party in connection with the installation, operation or maintenance of Telecommunications Services or any equipment or facilities relating thereto. Tenant, at its cost and for its own account, shall be solely responsible for obtaining all Telecommunications Services.</w:t>
      </w:r>
    </w:p>
    <w:p>
      <w:pPr>
        <w:spacing w:after="0" w:line="186" w:lineRule="exact"/>
        <w:rPr>
          <w:rFonts w:ascii="Times New Roman" w:cs="Times New Roman" w:eastAsia="Times New Roman" w:hAnsi="Times New Roman"/>
          <w:sz w:val="22"/>
          <w:szCs w:val="22"/>
          <w:color w:val="auto"/>
        </w:rPr>
      </w:pPr>
    </w:p>
    <w:p>
      <w:pPr>
        <w:ind w:left="2420" w:hanging="1115"/>
        <w:spacing w:after="0"/>
        <w:tabs>
          <w:tab w:leader="none" w:pos="24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953"/>
        <w:spacing w:after="0" w:line="250" w:lineRule="auto"/>
        <w:tabs>
          <w:tab w:leader="none" w:pos="253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represents and warrants to, and covenants with, Landlord that neither Tenant nor, to its knowledge, any of its Affiliates currently are, or shall be at any time during the Term hereof, in violation of any laws relating to terrorism or money laundering (collectively, the “</w:t>
      </w:r>
      <w:r>
        <w:rPr>
          <w:rFonts w:ascii="Times New Roman" w:cs="Times New Roman" w:eastAsia="Times New Roman" w:hAnsi="Times New Roman"/>
          <w:sz w:val="22"/>
          <w:szCs w:val="22"/>
          <w:b w:val="1"/>
          <w:bCs w:val="1"/>
          <w:u w:val="single" w:color="auto"/>
          <w:color w:val="auto"/>
        </w:rPr>
        <w:t>Anti-Terrorism Laws</w:t>
      </w:r>
      <w:r>
        <w:rPr>
          <w:rFonts w:ascii="Times New Roman" w:cs="Times New Roman" w:eastAsia="Times New Roman" w:hAnsi="Times New Roman"/>
          <w:sz w:val="22"/>
          <w:szCs w:val="22"/>
          <w:color w:val="auto"/>
        </w:rPr>
        <w:t>”), including without limitation Executive Order No. 13224 on Terrorist Financing, effective September 24, 2001 and relating to Blocking Property and Prohibiting Transactions With Persons Who Commit, Threaten to Commit, or Support Terrorism (the “</w:t>
      </w:r>
      <w:r>
        <w:rPr>
          <w:rFonts w:ascii="Times New Roman" w:cs="Times New Roman" w:eastAsia="Times New Roman" w:hAnsi="Times New Roman"/>
          <w:sz w:val="22"/>
          <w:szCs w:val="22"/>
          <w:b w:val="1"/>
          <w:bCs w:val="1"/>
          <w:u w:val="single" w:color="auto"/>
          <w:color w:val="auto"/>
        </w:rPr>
        <w:t>Executive Order</w:t>
      </w:r>
      <w:r>
        <w:rPr>
          <w:rFonts w:ascii="Times New Roman" w:cs="Times New Roman" w:eastAsia="Times New Roman" w:hAnsi="Times New Roman"/>
          <w:sz w:val="22"/>
          <w:szCs w:val="22"/>
          <w:color w:val="auto"/>
        </w:rPr>
        <w:t>”) and/or the Uniting and Strengthening America by Providing Appropriate Tools Required to Intercept and Obstruct Terrorism Act of 2001 (Public Law 107-56) (the “</w:t>
      </w:r>
      <w:r>
        <w:rPr>
          <w:rFonts w:ascii="Times New Roman" w:cs="Times New Roman" w:eastAsia="Times New Roman" w:hAnsi="Times New Roman"/>
          <w:sz w:val="22"/>
          <w:szCs w:val="22"/>
          <w:b w:val="1"/>
          <w:bCs w:val="1"/>
          <w:u w:val="single" w:color="auto"/>
          <w:color w:val="auto"/>
        </w:rPr>
        <w:t>USA Patriot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Act</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953"/>
        <w:spacing w:after="0" w:line="265" w:lineRule="auto"/>
        <w:tabs>
          <w:tab w:leader="none" w:pos="2402"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covenants with Landlord that Tenant shall not be during the Term hereof a “Prohibited Person,” which is defined as follows: (A) a person or entity that is listed in the Annex to, or is otherwise subject to, the provisions of the Executive Order; (B) a person or entity owned or controlled by, or acting for or on behalf of, any person or entity that is listed in the Annex to, or is otherwise subject to the provisions of, the Executive Order; (C) a person or entity with whom Landlord is prohibited from dealing with or otherwise engaging in any transaction by any Anti-Terrorism Law, including without limitation the Executive Order and the USA Patriot Act; (D) a person or entity who commits, threatens or conspires to commit or support “terrorism” as</w:t>
      </w:r>
    </w:p>
    <w:p>
      <w:pPr>
        <w:sectPr>
          <w:pgSz w:w="11900" w:h="16838" w:orient="portrait"/>
          <w:cols w:equalWidth="0" w:num="1">
            <w:col w:w="11420"/>
          </w:cols>
          <w:pgMar w:left="240" w:top="625" w:right="239" w:bottom="1440" w:gutter="0" w:footer="0" w:header="0"/>
        </w:sectPr>
      </w:pPr>
    </w:p>
    <w:bookmarkStart w:id="74" w:name="page75"/>
    <w:bookmarkEnd w:id="74"/>
    <w:p>
      <w:pPr>
        <w:jc w:val="both"/>
        <w:ind w:right="20"/>
        <w:spacing w:after="0" w:line="268" w:lineRule="auto"/>
        <w:rPr>
          <w:sz w:val="20"/>
          <w:szCs w:val="20"/>
          <w:color w:val="auto"/>
        </w:rPr>
      </w:pPr>
      <w:r>
        <w:rPr>
          <w:rFonts w:ascii="Times New Roman" w:cs="Times New Roman" w:eastAsia="Times New Roman" w:hAnsi="Times New Roman"/>
          <w:sz w:val="21"/>
          <w:szCs w:val="21"/>
          <w:color w:val="auto"/>
        </w:rPr>
        <w:t xml:space="preserve">defined in Section 3(d) of the Executive Order; (E) a person or entity that is named as a “specially designated national and blocked person” on the then-most current list published by the U.S. Treasury Department Office of Foreign Assets Control at its official website, </w:t>
      </w:r>
      <w:r>
        <w:rPr>
          <w:rFonts w:ascii="Times New Roman" w:cs="Times New Roman" w:eastAsia="Times New Roman" w:hAnsi="Times New Roman"/>
          <w:sz w:val="21"/>
          <w:szCs w:val="21"/>
          <w:b w:val="1"/>
          <w:bCs w:val="1"/>
          <w:color w:val="auto"/>
        </w:rPr>
        <w:t>http://www.treas.gov/offices/eotffc/ofac/sdn/t11sdn.pdf</w:t>
      </w:r>
      <w:r>
        <w:rPr>
          <w:rFonts w:ascii="Times New Roman" w:cs="Times New Roman" w:eastAsia="Times New Roman" w:hAnsi="Times New Roman"/>
          <w:sz w:val="21"/>
          <w:szCs w:val="21"/>
          <w:color w:val="auto"/>
        </w:rPr>
        <w:t>, or at any replacement website or other replacement official publication of such list; and (F) a person or entity who is affiliated with a person or entity listed in items (A) through (E), above.</w:t>
      </w:r>
    </w:p>
    <w:p>
      <w:pPr>
        <w:spacing w:after="0" w:line="164" w:lineRule="exact"/>
        <w:rPr>
          <w:sz w:val="20"/>
          <w:szCs w:val="20"/>
          <w:color w:val="auto"/>
        </w:rPr>
      </w:pPr>
    </w:p>
    <w:p>
      <w:pPr>
        <w:jc w:val="both"/>
        <w:ind w:right="20" w:firstLine="1953"/>
        <w:spacing w:after="0" w:line="263" w:lineRule="auto"/>
        <w:tabs>
          <w:tab w:leader="none" w:pos="2489"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and from time-to-time during the Term, Tenant shall deliver to Landlord, within ten (10) days after receipt of a written request therefor, a written certification or such other evidence reasonably acceptable to Landlord evidencing and confirming Tenant’s compliance with this </w:t>
      </w:r>
      <w:r>
        <w:rPr>
          <w:rFonts w:ascii="Times New Roman" w:cs="Times New Roman" w:eastAsia="Times New Roman" w:hAnsi="Times New Roman"/>
          <w:sz w:val="22"/>
          <w:szCs w:val="22"/>
          <w:u w:val="single" w:color="auto"/>
          <w:color w:val="auto"/>
        </w:rPr>
        <w:t>Section 26(t)</w:t>
      </w:r>
      <w:r>
        <w:rPr>
          <w:rFonts w:ascii="Times New Roman" w:cs="Times New Roman" w:eastAsia="Times New Roman" w:hAnsi="Times New Roman"/>
          <w:sz w:val="22"/>
          <w:szCs w:val="22"/>
          <w:color w:val="auto"/>
        </w:rPr>
        <w:t>.</w:t>
      </w:r>
    </w:p>
    <w:p>
      <w:pPr>
        <w:spacing w:after="0" w:line="163" w:lineRule="exact"/>
        <w:rPr>
          <w:rFonts w:ascii="Times New Roman" w:cs="Times New Roman" w:eastAsia="Times New Roman" w:hAnsi="Times New Roman"/>
          <w:sz w:val="22"/>
          <w:szCs w:val="22"/>
          <w:color w:val="auto"/>
        </w:rPr>
      </w:pPr>
    </w:p>
    <w:p>
      <w:pPr>
        <w:jc w:val="both"/>
        <w:ind w:firstLine="1305"/>
        <w:spacing w:after="0" w:line="254" w:lineRule="auto"/>
        <w:tabs>
          <w:tab w:leader="none" w:pos="230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Tenant acknowledges that the terms and conditions of this Lease are to remain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for Landlord’s benefit, and may not be disclosed by Tenant to anyone, by any manner or means, directly or indirectly, without Landlord’s prior written consent. The consent by Landlord to any disclosures shall not be deemed to be a waiver on the part of Landlord of any prohibition against any future disclosure.</w:t>
      </w:r>
    </w:p>
    <w:p>
      <w:pPr>
        <w:spacing w:after="0" w:line="171" w:lineRule="exact"/>
        <w:rPr>
          <w:rFonts w:ascii="Times New Roman" w:cs="Times New Roman" w:eastAsia="Times New Roman" w:hAnsi="Times New Roman"/>
          <w:sz w:val="22"/>
          <w:szCs w:val="22"/>
          <w:color w:val="auto"/>
        </w:rPr>
      </w:pPr>
    </w:p>
    <w:p>
      <w:pPr>
        <w:jc w:val="both"/>
        <w:ind w:firstLine="1305"/>
        <w:spacing w:after="0" w:line="254" w:lineRule="auto"/>
        <w:tabs>
          <w:tab w:leader="none" w:pos="225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Authority</w:t>
      </w:r>
      <w:r>
        <w:rPr>
          <w:rFonts w:ascii="Times New Roman" w:cs="Times New Roman" w:eastAsia="Times New Roman" w:hAnsi="Times New Roman"/>
          <w:sz w:val="22"/>
          <w:szCs w:val="22"/>
          <w:color w:val="auto"/>
        </w:rPr>
        <w:t>. Tenant (if a corporation, partnership or other business entity) hereby represents and warrants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Landlord that Tenant is a duly formed and existing entity qualified to do business in the state in which the Premises are located, that Tenant has full right and authority to execute and deliver this Lease, and that each person signing on behalf of Tenant is authorized to do so.</w:t>
      </w:r>
    </w:p>
    <w:p>
      <w:pPr>
        <w:spacing w:after="0" w:line="171" w:lineRule="exact"/>
        <w:rPr>
          <w:rFonts w:ascii="Times New Roman" w:cs="Times New Roman" w:eastAsia="Times New Roman" w:hAnsi="Times New Roman"/>
          <w:sz w:val="22"/>
          <w:szCs w:val="22"/>
          <w:color w:val="auto"/>
        </w:rPr>
      </w:pPr>
    </w:p>
    <w:p>
      <w:pPr>
        <w:ind w:left="2320" w:hanging="1015"/>
        <w:spacing w:after="0"/>
        <w:tabs>
          <w:tab w:leader="none" w:pos="23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Usufruct</w:t>
      </w:r>
      <w:r>
        <w:rPr>
          <w:rFonts w:ascii="Times New Roman" w:cs="Times New Roman" w:eastAsia="Times New Roman" w:hAnsi="Times New Roman"/>
          <w:sz w:val="22"/>
          <w:szCs w:val="22"/>
          <w:color w:val="auto"/>
        </w:rPr>
        <w:t>. This Lease creates only a usufruct and no estate in land shall be deemed to have passed to</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by reason hereof.</w:t>
      </w:r>
    </w:p>
    <w:p>
      <w:pPr>
        <w:spacing w:after="0" w:line="191" w:lineRule="exact"/>
        <w:rPr>
          <w:rFonts w:ascii="Times New Roman" w:cs="Times New Roman" w:eastAsia="Times New Roman" w:hAnsi="Times New Roman"/>
          <w:sz w:val="22"/>
          <w:szCs w:val="22"/>
          <w:color w:val="auto"/>
        </w:rPr>
      </w:pPr>
    </w:p>
    <w:p>
      <w:pPr>
        <w:jc w:val="both"/>
        <w:ind w:firstLine="1305"/>
        <w:spacing w:after="0" w:line="251" w:lineRule="auto"/>
        <w:tabs>
          <w:tab w:leader="none" w:pos="226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Adjacent Excavation</w:t>
      </w:r>
      <w:r>
        <w:rPr>
          <w:rFonts w:ascii="Times New Roman" w:cs="Times New Roman" w:eastAsia="Times New Roman" w:hAnsi="Times New Roman"/>
          <w:sz w:val="22"/>
          <w:szCs w:val="22"/>
          <w:color w:val="auto"/>
        </w:rPr>
        <w:t>. If an excavation shall be made upon land adjacent to the Building, or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to be made, Tenant shall afford the person causing (or authorized to cause) such excavation access to the Premises for the purpose of doing such work as said person shall deem necessary to preserve or protect the Building or any portion thereof from injury or damage and to support the same by proper foundation, in all events without any claim for damages or indemnity against Landlord or diminution or abatement of Rent.</w:t>
      </w:r>
    </w:p>
    <w:p>
      <w:pPr>
        <w:spacing w:after="0" w:line="176" w:lineRule="exact"/>
        <w:rPr>
          <w:rFonts w:ascii="Times New Roman" w:cs="Times New Roman" w:eastAsia="Times New Roman" w:hAnsi="Times New Roman"/>
          <w:sz w:val="22"/>
          <w:szCs w:val="22"/>
          <w:color w:val="auto"/>
        </w:rPr>
      </w:pPr>
    </w:p>
    <w:p>
      <w:pPr>
        <w:jc w:val="both"/>
        <w:ind w:firstLine="1305"/>
        <w:spacing w:after="0" w:line="247" w:lineRule="auto"/>
        <w:tabs>
          <w:tab w:leader="none" w:pos="19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On-Site Refueling</w:t>
      </w:r>
      <w:r>
        <w:rPr>
          <w:rFonts w:ascii="Times New Roman" w:cs="Times New Roman" w:eastAsia="Times New Roman" w:hAnsi="Times New Roman"/>
          <w:sz w:val="22"/>
          <w:szCs w:val="22"/>
          <w:color w:val="auto"/>
        </w:rPr>
        <w:t>. If Tenant uses any generators, forklifts, trucks or other vehicles or equipment 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Premises or Project and desires to refuel same, then prior to the commencement of any such refueling, Tenant shall comply with the provisions set forth in this Subsection 26(y). In no event shall any refueling occur outside and/or upon the Premises without Landlord’s prior written consent, which consent may be withheld in Landlord’s sole discretion. Tenant hereby covenants and agrees that it shall at all times comply with all applicable federal, state, and local laws, ordinances, rules and regulations, all court orders, governmental directives, and governmental orders and all interpretations of the foregoing, pertaining to secondary containment for fuel storage, distribution or transfer facilities (including without limitation the refueling of vehicles, equipment, generators, or other portable refueling operations), including but not limited to the Spill Prevention, Control, and Countermeasure Plan requirements contained in 40 CFR Part 112 (“SPCC”).</w:t>
      </w:r>
    </w:p>
    <w:p>
      <w:pPr>
        <w:sectPr>
          <w:pgSz w:w="11900" w:h="16838" w:orient="portrait"/>
          <w:cols w:equalWidth="0" w:num="1">
            <w:col w:w="11420"/>
          </w:cols>
          <w:pgMar w:left="240" w:top="625" w:right="239" w:bottom="1440" w:gutter="0" w:footer="0" w:header="0"/>
        </w:sectPr>
      </w:pPr>
    </w:p>
    <w:bookmarkStart w:id="75" w:name="page76"/>
    <w:bookmarkEnd w:id="75"/>
    <w:p>
      <w:pPr>
        <w:jc w:val="both"/>
        <w:ind w:left="4" w:firstLine="1293"/>
        <w:spacing w:after="0" w:line="248" w:lineRule="auto"/>
        <w:tabs>
          <w:tab w:leader="none" w:pos="185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obtain and maintain, in addition to the insurance coverages required in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environmental clean-up and liability insurance in amounts of no less than $2,000,000 per occurrence and pollution liability insurance in amounts of no less than $2,000,000 per occurrence, naming Landlord, Landlord’s property management company and Invesco as an additional insured and otherwise complying with the requirements of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The foregoing coverages are in addition to the coverages required by any contractors or subcontractors performing work at the Project, as more particularly described in </w:t>
      </w:r>
      <w:r>
        <w:rPr>
          <w:rFonts w:ascii="Times New Roman" w:cs="Times New Roman" w:eastAsia="Times New Roman" w:hAnsi="Times New Roman"/>
          <w:sz w:val="22"/>
          <w:szCs w:val="22"/>
          <w:u w:val="single" w:color="auto"/>
          <w:color w:val="auto"/>
        </w:rPr>
        <w:t>Section 8(b)(iii)</w:t>
      </w:r>
      <w:r>
        <w:rPr>
          <w:rFonts w:ascii="Times New Roman" w:cs="Times New Roman" w:eastAsia="Times New Roman" w:hAnsi="Times New Roman"/>
          <w:sz w:val="22"/>
          <w:szCs w:val="22"/>
          <w:color w:val="auto"/>
        </w:rPr>
        <w:t>. A copy of the certificates of insurance shall be provided to Landlord prior to commencement of any refueling activities.</w:t>
      </w:r>
    </w:p>
    <w:p>
      <w:pPr>
        <w:spacing w:after="0" w:line="178" w:lineRule="exact"/>
        <w:rPr>
          <w:rFonts w:ascii="Times New Roman" w:cs="Times New Roman" w:eastAsia="Times New Roman" w:hAnsi="Times New Roman"/>
          <w:sz w:val="22"/>
          <w:szCs w:val="22"/>
          <w:color w:val="auto"/>
        </w:rPr>
      </w:pPr>
    </w:p>
    <w:p>
      <w:pPr>
        <w:jc w:val="both"/>
        <w:ind w:left="4" w:firstLine="1293"/>
        <w:spacing w:after="0" w:line="250" w:lineRule="auto"/>
        <w:tabs>
          <w:tab w:leader="none" w:pos="192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provide Landlord with a formal Spill Management Plan (the “</w:t>
      </w:r>
      <w:r>
        <w:rPr>
          <w:rFonts w:ascii="Times New Roman" w:cs="Times New Roman" w:eastAsia="Times New Roman" w:hAnsi="Times New Roman"/>
          <w:sz w:val="22"/>
          <w:szCs w:val="22"/>
          <w:b w:val="1"/>
          <w:bCs w:val="1"/>
          <w:u w:val="single" w:color="auto"/>
          <w:color w:val="auto"/>
        </w:rPr>
        <w:t>SMP</w:t>
      </w:r>
      <w:r>
        <w:rPr>
          <w:rFonts w:ascii="Times New Roman" w:cs="Times New Roman" w:eastAsia="Times New Roman" w:hAnsi="Times New Roman"/>
          <w:sz w:val="22"/>
          <w:szCs w:val="22"/>
          <w:color w:val="auto"/>
        </w:rPr>
        <w:t>”) for Landlord’s review and written approval. Such SMP must include at a minimum: (a) the types and amounts of fuel that will be used and/or stored at the Premises and Project; (b) the types and number of equipment and/or vehicles that will be refueled; (c) the name(s) of the contractor(s) which will be conducting the refueling and a copy of the contract with such contractor(s);</w:t>
      </w:r>
    </w:p>
    <w:p>
      <w:pPr>
        <w:ind w:left="304" w:hanging="304"/>
        <w:spacing w:after="0"/>
        <w:tabs>
          <w:tab w:leader="none" w:pos="30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insurance certificate evidencing that each such contractor maintains, in addition to the coverages described in </w:t>
      </w:r>
      <w:r>
        <w:rPr>
          <w:rFonts w:ascii="Times New Roman" w:cs="Times New Roman" w:eastAsia="Times New Roman" w:hAnsi="Times New Roman"/>
          <w:sz w:val="21"/>
          <w:szCs w:val="21"/>
          <w:u w:val="single" w:color="auto"/>
          <w:color w:val="auto"/>
        </w:rPr>
        <w:t>Section</w:t>
      </w:r>
    </w:p>
    <w:p>
      <w:pPr>
        <w:spacing w:after="0" w:line="15" w:lineRule="exact"/>
        <w:rPr>
          <w:rFonts w:ascii="Times New Roman" w:cs="Times New Roman" w:eastAsia="Times New Roman" w:hAnsi="Times New Roman"/>
          <w:sz w:val="21"/>
          <w:szCs w:val="21"/>
          <w:color w:val="auto"/>
        </w:rPr>
      </w:pPr>
    </w:p>
    <w:p>
      <w:pPr>
        <w:jc w:val="both"/>
        <w:ind w:left="4"/>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8(b)(iii)</w:t>
      </w:r>
      <w:r>
        <w:rPr>
          <w:rFonts w:ascii="Times New Roman" w:cs="Times New Roman" w:eastAsia="Times New Roman" w:hAnsi="Times New Roman"/>
          <w:sz w:val="22"/>
          <w:szCs w:val="22"/>
          <w:color w:val="auto"/>
        </w:rPr>
        <w:t>, Contractors Pollution Liability insurance on an occurrence basis, in amounts of no less than $2,000,000 per occurrence, naming Tenant, Landlord, Landlord’s property management company and Invesco as additional insureds; (e) the days and times when such refueling will occur, and the location within the Premises or Project designated for refueling activities; (f) a list of the containment supplies that Tenant will have on-hand at all times; and (g) a contingency plan for spills. Tenant shall make such changes to the SMP as may be required by Landlord. No fueling activities shall occur until Landlord has approved Tenant’s SMP in writing. Landlord’s approval of the SMP shall not be a representation or warranty of Landlord that the SMP is adequate for any use or complies with the SPCC or any other Law, but shall merely be the consent of Landlord thereto. Tenant shall comply with, and shall cause each of its contractor’s to comply with, the final SMP that has been approved by Landlord. Tenant shall immediately notify Landlord in writing in the event of any spill at the Premises or Project related to the activities of Tenant or its contractors.</w:t>
      </w:r>
    </w:p>
    <w:p>
      <w:pPr>
        <w:spacing w:after="0" w:line="186" w:lineRule="exact"/>
        <w:rPr>
          <w:rFonts w:ascii="Times New Roman" w:cs="Times New Roman" w:eastAsia="Times New Roman" w:hAnsi="Times New Roman"/>
          <w:sz w:val="21"/>
          <w:szCs w:val="21"/>
          <w:color w:val="auto"/>
        </w:rPr>
      </w:pPr>
    </w:p>
    <w:p>
      <w:pPr>
        <w:jc w:val="both"/>
        <w:ind w:left="4" w:firstLine="1293"/>
        <w:spacing w:after="0" w:line="263" w:lineRule="auto"/>
        <w:tabs>
          <w:tab w:leader="none" w:pos="1877"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Fueling shall occur only over diesel resistive substrate (such as concrete) with methods of controlling run-off in place should a release occur, such control being in accordance with the SPCC and no less than the Landlord-approved SMP. If refueling at the Premises or Project could jeopardize or potentially invalidate a stormwater permit for the Premises or Project, Tenant shall perform such work as may be required (including without limitation installing curbing around fueling operations at Tenant’s cost, in a location and in accordance with plans approved in advance in writing by Landlord), such that there is no adverse effect to such permit and said permit remains valid and in good standing.</w:t>
      </w:r>
    </w:p>
    <w:p>
      <w:pPr>
        <w:spacing w:after="0" w:line="167" w:lineRule="exact"/>
        <w:rPr>
          <w:rFonts w:ascii="Times New Roman" w:cs="Times New Roman" w:eastAsia="Times New Roman" w:hAnsi="Times New Roman"/>
          <w:sz w:val="21"/>
          <w:szCs w:val="21"/>
          <w:color w:val="auto"/>
        </w:rPr>
      </w:pPr>
    </w:p>
    <w:p>
      <w:pPr>
        <w:jc w:val="both"/>
        <w:ind w:left="4" w:firstLine="1293"/>
        <w:spacing w:after="0" w:line="252" w:lineRule="auto"/>
        <w:tabs>
          <w:tab w:leader="none" w:pos="192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obligations (including removal and remedial actions), losses, claims, suits, judgments, liabilities, penalties, damages (including consequential and punitive damages), costs and expenses (including reasonable attorneys’ and consultants’ fees and expenses) of any kind or nature whatsoever that may at any time be incurred by, imposed on or asserted against Landlord or the Indemnitees in connection with refueling</w:t>
      </w:r>
    </w:p>
    <w:p>
      <w:pPr>
        <w:sectPr>
          <w:pgSz w:w="11900" w:h="16838" w:orient="portrait"/>
          <w:cols w:equalWidth="0" w:num="1">
            <w:col w:w="10764"/>
          </w:cols>
          <w:pgMar w:left="896" w:top="625" w:right="2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21"/>
          <w:szCs w:val="21"/>
          <w:color w:val="auto"/>
        </w:rPr>
        <w:t xml:space="preserve">operations at the Premises or Project shall be deemed Hazardous Materials Indemnified Matters, as defined in </w:t>
      </w:r>
      <w:r>
        <w:rPr>
          <w:rFonts w:ascii="Times New Roman" w:cs="Times New Roman" w:eastAsia="Times New Roman" w:hAnsi="Times New Roman"/>
          <w:sz w:val="21"/>
          <w:szCs w:val="21"/>
          <w:u w:val="single" w:color="auto"/>
          <w:color w:val="auto"/>
        </w:rPr>
        <w:t>Section 25(f)</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ind w:left="2260" w:hanging="955"/>
        <w:spacing w:after="0"/>
        <w:tabs>
          <w:tab w:leader="none" w:pos="22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List of Exhibits</w:t>
      </w:r>
      <w:r>
        <w:rPr>
          <w:rFonts w:ascii="Times New Roman" w:cs="Times New Roman" w:eastAsia="Times New Roman" w:hAnsi="Times New Roman"/>
          <w:sz w:val="22"/>
          <w:szCs w:val="22"/>
          <w:color w:val="auto"/>
        </w:rPr>
        <w:t>. All exhibits and attachments attached hereto are incorporated herein by this reference.</w:t>
      </w:r>
    </w:p>
    <w:p>
      <w:pPr>
        <w:spacing w:after="0" w:line="219"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Exhibit A -</w:t>
      </w:r>
      <w:r>
        <w:rPr>
          <w:sz w:val="20"/>
          <w:szCs w:val="20"/>
          <w:color w:val="auto"/>
        </w:rPr>
        <w:tab/>
      </w:r>
      <w:r>
        <w:rPr>
          <w:rFonts w:ascii="Times New Roman" w:cs="Times New Roman" w:eastAsia="Times New Roman" w:hAnsi="Times New Roman"/>
          <w:sz w:val="17"/>
          <w:szCs w:val="17"/>
          <w:color w:val="auto"/>
        </w:rPr>
        <w:t>Outline of Premises</w:t>
      </w:r>
    </w:p>
    <w:p>
      <w:pPr>
        <w:spacing w:after="0" w:line="27"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Exhibit B -</w:t>
        <w:tab/>
        <w:t>Description of the Land</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Exhibit C -</w:t>
      </w:r>
      <w:r>
        <w:rPr>
          <w:sz w:val="20"/>
          <w:szCs w:val="20"/>
          <w:color w:val="auto"/>
        </w:rPr>
        <w:tab/>
      </w:r>
      <w:r>
        <w:rPr>
          <w:rFonts w:ascii="Times New Roman" w:cs="Times New Roman" w:eastAsia="Times New Roman" w:hAnsi="Times New Roman"/>
          <w:sz w:val="17"/>
          <w:szCs w:val="17"/>
          <w:color w:val="auto"/>
        </w:rPr>
        <w:t>Additional Rent, Taxes and Insurance</w:t>
      </w:r>
    </w:p>
    <w:p>
      <w:pPr>
        <w:spacing w:after="0" w:line="9"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Exhibit D -</w:t>
      </w:r>
      <w:r>
        <w:rPr>
          <w:sz w:val="20"/>
          <w:szCs w:val="20"/>
          <w:color w:val="auto"/>
        </w:rPr>
        <w:tab/>
      </w:r>
      <w:r>
        <w:rPr>
          <w:rFonts w:ascii="Times New Roman" w:cs="Times New Roman" w:eastAsia="Times New Roman" w:hAnsi="Times New Roman"/>
          <w:sz w:val="17"/>
          <w:szCs w:val="17"/>
          <w:color w:val="auto"/>
        </w:rPr>
        <w:t>Tenant Finish-Work</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Exhibit E -</w:t>
      </w:r>
      <w:r>
        <w:rPr>
          <w:sz w:val="20"/>
          <w:szCs w:val="20"/>
          <w:color w:val="auto"/>
        </w:rPr>
        <w:tab/>
      </w:r>
      <w:r>
        <w:rPr>
          <w:rFonts w:ascii="Times New Roman" w:cs="Times New Roman" w:eastAsia="Times New Roman" w:hAnsi="Times New Roman"/>
          <w:sz w:val="17"/>
          <w:szCs w:val="17"/>
          <w:color w:val="auto"/>
        </w:rPr>
        <w:t>Building Rules and Regulations</w:t>
      </w:r>
    </w:p>
    <w:p>
      <w:pPr>
        <w:spacing w:after="0" w:line="9" w:lineRule="exact"/>
        <w:rPr>
          <w:sz w:val="20"/>
          <w:szCs w:val="20"/>
          <w:color w:val="auto"/>
        </w:rPr>
      </w:pPr>
    </w:p>
    <w:p>
      <w:pPr>
        <w:ind w:left="1300"/>
        <w:spacing w:after="0"/>
        <w:tabs>
          <w:tab w:leader="none" w:pos="2240" w:val="left"/>
        </w:tabs>
        <w:rPr>
          <w:sz w:val="20"/>
          <w:szCs w:val="20"/>
          <w:color w:val="auto"/>
        </w:rPr>
      </w:pPr>
      <w:r>
        <w:rPr>
          <w:rFonts w:ascii="Times New Roman" w:cs="Times New Roman" w:eastAsia="Times New Roman" w:hAnsi="Times New Roman"/>
          <w:sz w:val="18"/>
          <w:szCs w:val="18"/>
          <w:color w:val="auto"/>
        </w:rPr>
        <w:t>Exhibit F -</w:t>
      </w:r>
      <w:r>
        <w:rPr>
          <w:sz w:val="20"/>
          <w:szCs w:val="20"/>
          <w:color w:val="auto"/>
        </w:rPr>
        <w:tab/>
      </w:r>
      <w:r>
        <w:rPr>
          <w:rFonts w:ascii="Times New Roman" w:cs="Times New Roman" w:eastAsia="Times New Roman" w:hAnsi="Times New Roman"/>
          <w:sz w:val="17"/>
          <w:szCs w:val="17"/>
          <w:color w:val="auto"/>
        </w:rPr>
        <w:t>Form of Confirmation of Commencement Date Letter</w:t>
      </w:r>
    </w:p>
    <w:p>
      <w:pPr>
        <w:spacing w:after="0" w:line="9"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Exhibit G -</w:t>
      </w:r>
      <w:r>
        <w:rPr>
          <w:sz w:val="20"/>
          <w:szCs w:val="20"/>
          <w:color w:val="auto"/>
        </w:rPr>
        <w:tab/>
      </w:r>
      <w:r>
        <w:rPr>
          <w:rFonts w:ascii="Times New Roman" w:cs="Times New Roman" w:eastAsia="Times New Roman" w:hAnsi="Times New Roman"/>
          <w:sz w:val="17"/>
          <w:szCs w:val="17"/>
          <w:color w:val="auto"/>
        </w:rPr>
        <w:t>Form of Tenant Estoppel Certificate</w:t>
      </w:r>
    </w:p>
    <w:p>
      <w:pPr>
        <w:spacing w:after="0" w:line="9"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Exhibit H -</w:t>
      </w:r>
      <w:r>
        <w:rPr>
          <w:sz w:val="20"/>
          <w:szCs w:val="20"/>
          <w:color w:val="auto"/>
        </w:rPr>
        <w:tab/>
      </w:r>
      <w:r>
        <w:rPr>
          <w:rFonts w:ascii="Times New Roman" w:cs="Times New Roman" w:eastAsia="Times New Roman" w:hAnsi="Times New Roman"/>
          <w:sz w:val="17"/>
          <w:szCs w:val="17"/>
          <w:color w:val="auto"/>
        </w:rPr>
        <w:t>Renewal Option</w:t>
      </w:r>
    </w:p>
    <w:p>
      <w:pPr>
        <w:spacing w:after="0" w:line="9" w:lineRule="exact"/>
        <w:rPr>
          <w:sz w:val="20"/>
          <w:szCs w:val="20"/>
          <w:color w:val="auto"/>
        </w:rPr>
      </w:pPr>
    </w:p>
    <w:p>
      <w:pPr>
        <w:ind w:left="1300"/>
        <w:spacing w:after="0"/>
        <w:tabs>
          <w:tab w:leader="none" w:pos="2200" w:val="left"/>
        </w:tabs>
        <w:rPr>
          <w:sz w:val="20"/>
          <w:szCs w:val="20"/>
          <w:color w:val="auto"/>
        </w:rPr>
      </w:pPr>
      <w:r>
        <w:rPr>
          <w:rFonts w:ascii="Times New Roman" w:cs="Times New Roman" w:eastAsia="Times New Roman" w:hAnsi="Times New Roman"/>
          <w:sz w:val="18"/>
          <w:szCs w:val="18"/>
          <w:color w:val="auto"/>
        </w:rPr>
        <w:t>Exhibit I -</w:t>
      </w:r>
      <w:r>
        <w:rPr>
          <w:sz w:val="20"/>
          <w:szCs w:val="20"/>
          <w:color w:val="auto"/>
        </w:rPr>
        <w:tab/>
      </w:r>
      <w:r>
        <w:rPr>
          <w:rFonts w:ascii="Times New Roman" w:cs="Times New Roman" w:eastAsia="Times New Roman" w:hAnsi="Times New Roman"/>
          <w:sz w:val="17"/>
          <w:szCs w:val="17"/>
          <w:color w:val="auto"/>
        </w:rPr>
        <w:t>Right of First Refusal</w:t>
      </w:r>
    </w:p>
    <w:p>
      <w:pPr>
        <w:spacing w:after="0" w:line="9"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Exhibit I-1-</w:t>
        <w:tab/>
        <w:t>Refusal Space</w:t>
      </w:r>
    </w:p>
    <w:p>
      <w:pPr>
        <w:spacing w:after="0" w:line="9" w:lineRule="exact"/>
        <w:rPr>
          <w:sz w:val="20"/>
          <w:szCs w:val="20"/>
          <w:color w:val="auto"/>
        </w:rPr>
      </w:pPr>
    </w:p>
    <w:p>
      <w:pPr>
        <w:ind w:left="1300"/>
        <w:spacing w:after="0"/>
        <w:tabs>
          <w:tab w:leader="none" w:pos="2220" w:val="left"/>
        </w:tabs>
        <w:rPr>
          <w:sz w:val="20"/>
          <w:szCs w:val="20"/>
          <w:color w:val="auto"/>
        </w:rPr>
      </w:pPr>
      <w:r>
        <w:rPr>
          <w:rFonts w:ascii="Times New Roman" w:cs="Times New Roman" w:eastAsia="Times New Roman" w:hAnsi="Times New Roman"/>
          <w:sz w:val="18"/>
          <w:szCs w:val="18"/>
          <w:color w:val="auto"/>
        </w:rPr>
        <w:t>Exhibit J -</w:t>
      </w:r>
      <w:r>
        <w:rPr>
          <w:sz w:val="20"/>
          <w:szCs w:val="20"/>
          <w:color w:val="auto"/>
        </w:rPr>
        <w:tab/>
      </w:r>
      <w:r>
        <w:rPr>
          <w:rFonts w:ascii="Times New Roman" w:cs="Times New Roman" w:eastAsia="Times New Roman" w:hAnsi="Times New Roman"/>
          <w:sz w:val="17"/>
          <w:szCs w:val="17"/>
          <w:color w:val="auto"/>
        </w:rPr>
        <w:t>Right of First Offer</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Exhibit K -</w:t>
      </w:r>
      <w:r>
        <w:rPr>
          <w:sz w:val="20"/>
          <w:szCs w:val="20"/>
          <w:color w:val="auto"/>
        </w:rPr>
        <w:tab/>
      </w:r>
      <w:r>
        <w:rPr>
          <w:rFonts w:ascii="Times New Roman" w:cs="Times New Roman" w:eastAsia="Times New Roman" w:hAnsi="Times New Roman"/>
          <w:sz w:val="17"/>
          <w:szCs w:val="17"/>
          <w:color w:val="auto"/>
        </w:rPr>
        <w:t>Rent Abatement Provisions</w:t>
      </w:r>
    </w:p>
    <w:p>
      <w:pPr>
        <w:spacing w:after="0" w:line="9"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Exhibit L -</w:t>
      </w:r>
      <w:r>
        <w:rPr>
          <w:sz w:val="20"/>
          <w:szCs w:val="20"/>
          <w:color w:val="auto"/>
        </w:rPr>
        <w:tab/>
      </w:r>
      <w:r>
        <w:rPr>
          <w:rFonts w:ascii="Times New Roman" w:cs="Times New Roman" w:eastAsia="Times New Roman" w:hAnsi="Times New Roman"/>
          <w:sz w:val="17"/>
          <w:szCs w:val="17"/>
          <w:color w:val="auto"/>
        </w:rPr>
        <w:t>SNDA</w:t>
      </w:r>
    </w:p>
    <w:p>
      <w:pPr>
        <w:spacing w:after="0" w:line="200" w:lineRule="exact"/>
        <w:rPr>
          <w:sz w:val="20"/>
          <w:szCs w:val="20"/>
          <w:color w:val="auto"/>
        </w:rPr>
      </w:pPr>
    </w:p>
    <w:p>
      <w:pPr>
        <w:spacing w:after="0" w:line="2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LANDLORD AND TENANT EXPRESSLY DISCLAIM ANY IMPLIED WARRANTY THAT THE PREMISES ARE SUITABLE FOR TENANT’S INTENDED COMMERCIAL PURPOSE, AND, EXCEPT AS MAY BE EXPRESSLY PROVIDED HEREIN,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EXCEPT AS EXPRESSLY PERMITTED HEREUNDER, NOTWITHSTANDING ANY BREACH BY LANDLORD OF ITS DUTIES OR OBLIGATIONS HEREUNDER, WHETHER EXPRESS OR IMPLIED.</w:t>
      </w:r>
    </w:p>
    <w:p>
      <w:pPr>
        <w:sectPr>
          <w:pgSz w:w="11900" w:h="16838" w:orient="portrait"/>
          <w:cols w:equalWidth="0" w:num="1">
            <w:col w:w="11420"/>
          </w:cols>
          <w:pgMar w:left="240" w:top="625" w:right="2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This Lease is executed on the respective dates set forth below, but for reference purposes, this Lease shall be dated as of the date first above written.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execution date is left blank, this Lease shall be deemed executed as of the date first written above.</w:t>
      </w:r>
    </w:p>
    <w:p>
      <w:pPr>
        <w:spacing w:after="0" w:line="211"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22"/>
          <w:szCs w:val="22"/>
          <w:color w:val="auto"/>
        </w:rPr>
        <w:t>LANDLORD:</w:t>
      </w:r>
      <w:r>
        <w:rPr>
          <w:sz w:val="20"/>
          <w:szCs w:val="20"/>
          <w:color w:val="auto"/>
        </w:rPr>
        <w:tab/>
      </w:r>
      <w:r>
        <w:rPr>
          <w:rFonts w:ascii="Times New Roman" w:cs="Times New Roman" w:eastAsia="Times New Roman" w:hAnsi="Times New Roman"/>
          <w:sz w:val="22"/>
          <w:szCs w:val="22"/>
          <w:color w:val="auto"/>
        </w:rPr>
        <w:t>Peachtree II and III, L.L.C., a Georgia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22"/>
          <w:szCs w:val="22"/>
          <w:color w:val="auto"/>
        </w:rPr>
        <w:t>By: /s/ Traci Tomas</w:t>
      </w:r>
    </w:p>
    <w:p>
      <w:pPr>
        <w:spacing w:after="0" w:line="28"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22"/>
          <w:szCs w:val="22"/>
          <w:color w:val="auto"/>
        </w:rPr>
        <w:t>Name: Traci Tomas</w:t>
      </w:r>
    </w:p>
    <w:p>
      <w:pPr>
        <w:spacing w:after="0" w:line="4"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Execution Date: July 18, 2013</w:t>
      </w:r>
    </w:p>
    <w:p>
      <w:pPr>
        <w:sectPr>
          <w:pgSz w:w="11900" w:h="16838" w:orient="portrait"/>
          <w:cols w:equalWidth="0" w:num="1">
            <w:col w:w="11420"/>
          </w:cols>
          <w:pgMar w:left="240" w:top="1093" w:right="239" w:bottom="144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MDA HOLDINGS, INC.</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ectPr>
          <w:pgSz w:w="11900" w:h="16838" w:orient="portrait"/>
          <w:cols w:equalWidth="0" w:num="2">
            <w:col w:w="3180" w:space="720"/>
            <w:col w:w="7520"/>
          </w:cols>
          <w:pgMar w:left="240" w:top="1093" w:right="239" w:bottom="1440" w:gutter="0" w:footer="0" w:header="0"/>
          <w:type w:val="continuous"/>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James E. Ginter</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James E. Ginter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Execution Date: July 18, 2013</w:t>
      </w:r>
    </w:p>
    <w:p>
      <w:pPr>
        <w:sectPr>
          <w:pgSz w:w="11900" w:h="16838" w:orient="portrait"/>
          <w:cols w:equalWidth="0" w:num="2">
            <w:col w:w="3180" w:space="720"/>
            <w:col w:w="7520"/>
          </w:cols>
          <w:pgMar w:left="240" w:top="1093" w:right="2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OUTLINE OF PREMISES</w:t>
      </w:r>
    </w:p>
    <w:p>
      <w:pPr>
        <w:sectPr>
          <w:pgSz w:w="11900" w:h="16838" w:orient="portrait"/>
          <w:cols w:equalWidth="0" w:num="1">
            <w:col w:w="9019"/>
          </w:cols>
          <w:pgMar w:left="1440" w:top="621" w:right="1440" w:bottom="1440"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406400</wp:posOffset>
            </wp:positionV>
            <wp:extent cx="5351145" cy="6911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1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DESCRIPTION OF THE LAND</w:t>
      </w:r>
    </w:p>
    <w:p>
      <w:pPr>
        <w:sectPr>
          <w:pgSz w:w="11900" w:h="16838" w:orient="portrait"/>
          <w:cols w:equalWidth="0" w:num="1">
            <w:col w:w="9019"/>
          </w:cols>
          <w:pgMar w:left="1440" w:top="621" w:right="1440" w:bottom="1440"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406400</wp:posOffset>
            </wp:positionV>
            <wp:extent cx="5351145" cy="6938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38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1135380</wp:posOffset>
            </wp:positionH>
            <wp:positionV relativeFrom="page">
              <wp:posOffset>406400</wp:posOffset>
            </wp:positionV>
            <wp:extent cx="5291455" cy="6869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291455" cy="6869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406400</wp:posOffset>
            </wp:positionV>
            <wp:extent cx="5351145" cy="6938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38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RENT, TAXES, AND INSURANCE</w:t>
      </w:r>
    </w:p>
    <w:p>
      <w:pPr>
        <w:spacing w:after="0" w:line="215" w:lineRule="exact"/>
        <w:rPr>
          <w:sz w:val="20"/>
          <w:szCs w:val="20"/>
          <w:color w:val="auto"/>
        </w:rPr>
      </w:pPr>
    </w:p>
    <w:p>
      <w:pPr>
        <w:jc w:val="both"/>
        <w:ind w:firstLine="656"/>
        <w:spacing w:after="0" w:line="255" w:lineRule="auto"/>
        <w:tabs>
          <w:tab w:leader="none" w:pos="9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Rent</w:t>
      </w:r>
      <w:r>
        <w:rPr>
          <w:rFonts w:ascii="Times New Roman" w:cs="Times New Roman" w:eastAsia="Times New Roman" w:hAnsi="Times New Roman"/>
          <w:sz w:val="18"/>
          <w:szCs w:val="18"/>
          <w:color w:val="auto"/>
        </w:rPr>
        <w:t>. During the Term, Tenant shall pay to Landlord Tenant’s Proportionate Share of the annual Operating Costs (defined below)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Project (“</w:t>
      </w:r>
      <w:r>
        <w:rPr>
          <w:rFonts w:ascii="Times New Roman" w:cs="Times New Roman" w:eastAsia="Times New Roman" w:hAnsi="Times New Roman"/>
          <w:sz w:val="18"/>
          <w:szCs w:val="18"/>
          <w:b w:val="1"/>
          <w:bCs w:val="1"/>
          <w:u w:val="single" w:color="auto"/>
          <w:color w:val="auto"/>
        </w:rPr>
        <w:t>Additional Rent</w:t>
      </w:r>
      <w:r>
        <w:rPr>
          <w:rFonts w:ascii="Times New Roman" w:cs="Times New Roman" w:eastAsia="Times New Roman" w:hAnsi="Times New Roman"/>
          <w:sz w:val="18"/>
          <w:szCs w:val="18"/>
          <w:color w:val="auto"/>
        </w:rPr>
        <w:t>”). Landlord may make a good faith estimate of the Additional Rent to be due by Tenant for any calendar year or part thereof during the Term. During each calendar year or partial calendar year of the Term, Tenant shall pay to Landlord, in advance concurrently with each monthly installment of Base Rent, an amount equal to the estimated Additional Rent for such calendar year or part thereof divided by the number of months therein. From time to time, Landlord may estimate and re-estimate the Additional Rent to be due by Tenant and deliver a copy of the estimate or re-estimate to Tenant. Thereafter, the monthly installments of Additional Rent payable by Tenant shall be appropriately adjusted in accordance with the estimations so that, by the end of the calendar year in question, Tenant shall have paid all of the Additional Rent as estimated by Landlord. Any amounts paid based on such an estimate shall be subject to adjustment as herein provided when actual Operating Costs are available for each calendar year.</w:t>
      </w:r>
    </w:p>
    <w:p>
      <w:pPr>
        <w:spacing w:after="0" w:line="185" w:lineRule="exact"/>
        <w:rPr>
          <w:rFonts w:ascii="Times New Roman" w:cs="Times New Roman" w:eastAsia="Times New Roman" w:hAnsi="Times New Roman"/>
          <w:sz w:val="18"/>
          <w:szCs w:val="18"/>
          <w:color w:val="auto"/>
        </w:rPr>
      </w:pPr>
    </w:p>
    <w:p>
      <w:pPr>
        <w:jc w:val="both"/>
        <w:ind w:firstLine="656"/>
        <w:spacing w:after="0" w:line="252" w:lineRule="auto"/>
        <w:tabs>
          <w:tab w:leader="none" w:pos="10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Operating Costs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u w:val="single" w:color="auto"/>
          <w:color w:val="auto"/>
        </w:rPr>
        <w:t>Operating Costs</w:t>
      </w:r>
      <w:r>
        <w:rPr>
          <w:rFonts w:ascii="Times New Roman" w:cs="Times New Roman" w:eastAsia="Times New Roman" w:hAnsi="Times New Roman"/>
          <w:sz w:val="18"/>
          <w:szCs w:val="18"/>
          <w:color w:val="auto"/>
        </w:rPr>
        <w:t>” shall mean all expenses and disbursements (subject to the limitations set forth below)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incurs in connection with the ownership, operation, and maintenance of the Project or Complex, as applicable, determined in accordance with sound accounting principles consistently applied, including the following costs: (a) wages and salaries of all on-site employees engaged in the management, operation, maintenance, repair or security of the Project or Complex, as applicable (together with Landlord’s reasonable allocation of expenses of off-site employees who perform a portion of their services in connection with the operation, maintenance or security of the Project or Complex, as applicable), including taxes, insurance and benefits relating thereto; provided, that in no event shall Operating Expenses for purposes of this Lease include wages and/or benefits attributable to personnel above the level of Building Manager or Building Engineer; (b) all supplies and materials used in the operation, maintenance, repair, replacement, and security of the Project or Complex, as applicable; (c) costs for improvements made to the Project or Complex, as applicable which, although capital in nature, are (i) expected to reduce the normal operating costs (including all utility costs) of the Project or Complex, as applicable, as amortized using a commercially reasonable interest rate over the time period reasonably estimated by Landlord to recover the costs thereof taking into consideration the anticipated cost savings, as determined by Landlord using its good faith, commercially reasonable judgment, as well as (ii) capital improvements made in order to comply with any Law hereafter promulgated by any governmental authority or any interpretation hereafter rendered with respect to any Law existing on the date of the Lease, as amortized using a commercially reasonable interest rate over the useful economic life of such improvements as determined by Landlord in its reasonable discretion; (d) cost of all utilities; (e) repairs, replacements, and general maintenance of the Project or Complex, as applicable; (f) fair market rental and other costs with respect to the management office for the Building or Complex, if any; and (g) service, maintenance and management contracts with independent contractors for the operation, maintenance, management, repair, replacement, or security of the Project or Complex, as applicable, provided that management fees will not exceed four percent (4%) of the gross rentals paid to Landlord by all tenants of the Complex. If the Building is part of a Complex, Operating Costs may be prorated among the Project and the other buildings of the Complex, as reasonably determined by Landlord.</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Costs shall not include costs for: (1) repair, replacements and general maintenance paid by proceeds of insurance or by Tenant or other third parties; (2) interest, amortization or other payments on loans to Landlord; (3) depreciation, amortization and interest payments, except as set forth above;</w:t>
      </w:r>
    </w:p>
    <w:p>
      <w:pPr>
        <w:ind w:left="280" w:hanging="272"/>
        <w:spacing w:after="0"/>
        <w:tabs>
          <w:tab w:leader="none" w:pos="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commissions; (5) legal expenses for services, other than those that benefit the Project or Complex tenants, as applicable (e.g., tax disputes);</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renovating or otherwise improving leased premises of the Project or Complex, as applicable or vacant space in the Project or Complex, as applicable;</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2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Taxes and Insurance which are paid separately pursuant to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below; (8) federal income taxes imposed on or measured by the income of Landlord from the operation of the Project or Complex, as applicable; (9) capital improvements made to the Project or Complex, as applicable, other than capital improvements described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Exhibit and except for items which are generally considered maintenance and repair items, such as painting of Common Areas, and the like; (10) the cost of installing, operating and maintaining any specialty service, such as daycare, cafeteria, athletic or recreational club; (11) the cost of correcting defects in the construction of the Building or in the Building Systems; (12) salaries of officers and executives of Landlord; (13) the</w:t>
      </w:r>
    </w:p>
    <w:p>
      <w:pPr>
        <w:sectPr>
          <w:pgSz w:w="11900" w:h="16838" w:orient="portrait"/>
          <w:cols w:equalWidth="0" w:num="1">
            <w:col w:w="11420"/>
          </w:cols>
          <w:pgMar w:left="240" w:top="621" w:right="239" w:bottom="1440" w:gutter="0" w:footer="0" w:header="0"/>
        </w:sectPr>
      </w:pPr>
    </w:p>
    <w:bookmarkStart w:id="85" w:name="page86"/>
    <w:bookmarkEnd w:id="85"/>
    <w:p>
      <w:pPr>
        <w:jc w:val="both"/>
        <w:spacing w:after="0" w:line="217" w:lineRule="exact"/>
        <w:rPr>
          <w:sz w:val="20"/>
          <w:szCs w:val="20"/>
          <w:color w:val="auto"/>
        </w:rPr>
      </w:pPr>
      <w:r>
        <w:rPr>
          <w:rFonts w:ascii="Times New Roman" w:cs="Times New Roman" w:eastAsia="Times New Roman" w:hAnsi="Times New Roman"/>
          <w:sz w:val="18"/>
          <w:szCs w:val="18"/>
          <w:color w:val="auto"/>
        </w:rPr>
        <w:t>cost of any work or service performed for any tenant of the Building (other than Tenant) to a materially greater extent or in a materially more favorable manner than that furnished generally to the tenants and other occupants (including Tenant); (14) hazardous materials remediation costs; (15) management fees charged for the management of the Building in excess of four percent (4%); (16) the cost of (including increased real estate taxes and other operating expenses related to) any additions to the Building after the original construction; (17) the cost of any repairs, alterations, additions, changes, replacements and other items which are made in order to prepare for a new tenant's occupancy, including permit, license and inspection costs; (18) the cost of any repair in accordance with the casualty and condemnation sections of this Lease; (19) any advertising or promotional expenses; (20) any costs included in Operating Costs representing an amount paid to an entity related to Landlord which is in excess of the amount which would have been paid in the absence of such relationship; (21) any expenses for repairs or maintenance which would have been covered by warranties and service contracts in existence on the Commencement Date; (22) any costs of painting, renovating, or decorating of any leased premises in the Building; (23) charges (including applicable taxes) for electricity, steam and other utilities for which Landlord is entitled to reimbursement from any tenant; (24) interest and penalties due to late payment of any amounts owed by Landlord, except such as may be incurred as a result of Tenant’s failure to timely pay its portion of such amounts or as a result of Landlord’s contesting such amounts in good faith; (25) costs related to the existence and maintenance of Landlord as a legal entity, except to the extent attributable to the operation and management of the Project or Complex, as applicable; (26) the cost of correcting latent defects in the Building, latent defects in the Premises which are disclosed to Landlord within one (1) year after the Commencement Date, and defects in base building construction for the Building, the Building Systems, the Parking Area, and other Common Areas; (27) the cost of any work or service performed for any tenant (including Tenant) at such tenant's cost, (28) any ground lease rental; (29) any inducement or “sign-up” payments paid to tenants for signing new leases in the Building (or for the exercise of options under existing leases); (30) any compensation paid to clerks, attendants or other persons in commercial concessions operated by Landlord and/or all fees paid to any parking facility operator (on or off site); (31) costs of any electric power used by any tenant in the Building in excess of the Building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standard amount; (32) costs incurred in connection with upgrading the Building to comply with disability, life, fire and safety codes, ordinances, statutes, or other laws in effect as in effect on the Commencement Date, including, without limitation, the ADA, and penalties or damages incurred due to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(33) costs of any disputes between Landlord and its employees, Building management, or Tenant (or any other tenants); (34) any penalties, fines, costs, or interest resulting from the negligence or willful misconduct of Landlord or its agents, contractors, or employees, or resulting from the late payment of any operating expense or other cost or expense related to the Property, including mortgages, ground leases, equipment leases or other financing; (35) any fees, dues, voluntary contributions or similar expenses for political, charitable, civic, industry association or similar organizations; (36) costs for acquisition of any sculptures, paintings, or other objects of art, whether for interior or exterior use; (37) costs associated with the operation of the business of the partnership or entity which constitutes Landlord as the same are distinguished from the costs of operation of the Building, including partnership accounting and legal matters, (38) expenses incurred in removing any ex-tenant’s property from the Building; (39) any “validated” parking for any entity; (40) any “above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standard” cleaning, including, but not limited to construction cleanup or special cleanings associated with parties/events and specific tenant requirements in excess of service provided to Tenant, including related trash collection, removal, hauling and dumping; (41) any reserves for equipment or capital replacement; (42) any bad debt losses or rental losses, or reserves for bad debt or rental losses; or (43) any other operating expenses, which, in accordance with generally accepted accounting principles, consistently applied, would not normally be treated as Operating Expenses by comparable landlords of comparable buildings.</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Increases in Operating Costs shall, with the exception of utility charges, security expenses, the cost of complying with governmental requirements, and any other uncontrollable expenses, be limited to a per year cumulative increase of five percent (5%), compounded annually. Increases in utility charges, security expenses, the cost of complying with governmental requirements, and any other uncontrollable expenses, shall not be subject to any limit or “cap.”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Landlord shall not collect or be entitled to collect Operating Costs from all of its tenants in an amount which is in excess of one hundred percent (100%) of the Operating Costs actually paid by Landlord in connection with the operation of the Project. All assessments and premiums which are not specifically charged to Tenant because of what Tenant has done, which can be paid by Landlord in installments, shall be paid by Landlord in the maximum number of installments permitted by law if requested by Tenant and not included as Operating Costs except in the year in which</w:t>
      </w:r>
    </w:p>
    <w:p>
      <w:pPr>
        <w:sectPr>
          <w:pgSz w:w="11900" w:h="16838" w:orient="portrait"/>
          <w:cols w:equalWidth="0" w:num="1">
            <w:col w:w="11420"/>
          </w:cols>
          <w:pgMar w:left="240" w:top="621" w:right="239" w:bottom="1440" w:gutter="0" w:footer="0" w:header="0"/>
        </w:sectPr>
      </w:pPr>
    </w:p>
    <w:bookmarkStart w:id="86" w:name="page87"/>
    <w:bookmarkEnd w:id="86"/>
    <w:p>
      <w:pPr>
        <w:jc w:val="both"/>
        <w:spacing w:after="0" w:line="282" w:lineRule="auto"/>
        <w:rPr>
          <w:sz w:val="20"/>
          <w:szCs w:val="20"/>
          <w:color w:val="auto"/>
        </w:rPr>
      </w:pPr>
      <w:r>
        <w:rPr>
          <w:rFonts w:ascii="Times New Roman" w:cs="Times New Roman" w:eastAsia="Times New Roman" w:hAnsi="Times New Roman"/>
          <w:sz w:val="18"/>
          <w:szCs w:val="18"/>
          <w:color w:val="auto"/>
        </w:rPr>
        <w:t>the assessment or premium installment is actually paid; provided, however, that if the prevailing practice in comparable buildings is to pay such assessments or premiums on an earlier basis, and Landlord pays on such basis, such assessments or premiums shall be included in Operating Costs as paid by Landlord.</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Within one hundred twenty (120) days (the “</w:t>
      </w:r>
      <w:r>
        <w:rPr>
          <w:rFonts w:ascii="Times New Roman" w:cs="Times New Roman" w:eastAsia="Times New Roman" w:hAnsi="Times New Roman"/>
          <w:sz w:val="18"/>
          <w:szCs w:val="18"/>
          <w:b w:val="1"/>
          <w:bCs w:val="1"/>
          <w:u w:val="single" w:color="auto"/>
          <w:color w:val="auto"/>
        </w:rPr>
        <w:t>Audit Election Period</w:t>
      </w:r>
      <w:r>
        <w:rPr>
          <w:rFonts w:ascii="Times New Roman" w:cs="Times New Roman" w:eastAsia="Times New Roman" w:hAnsi="Times New Roman"/>
          <w:sz w:val="18"/>
          <w:szCs w:val="18"/>
          <w:color w:val="auto"/>
        </w:rPr>
        <w:t>”) after Landlord furnishes to Tenant the Operating Costs, Tax and Insurance Statement for any calendar year, Tenant may, at its expense during Landlord’s normal business hours, elect to audit Landlord’s Operating Costs, Taxes and Insurance for such calendar year only, subject to the following conditions: (1) there is no uncured Event of Default under this Lease; (2) the audit shall be prepared by an independent certified public accounting firm of recognized national standing; (3) in no event shall any audit be performed by a firm retained on a “contingency fee” basis; (4) the audit shall commence within thirty (30) days after Landlord makes Landlord’s books and records available to Tenant’s auditor and shall conclude within sixty (60) days after commencement; (5) the audit shall be conducted where Landlord maintains its books and records and shall not unreasonably interfere with the conduct of Landlord’s business; and (6) Tenant and its accounting firm shall treat any audit in a confidential manner and shall each execute Landlord’s confidentiality agreement for Landlord’s benefit prior to commencing the audit. Tenant shall deliver a copy of such audit to Landlord within five (5) business days of receipt by Tenant. Notwithstanding the foregoing, Tenant shall have no right to conduct an audit if Landlord furnishes to Tenant an audit report for the calendar year in question prepared by an independent certified public accounting firm of recognized national standing (whether originally prepared for Landlord or another party). This paragraph shall not be construed to limit, suspend, or abate Tenant’s obligation to pay Rent when due, including estimated Operating Costs, Taxes and Insurance. After verification, Landlord shall credit any overpayment determined by the audit report against the next Rent due and owing by Tenant or, if no further Rent is due, refund such overpayment directly to Tenant within thirty (30) days of determination. Likewise, Tenant shall pay Landlord any underpayment determined by the audit report within thirty (30) days of determination. The foregoing obligations shall survive the expiration or earlier termination of the Lease. If Tenant does not give written notice of its election to audit during the Audit Election Period, Landlord’s Operating Costs, Taxes and Insurance for the applicable calendar year shall be deemed approved for all purposes, and Tenant shall have no further right to review or contest the same. If the audit proves that Landlord's calculation of Operating Costs, Taxes and Insurance for the calendar year under inspection was overstated by more than five percent (5%) in the aggregate, then, after verification, Landlord shall pay Tenant's actual reasonable out-of-pocket audit and inspection fees applicable to the review of said calendar year statement within thirty (30) days after receipt of Tenant's invoice therefor.</w:t>
      </w:r>
    </w:p>
    <w:p>
      <w:pPr>
        <w:spacing w:after="0" w:line="232" w:lineRule="exact"/>
        <w:rPr>
          <w:sz w:val="20"/>
          <w:szCs w:val="20"/>
          <w:color w:val="auto"/>
        </w:rPr>
      </w:pPr>
    </w:p>
    <w:p>
      <w:pPr>
        <w:jc w:val="both"/>
        <w:ind w:firstLine="656"/>
        <w:spacing w:after="0" w:line="252" w:lineRule="auto"/>
        <w:tabs>
          <w:tab w:leader="none" w:pos="103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Tenant shall also pay Tenant’s Proportionate Share of Taxes for each year and partial year falling within the Term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shall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Tenant’s Proportionate Share of Taxes in the same manner as provided above for Tenant’s Proportionate Share of Operating Costs.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shall mean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for common charges under a restrictive covenant or other private agreement that are not treated as part of Operating Costs) now or hereafter attributable to the Project or Complex, as applicable (or its operation), excluding, however, (1) penalties and interest thereon; (2) any excess profits tax (based on the profit landlord makes from the Building through rent an other charges), franchise tax (imposed on Landlord allowing the entity to do business), gift tax (imposed on landlord as a gift giver), capital stock taxes, inheritance or succession tax (based on inherited assets), estate taxes, federal and state taxes on income, and other taxes to the extent applicable to Landlord’s general or net income, but not excluding business license fees (if the present method of taxation changes so that in lieu of or in addition to the whole or any part of any Taxes, there is levied on Landlord a capital tax directly on the rents received therefrom or a franchise tax, assessment, or charge based, in whole or in part, upon such rents for the Project or Complex, as applicable, then all such taxes, assessments, or charges, or the part thereof so based, shall be deemed to be included within the term “Taxes” for purposes hereof); (3) real estate taxes allocable to the tenant improvements of Tenant or other tenants or occupants in the Building or Common Area which are over and above the Landlord’s standard tenant improvement allowance; (4) capital gains taxes, and (5) payroll taxes. Taxes shall include the costs of consultants retained in an effort to lower taxes and all costs incurred in disputing any taxes or in seeking to lower the tax valuation of the Project. For property tax purposes, to the extent allowed by Law, Tenant waives all rights to protest or appeal the appraised value of the Premises, as well as the Project and Complex, and all rights to receive notices of reappraisement.</w:t>
      </w:r>
    </w:p>
    <w:p>
      <w:pPr>
        <w:sectPr>
          <w:pgSz w:w="11900" w:h="16838" w:orient="portrait"/>
          <w:cols w:equalWidth="0" w:num="1">
            <w:col w:w="11420"/>
          </w:cols>
          <w:pgMar w:left="240" w:top="621" w:right="239" w:bottom="1440" w:gutter="0" w:footer="0" w:header="0"/>
        </w:sectPr>
      </w:pPr>
    </w:p>
    <w:bookmarkStart w:id="87" w:name="page88"/>
    <w:bookmarkEnd w:id="87"/>
    <w:p>
      <w:pPr>
        <w:jc w:val="both"/>
        <w:ind w:left="-656" w:firstLine="656"/>
        <w:spacing w:after="0" w:line="262" w:lineRule="auto"/>
        <w:tabs>
          <w:tab w:leader="none" w:pos="37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Tenant shall pay its Proportionate Share of Insurance for each year and partial year falling within the Term. Tenant shall pay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Proportionate Share of Insurance in the same manner as provided above for Tenant’s Proportionate Share of Operating Costs.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shall mean property, liability and other insurance coverages carried by Landlord, including without limitation deductibles and risk retention programs and an allocation of a portion of the cost of blanket insurance policies maintained by Landlord and/or its Affiliates with respect to the Project.</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30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Operating Costs and Tax and Insurance Statement</w:t>
      </w:r>
      <w:r>
        <w:rPr>
          <w:rFonts w:ascii="Times New Roman" w:cs="Times New Roman" w:eastAsia="Times New Roman" w:hAnsi="Times New Roman"/>
          <w:sz w:val="18"/>
          <w:szCs w:val="18"/>
          <w:color w:val="auto"/>
        </w:rPr>
        <w:t>. By May 1 of each calendar year, or as soon thereafter as reasonably practicable,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furnish to Tenant a statement of Operating Costs for the previous year, adjusted as provided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Exhibit, and of the Taxes and Insurance for the previous year (the “</w:t>
      </w:r>
      <w:r>
        <w:rPr>
          <w:rFonts w:ascii="Times New Roman" w:cs="Times New Roman" w:eastAsia="Times New Roman" w:hAnsi="Times New Roman"/>
          <w:sz w:val="18"/>
          <w:szCs w:val="18"/>
          <w:b w:val="1"/>
          <w:bCs w:val="1"/>
          <w:u w:val="single" w:color="auto"/>
          <w:color w:val="auto"/>
        </w:rPr>
        <w:t>Operating Costs, Tax and Insurance Statement</w:t>
      </w:r>
      <w:r>
        <w:rPr>
          <w:rFonts w:ascii="Times New Roman" w:cs="Times New Roman" w:eastAsia="Times New Roman" w:hAnsi="Times New Roman"/>
          <w:sz w:val="18"/>
          <w:szCs w:val="18"/>
          <w:color w:val="auto"/>
        </w:rPr>
        <w:t xml:space="preserve">”). If Tenant’s estimated payments of Operating Costs or Taxes or Insurance under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for the year covered by the Operating Costs, Tax and Insurance Statement exceed Tenant’s share of such items as indicated in the Operating Costs, Tax and Insurance Statement, then Landlord shall promptly credit or reimburse Tenant for such excess; likewise, if Tenant’s estimated payments of Operating Costs, Taxes or Insurance under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for such year are less than Tenant’s share of such items as indicated in the Operating Costs, Tax and Insurance Statement, then Tenant shall promptly pay Landlord such deficiency, notwithstanding that the Term has expired and Tenant has vacated the Premises.</w:t>
      </w:r>
    </w:p>
    <w:p>
      <w:pPr>
        <w:spacing w:after="0" w:line="185" w:lineRule="exact"/>
        <w:rPr>
          <w:rFonts w:ascii="Times New Roman" w:cs="Times New Roman" w:eastAsia="Times New Roman" w:hAnsi="Times New Roman"/>
          <w:sz w:val="18"/>
          <w:szCs w:val="18"/>
          <w:color w:val="auto"/>
        </w:rPr>
      </w:pPr>
    </w:p>
    <w:p>
      <w:pPr>
        <w:jc w:val="both"/>
        <w:ind w:left="-656" w:firstLine="656"/>
        <w:spacing w:after="0" w:line="259" w:lineRule="auto"/>
        <w:tabs>
          <w:tab w:leader="none" w:pos="34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Gross-Up</w:t>
      </w:r>
      <w:r>
        <w:rPr>
          <w:rFonts w:ascii="Times New Roman" w:cs="Times New Roman" w:eastAsia="Times New Roman" w:hAnsi="Times New Roman"/>
          <w:sz w:val="18"/>
          <w:szCs w:val="18"/>
          <w:color w:val="auto"/>
        </w:rPr>
        <w:t>. With respect to any calendar year or partial calendar year in which the Building or Complex, as applicable, is not occupied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of one hundred percent (100%) of the rentable area thereof, or Landlord is not supplying services to one hundred percent (100%) of the rentable area thereof, the Operating Costs for such period shall, for the purposes hereof, be increased to the amount which would have been incurred had the Building or Complex, as applicable, been occupied to the extent of one hundred percent (100%) of the rentable area thereof and Landlord had been supplying services to one hundred percent (100%) of the rentable area thereof.</w:t>
      </w:r>
    </w:p>
    <w:p>
      <w:pPr>
        <w:sectPr>
          <w:pgSz w:w="11900" w:h="16838" w:orient="portrait"/>
          <w:cols w:equalWidth="0" w:num="1">
            <w:col w:w="10764"/>
          </w:cols>
          <w:pgMar w:left="896" w:top="617" w:right="239" w:bottom="1440" w:gutter="0" w:footer="0" w:header="0"/>
        </w:sectPr>
      </w:pPr>
    </w:p>
    <w:bookmarkStart w:id="88" w:name="page89"/>
    <w:bookmarkEnd w:id="88"/>
    <w:p>
      <w:pPr>
        <w:ind w:left="5140"/>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2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u w:val="single" w:color="auto"/>
          <w:color w:val="auto"/>
        </w:rPr>
        <w:t>TENANT FINISH-WORK: ALLOWANCE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(Tenant Performs the Work)</w:t>
      </w:r>
    </w:p>
    <w:p>
      <w:pPr>
        <w:spacing w:after="0" w:line="199" w:lineRule="exact"/>
        <w:rPr>
          <w:sz w:val="20"/>
          <w:szCs w:val="20"/>
          <w:color w:val="auto"/>
        </w:rPr>
      </w:pPr>
    </w:p>
    <w:p>
      <w:pPr>
        <w:jc w:val="both"/>
        <w:ind w:firstLine="656"/>
        <w:spacing w:after="0" w:line="268" w:lineRule="auto"/>
        <w:tabs>
          <w:tab w:leader="none" w:pos="96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Acceptance of Premises</w:t>
      </w:r>
      <w:r>
        <w:rPr>
          <w:rFonts w:ascii="Times New Roman" w:cs="Times New Roman" w:eastAsia="Times New Roman" w:hAnsi="Times New Roman"/>
          <w:sz w:val="18"/>
          <w:szCs w:val="18"/>
          <w:color w:val="auto"/>
        </w:rPr>
        <w:t>. Except as set forth in this Exhibit, Tenant accepts the Premises in their “AS-IS” condition on the date that this Lease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Landlord shall be responsible for all non-compliant code violations for base building and adjacent tenant spaces that impact Tenant for obtaining a permit for construction inspections or a certificate of occupancy.</w:t>
      </w:r>
    </w:p>
    <w:p>
      <w:pPr>
        <w:spacing w:after="0" w:line="17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Space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2" w:lineRule="auto"/>
        <w:tabs>
          <w:tab w:leader="none" w:pos="10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Preparation and Delivery</w:t>
      </w:r>
      <w:r>
        <w:rPr>
          <w:rFonts w:ascii="Times New Roman" w:cs="Times New Roman" w:eastAsia="Times New Roman" w:hAnsi="Times New Roman"/>
          <w:sz w:val="18"/>
          <w:szCs w:val="18"/>
          <w:color w:val="auto"/>
        </w:rPr>
        <w:t>. Tenant acknowledges that Tenant has met with Hendrick, Inc. (the “</w:t>
      </w:r>
      <w:r>
        <w:rPr>
          <w:rFonts w:ascii="Times New Roman" w:cs="Times New Roman" w:eastAsia="Times New Roman" w:hAnsi="Times New Roman"/>
          <w:sz w:val="18"/>
          <w:szCs w:val="18"/>
          <w:b w:val="1"/>
          <w:bCs w:val="1"/>
          <w:u w:val="single" w:color="auto"/>
          <w:color w:val="auto"/>
        </w:rPr>
        <w:t>Architect</w:t>
      </w:r>
      <w:r>
        <w:rPr>
          <w:rFonts w:ascii="Times New Roman" w:cs="Times New Roman" w:eastAsia="Times New Roman" w:hAnsi="Times New Roman"/>
          <w:sz w:val="18"/>
          <w:szCs w:val="18"/>
          <w:color w:val="auto"/>
        </w:rPr>
        <w:t>”) to discuss the nature and extent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improvements that Tenant proposes to install in the Premises and, at such meeting, provided the Architect with all necessary data and information needed by the Architect to prepare initial space plans. Landlord has delivered to Tenant a space plan prepared by the Architect depicting improvements to be installed in the Premises (the “</w:t>
      </w:r>
      <w:r>
        <w:rPr>
          <w:rFonts w:ascii="Times New Roman" w:cs="Times New Roman" w:eastAsia="Times New Roman" w:hAnsi="Times New Roman"/>
          <w:sz w:val="18"/>
          <w:szCs w:val="18"/>
          <w:b w:val="1"/>
          <w:bCs w:val="1"/>
          <w:u w:val="single" w:color="auto"/>
          <w:color w:val="auto"/>
        </w:rPr>
        <w:t>Space Plans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right="20" w:firstLine="1305"/>
        <w:spacing w:after="0" w:line="286" w:lineRule="auto"/>
        <w:tabs>
          <w:tab w:leader="none" w:pos="171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Test-Fit</w:t>
      </w:r>
      <w:r>
        <w:rPr>
          <w:rFonts w:ascii="Times New Roman" w:cs="Times New Roman" w:eastAsia="Times New Roman" w:hAnsi="Times New Roman"/>
          <w:sz w:val="18"/>
          <w:szCs w:val="18"/>
          <w:color w:val="auto"/>
        </w:rPr>
        <w:t>. Landlord has previously had a test-fit for the Premises prepared by the Architect for a fee of $.12 per square feet,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will be paid by the Landlord outside of the Construction Allowance.</w:t>
      </w:r>
    </w:p>
    <w:p>
      <w:pPr>
        <w:spacing w:after="0" w:line="155" w:lineRule="exact"/>
        <w:rPr>
          <w:sz w:val="20"/>
          <w:szCs w:val="20"/>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Working Drawings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2" w:lineRule="auto"/>
        <w:tabs>
          <w:tab w:leader="none" w:pos="10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Preparation and Delivery</w:t>
      </w:r>
      <w:r>
        <w:rPr>
          <w:rFonts w:ascii="Times New Roman" w:cs="Times New Roman" w:eastAsia="Times New Roman" w:hAnsi="Times New Roman"/>
          <w:sz w:val="18"/>
          <w:szCs w:val="18"/>
          <w:color w:val="auto"/>
        </w:rPr>
        <w:t>. On or before the date which is sixty (60) days following the date on which the Space Plans are approved by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Landlord, Tenant shall cause to be prepared final working drawings of all improvements to be installed in the Premises and deliver the same to Landlord for its review and approval (which approval shall not be unreasonably withheld, delayed or conditioned). Such working drawings shall be prepared by Hendrick, Inc., or another independent design consultant selected by Tenant (whose fee shall be included in the Total Construction Costs [defined below]).</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07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Approval Process</w:t>
      </w:r>
      <w:r>
        <w:rPr>
          <w:rFonts w:ascii="Times New Roman" w:cs="Times New Roman" w:eastAsia="Times New Roman" w:hAnsi="Times New Roman"/>
          <w:sz w:val="18"/>
          <w:szCs w:val="18"/>
          <w:color w:val="auto"/>
        </w:rPr>
        <w:t>. Landlord shall notify Tenant, in writing, whether it approves of the submitted working drawings within five (5)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Tenant’s submission thereof. If Landlord disapproves of such working drawings, then Landlord shall notify Tenant thereof specifying in reasonable detail the reasons for such disapproval, in which case Tenant shall, within five (5) Business Days after such notice, revise such working drawings in accordance with Landlord’s objections and submit the revised working drawings to Landlord for its review and approval. Landlord shall notify Tenant in writing whether it approves of the resubmitted working drawings within two (2) Business Days after its receipt thereof. This process shall be repeated until the working drawings have been finally approved by Landlord and Tenant. If Landlord fails to notify Tenant that it disapproves of the initial working drawings within five (5) Business Days (or, in the case of resubmitted working drawings, within two (2) Business Days) after the submission thereof, then Landlord shall be deemed to have approved the working drawings in question.</w:t>
      </w:r>
    </w:p>
    <w:p>
      <w:pPr>
        <w:spacing w:after="0" w:line="185" w:lineRule="exact"/>
        <w:rPr>
          <w:rFonts w:ascii="Times New Roman" w:cs="Times New Roman" w:eastAsia="Times New Roman" w:hAnsi="Times New Roman"/>
          <w:sz w:val="18"/>
          <w:szCs w:val="18"/>
          <w:color w:val="auto"/>
        </w:rPr>
      </w:pPr>
    </w:p>
    <w:p>
      <w:pPr>
        <w:jc w:val="both"/>
        <w:ind w:firstLine="656"/>
        <w:spacing w:after="0" w:line="255" w:lineRule="auto"/>
        <w:tabs>
          <w:tab w:leader="none" w:pos="10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Landlord’s Approval; Performance of Work</w:t>
      </w:r>
      <w:r>
        <w:rPr>
          <w:rFonts w:ascii="Times New Roman" w:cs="Times New Roman" w:eastAsia="Times New Roman" w:hAnsi="Times New Roman"/>
          <w:sz w:val="18"/>
          <w:szCs w:val="18"/>
          <w:color w:val="auto"/>
        </w:rPr>
        <w:t>. If any of Tenant’s proposed construction work will affect the Building’s Structure or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Building’s Systems, then the working drawings pertaining thereto must be approved by Landlord. Landlord’s approval of such working drawings shall not be unreasonably withheld, conditioned or delayed, provided that (1) they comply with all Laws, (2) the improvements depicted thereon do not adversely affect (in the reasonable discretion of Landlord) the Building’s Structure or the Building’s Systems (including the Building’s restrooms or mechanical rooms), the exterior appearance of the Building, or the appearance of the Building’s Common Areas or elevator lobby areas (if any), (3) such working drawings are sufficiently detailed to allow construction of the improvements in a good and workmanlike manner, and (4) the improvements depicted thereon conform to the rules and regulations promulgated from time to time by Landlord for the construction of tenant improvements (a copy of which has been delivered to Tenant). As used herein, “</w:t>
      </w:r>
      <w:r>
        <w:rPr>
          <w:rFonts w:ascii="Times New Roman" w:cs="Times New Roman" w:eastAsia="Times New Roman" w:hAnsi="Times New Roman"/>
          <w:sz w:val="18"/>
          <w:szCs w:val="18"/>
          <w:b w:val="1"/>
          <w:bCs w:val="1"/>
          <w:u w:val="single" w:color="auto"/>
          <w:color w:val="auto"/>
        </w:rPr>
        <w:t>Working Drawings</w:t>
      </w:r>
      <w:r>
        <w:rPr>
          <w:rFonts w:ascii="Times New Roman" w:cs="Times New Roman" w:eastAsia="Times New Roman" w:hAnsi="Times New Roman"/>
          <w:sz w:val="18"/>
          <w:szCs w:val="18"/>
          <w:color w:val="auto"/>
        </w:rPr>
        <w:t>” shall mean the final working drawings approved by Landlord and Tenant, as amended from time to time by any approved changes</w:t>
      </w:r>
    </w:p>
    <w:p>
      <w:pPr>
        <w:sectPr>
          <w:pgSz w:w="11900" w:h="16838" w:orient="portrait"/>
          <w:cols w:equalWidth="0" w:num="1">
            <w:col w:w="11420"/>
          </w:cols>
          <w:pgMar w:left="240" w:top="621" w:right="239" w:bottom="1440" w:gutter="0" w:footer="0" w:header="0"/>
        </w:sectPr>
      </w:pPr>
    </w:p>
    <w:bookmarkStart w:id="89" w:name="page90"/>
    <w:bookmarkEnd w:id="89"/>
    <w:p>
      <w:pPr>
        <w:jc w:val="both"/>
        <w:spacing w:after="0" w:line="257" w:lineRule="auto"/>
        <w:rPr>
          <w:sz w:val="20"/>
          <w:szCs w:val="20"/>
          <w:color w:val="auto"/>
        </w:rPr>
      </w:pPr>
      <w:r>
        <w:rPr>
          <w:rFonts w:ascii="Times New Roman" w:cs="Times New Roman" w:eastAsia="Times New Roman" w:hAnsi="Times New Roman"/>
          <w:sz w:val="18"/>
          <w:szCs w:val="18"/>
          <w:color w:val="auto"/>
        </w:rPr>
        <w:t>thereto, and “</w:t>
      </w:r>
      <w:r>
        <w:rPr>
          <w:rFonts w:ascii="Times New Roman" w:cs="Times New Roman" w:eastAsia="Times New Roman" w:hAnsi="Times New Roman"/>
          <w:sz w:val="18"/>
          <w:szCs w:val="18"/>
          <w:b w:val="1"/>
          <w:bCs w:val="1"/>
          <w:u w:val="single" w:color="auto"/>
          <w:color w:val="auto"/>
        </w:rPr>
        <w:t>Work</w:t>
      </w:r>
      <w:r>
        <w:rPr>
          <w:rFonts w:ascii="Times New Roman" w:cs="Times New Roman" w:eastAsia="Times New Roman" w:hAnsi="Times New Roman"/>
          <w:sz w:val="18"/>
          <w:szCs w:val="18"/>
          <w:color w:val="auto"/>
        </w:rPr>
        <w:t>” shall mean all improvements to be constructed in accordance with and as indicated on the Working Drawings, together with any work required by governmental authorities to be made to other areas of the Building as a result of the improvements indicated by the Working Drawings. Landlord’s approval of the Working Drawings shall not be a representation or warranty of Landlord that such drawings are adequate for any use or comply with any Law, but shall merely be the consent of Landlord thereto. Tenant shall, at Landlord’s request, sign the Working Drawings to evidence its review and approval thereof. After the Working Drawings have been approved, Tenant shall cause the Work to be performed in substantial accordance with the Working Drawings.</w:t>
      </w:r>
    </w:p>
    <w:p>
      <w:pPr>
        <w:spacing w:after="0" w:line="183" w:lineRule="exact"/>
        <w:rPr>
          <w:sz w:val="20"/>
          <w:szCs w:val="20"/>
          <w:color w:val="auto"/>
        </w:rPr>
      </w:pPr>
    </w:p>
    <w:p>
      <w:pPr>
        <w:ind w:firstLine="656"/>
        <w:spacing w:after="0" w:line="286" w:lineRule="auto"/>
        <w:tabs>
          <w:tab w:leader="none" w:pos="99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Bidding of Work</w:t>
      </w:r>
      <w:r>
        <w:rPr>
          <w:rFonts w:ascii="Times New Roman" w:cs="Times New Roman" w:eastAsia="Times New Roman" w:hAnsi="Times New Roman"/>
          <w:sz w:val="18"/>
          <w:szCs w:val="18"/>
          <w:color w:val="auto"/>
        </w:rPr>
        <w:t>. Prior to commencing the Work, Tenant shall competitively bid the Work to four (4) independent contractors each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both Tenant and Landlord. Contractor list shall include the Leapley Construction, KR Witwer, CA South and Structor Group.</w:t>
      </w:r>
    </w:p>
    <w:p>
      <w:pPr>
        <w:spacing w:after="0" w:line="154" w:lineRule="exact"/>
        <w:rPr>
          <w:rFonts w:ascii="Times New Roman" w:cs="Times New Roman" w:eastAsia="Times New Roman" w:hAnsi="Times New Roman"/>
          <w:sz w:val="18"/>
          <w:szCs w:val="18"/>
          <w:color w:val="auto"/>
        </w:rPr>
      </w:pPr>
    </w:p>
    <w:p>
      <w:pPr>
        <w:jc w:val="both"/>
        <w:ind w:firstLine="656"/>
        <w:spacing w:after="0" w:line="253" w:lineRule="auto"/>
        <w:tabs>
          <w:tab w:leader="none" w:pos="96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herein, a “</w:t>
      </w:r>
      <w:r>
        <w:rPr>
          <w:rFonts w:ascii="Times New Roman" w:cs="Times New Roman" w:eastAsia="Times New Roman" w:hAnsi="Times New Roman"/>
          <w:sz w:val="18"/>
          <w:szCs w:val="18"/>
          <w:b w:val="1"/>
          <w:bCs w:val="1"/>
          <w:u w:val="single" w:color="auto"/>
          <w:color w:val="auto"/>
        </w:rPr>
        <w:t>Landlord Delay Day</w:t>
      </w:r>
      <w:r>
        <w:rPr>
          <w:rFonts w:ascii="Times New Roman" w:cs="Times New Roman" w:eastAsia="Times New Roman" w:hAnsi="Times New Roman"/>
          <w:sz w:val="18"/>
          <w:szCs w:val="18"/>
          <w:color w:val="auto"/>
        </w:rPr>
        <w:t>” shall mean each day of delay in the performance of the Work that occurs as a result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Landlord’s failure to timely deliver or approve any required documentation such as the Space Plans or Working Drawings, (b) Landlord’s failure to timely furnish any information or deliver or approve any required documents such as the Space Plans, Working Drawings (whether preliminary, interim revisions or final) (c) Landlord’s failure, on more than one (1) occasion, to have an authorized representative (that may change from time to time) attend any meeting with Tenant, the Architect, any design professional, or any contractor, or their respective employees or representatives, as may be required or scheduled hereunder or otherwise necessary in connection with the preparation or completion of any construction documents, such as the Space Plans, Working Drawings, or in connection with the performance of the Work, provided Landlord is notified at least forty-eight (48) hours in advance of meeting. Any Landlord Delay Day that delays Tenant’s commencement shall result in day for day abatement of rent until such time as Tenant is able to commence the Lease. As used herein “</w:t>
      </w:r>
      <w:r>
        <w:rPr>
          <w:rFonts w:ascii="Times New Roman" w:cs="Times New Roman" w:eastAsia="Times New Roman" w:hAnsi="Times New Roman"/>
          <w:sz w:val="18"/>
          <w:szCs w:val="18"/>
          <w:b w:val="1"/>
          <w:bCs w:val="1"/>
          <w:u w:val="single" w:color="auto"/>
          <w:color w:val="auto"/>
        </w:rPr>
        <w:t>Substantial Completion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Substantially Completed</w:t>
      </w:r>
      <w:r>
        <w:rPr>
          <w:rFonts w:ascii="Times New Roman" w:cs="Times New Roman" w:eastAsia="Times New Roman" w:hAnsi="Times New Roman"/>
          <w:sz w:val="18"/>
          <w:szCs w:val="18"/>
          <w:color w:val="auto"/>
        </w:rPr>
        <w:t>,” and any derivations thereof mean the Work in the Premises has been performed in substantial accordance with the Working Drawings (other than any details of construction, mechanical adjustment or other similar matter, the non-completion of which does not materially interfere with Tenant’s use or occupancy of the Premises) and Tenant has received a temporary certificate of occupancy or a certificate of occupancy.</w:t>
      </w:r>
    </w:p>
    <w:p>
      <w:pPr>
        <w:spacing w:after="0" w:line="190" w:lineRule="exact"/>
        <w:rPr>
          <w:rFonts w:ascii="Times New Roman" w:cs="Times New Roman" w:eastAsia="Times New Roman" w:hAnsi="Times New Roman"/>
          <w:sz w:val="18"/>
          <w:szCs w:val="18"/>
          <w:color w:val="auto"/>
        </w:rPr>
      </w:pPr>
    </w:p>
    <w:p>
      <w:pPr>
        <w:jc w:val="both"/>
        <w:ind w:firstLine="656"/>
        <w:spacing w:after="0" w:line="254" w:lineRule="auto"/>
        <w:tabs>
          <w:tab w:leader="none" w:pos="96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Excess Costs</w:t>
      </w:r>
      <w:r>
        <w:rPr>
          <w:rFonts w:ascii="Times New Roman" w:cs="Times New Roman" w:eastAsia="Times New Roman" w:hAnsi="Times New Roman"/>
          <w:sz w:val="18"/>
          <w:szCs w:val="18"/>
          <w:color w:val="auto"/>
        </w:rPr>
        <w:t>. The entire cost of performing the Work (including design and engineering of the Work and preparation of the Working Drawings,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costs of construction labor and materials, including, but not limited to voice and data cabling, security and audio visual, general tenant signage and the construction supervision fee referenced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Exhibit, all of which costs are herein collectively called the “</w:t>
      </w:r>
      <w:r>
        <w:rPr>
          <w:rFonts w:ascii="Times New Roman" w:cs="Times New Roman" w:eastAsia="Times New Roman" w:hAnsi="Times New Roman"/>
          <w:sz w:val="18"/>
          <w:szCs w:val="18"/>
          <w:b w:val="1"/>
          <w:bCs w:val="1"/>
          <w:u w:val="single" w:color="auto"/>
          <w:color w:val="auto"/>
        </w:rPr>
        <w:t>Total Construction Costs</w:t>
      </w:r>
      <w:r>
        <w:rPr>
          <w:rFonts w:ascii="Times New Roman" w:cs="Times New Roman" w:eastAsia="Times New Roman" w:hAnsi="Times New Roman"/>
          <w:sz w:val="18"/>
          <w:szCs w:val="18"/>
          <w:color w:val="auto"/>
        </w:rPr>
        <w:t>”) in excess of the Construction Allowance (hereinafter defined) shall be paid by Tenant. Upon approval of the Working Drawings and selection of a contractor, Tenant shall, no later than two (2) Business Days thereafter, (a) execute a work order agreement prepared by Landlord which identifies such drawings and itemizes the Total Construction Costs and sets forth the Construction Allowance, and (b) pay to Landlord fifty percent (50%) of the amount by which Total Construction Costs exceed the Construction Allowance. Upon Substantial Completion of the Work, Tenant shall pay to Landlord, within thirty (30) days of receipt of an invoice, an amount equal to the Total Construction Costs (as adjusted for any approved changes to the Work), less (1) the amount of the advance payment already made by Tenant, and (2) the amount of the Construction Allowance. In the event of default of payment of such excess costs, Landlord (in addition to all other remedies) shall have the same rights as for an Event of Default under the Lease.</w:t>
      </w:r>
    </w:p>
    <w:p>
      <w:pPr>
        <w:spacing w:after="0" w:line="186" w:lineRule="exact"/>
        <w:rPr>
          <w:rFonts w:ascii="Times New Roman" w:cs="Times New Roman" w:eastAsia="Times New Roman" w:hAnsi="Times New Roman"/>
          <w:sz w:val="18"/>
          <w:szCs w:val="18"/>
          <w:color w:val="auto"/>
        </w:rPr>
      </w:pPr>
    </w:p>
    <w:p>
      <w:pPr>
        <w:jc w:val="both"/>
        <w:ind w:firstLine="656"/>
        <w:spacing w:after="0" w:line="255" w:lineRule="auto"/>
        <w:tabs>
          <w:tab w:leader="none" w:pos="101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Construction Allowance; Moving Allowance</w:t>
      </w:r>
      <w:r>
        <w:rPr>
          <w:rFonts w:ascii="Times New Roman" w:cs="Times New Roman" w:eastAsia="Times New Roman" w:hAnsi="Times New Roman"/>
          <w:sz w:val="18"/>
          <w:szCs w:val="18"/>
          <w:color w:val="auto"/>
        </w:rPr>
        <w:t>. Landlord shall provide to Tenant a construction allowance not to exceed $35.00 per rentable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square foot in the Premises (the “</w:t>
      </w:r>
      <w:r>
        <w:rPr>
          <w:rFonts w:ascii="Times New Roman" w:cs="Times New Roman" w:eastAsia="Times New Roman" w:hAnsi="Times New Roman"/>
          <w:sz w:val="18"/>
          <w:szCs w:val="18"/>
          <w:b w:val="1"/>
          <w:bCs w:val="1"/>
          <w:u w:val="single" w:color="auto"/>
          <w:color w:val="auto"/>
        </w:rPr>
        <w:t>Construction Allowance</w:t>
      </w:r>
      <w:r>
        <w:rPr>
          <w:rFonts w:ascii="Times New Roman" w:cs="Times New Roman" w:eastAsia="Times New Roman" w:hAnsi="Times New Roman"/>
          <w:sz w:val="18"/>
          <w:szCs w:val="18"/>
          <w:color w:val="auto"/>
        </w:rPr>
        <w:t>”) to be applied toward the Total Construction Costs, as adjusted for any changes to the Work. The Construction Allowance shall not be disbursed to Tenant in cash, but shall be applied by Landlord to the payment of the Total Construction Costs, if, as, and when the cost of the Work is actually incurred and paid by Landlord. The Construction Allowance must be used within twelve (12) months following the Commencement Date or shall be deemed forfeited with no further obligation by Landlord with respect thereto, unless otherwise agreed to in writing by Landlord and Tenant. In addition, any unused balance of the Construction Allowance up to $5.00 per rentable square foot of the Premises (the “</w:t>
      </w:r>
      <w:r>
        <w:rPr>
          <w:rFonts w:ascii="Times New Roman" w:cs="Times New Roman" w:eastAsia="Times New Roman" w:hAnsi="Times New Roman"/>
          <w:sz w:val="18"/>
          <w:szCs w:val="18"/>
          <w:b w:val="1"/>
          <w:bCs w:val="1"/>
          <w:u w:val="single" w:color="auto"/>
          <w:color w:val="auto"/>
        </w:rPr>
        <w:t>Moving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Allowance</w:t>
      </w:r>
      <w:r>
        <w:rPr>
          <w:rFonts w:ascii="Times New Roman" w:cs="Times New Roman" w:eastAsia="Times New Roman" w:hAnsi="Times New Roman"/>
          <w:sz w:val="18"/>
          <w:szCs w:val="18"/>
          <w:color w:val="auto"/>
        </w:rPr>
        <w:t>”) may be used towards any and all reasonable relocation costs to the Premises (including costs and/or purchase of moving, cabling, wiring,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equipment, telephony, project management, related consultants/vendors and other office installations). The Construction Allowance, Moving Allowance or the applicable portions thereof shall be paid by</w:t>
      </w:r>
    </w:p>
    <w:p>
      <w:pPr>
        <w:sectPr>
          <w:pgSz w:w="11900" w:h="16838" w:orient="portrait"/>
          <w:cols w:equalWidth="0" w:num="1">
            <w:col w:w="11420"/>
          </w:cols>
          <w:pgMar w:left="240" w:top="617"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Landlord to Tenant or to Tenant’s vendors or contractors within thirty (30) days of Landlord’s receipt of the invoices. 10.</w:t>
      </w:r>
    </w:p>
    <w:p>
      <w:pPr>
        <w:spacing w:after="0" w:line="221" w:lineRule="exact"/>
        <w:rPr>
          <w:sz w:val="20"/>
          <w:szCs w:val="20"/>
          <w:color w:val="auto"/>
        </w:rPr>
      </w:pPr>
    </w:p>
    <w:p>
      <w:pPr>
        <w:jc w:val="both"/>
        <w:ind w:firstLine="656"/>
        <w:spacing w:after="0" w:line="257" w:lineRule="auto"/>
        <w:tabs>
          <w:tab w:leader="none" w:pos="106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Construction Management</w:t>
      </w:r>
      <w:r>
        <w:rPr>
          <w:rFonts w:ascii="Times New Roman" w:cs="Times New Roman" w:eastAsia="Times New Roman" w:hAnsi="Times New Roman"/>
          <w:sz w:val="18"/>
          <w:szCs w:val="18"/>
          <w:color w:val="auto"/>
        </w:rPr>
        <w:t>. Tenant or its Affiliate or agent shall supervise the Work and manage the construction contract. Upon receipt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invoices from Tenant or its Affiliate or agent, Landlord shall make disbursements required to be made to the contractor. Landlord’s Representative or designated agent will act as a liaison between the contractor and Tenant or its Affiliate or agent and coordinate the relationship between the Work, the Building and the Building’s Systems. In consideration for Landlord’s construction supervision services, Tenant shall pay to Landlord a construction supervision fee equal to one and one-half percent (1.5%) of the General Construction Contract Sum (excluding the construction supervision and consultant fee).</w:t>
      </w:r>
    </w:p>
    <w:p>
      <w:pPr>
        <w:spacing w:after="0" w:line="182" w:lineRule="exact"/>
        <w:rPr>
          <w:rFonts w:ascii="Times New Roman" w:cs="Times New Roman" w:eastAsia="Times New Roman" w:hAnsi="Times New Roman"/>
          <w:sz w:val="18"/>
          <w:szCs w:val="18"/>
          <w:color w:val="auto"/>
        </w:rPr>
      </w:pPr>
    </w:p>
    <w:p>
      <w:pPr>
        <w:ind w:firstLine="656"/>
        <w:spacing w:after="0" w:line="286" w:lineRule="auto"/>
        <w:tabs>
          <w:tab w:leader="none" w:pos="97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Construction Representatives</w:t>
      </w:r>
      <w:r>
        <w:rPr>
          <w:rFonts w:ascii="Times New Roman" w:cs="Times New Roman" w:eastAsia="Times New Roman" w:hAnsi="Times New Roman"/>
          <w:sz w:val="18"/>
          <w:szCs w:val="18"/>
          <w:color w:val="auto"/>
        </w:rPr>
        <w:t>. Landlord’s and Tenant’s representatives for coordination of construction and approval of change orders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 provided that either party may change its representative upon written notice to the other:</w:t>
      </w:r>
    </w:p>
    <w:p>
      <w:pPr>
        <w:spacing w:after="0" w:line="163"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22"/>
          <w:szCs w:val="22"/>
          <w:color w:val="auto"/>
        </w:rPr>
        <w:t>Landlord’s Representative:</w:t>
      </w:r>
      <w:r>
        <w:rPr>
          <w:sz w:val="20"/>
          <w:szCs w:val="20"/>
          <w:color w:val="auto"/>
        </w:rPr>
        <w:tab/>
      </w:r>
      <w:r>
        <w:rPr>
          <w:rFonts w:ascii="Times New Roman" w:cs="Times New Roman" w:eastAsia="Times New Roman" w:hAnsi="Times New Roman"/>
          <w:sz w:val="21"/>
          <w:szCs w:val="21"/>
          <w:color w:val="auto"/>
        </w:rPr>
        <w:t>Traci Tomas, Vice President</w:t>
      </w:r>
    </w:p>
    <w:p>
      <w:pPr>
        <w:spacing w:after="0" w:line="2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Peachtree II and III, LLC</w:t>
      </w:r>
    </w:p>
    <w:p>
      <w:pPr>
        <w:spacing w:after="0" w:line="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C/O Continental Property Group</w:t>
      </w:r>
    </w:p>
    <w:p>
      <w:pPr>
        <w:spacing w:after="0" w:line="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1907 Wayzata Blvd, Suite 250</w:t>
      </w:r>
    </w:p>
    <w:p>
      <w:pPr>
        <w:spacing w:after="0" w:line="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Wayzata, MN 55391</w:t>
      </w:r>
    </w:p>
    <w:p>
      <w:pPr>
        <w:spacing w:after="0" w:line="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Telephone: 952-473-1700</w:t>
      </w:r>
    </w:p>
    <w:p>
      <w:pPr>
        <w:spacing w:after="0" w:line="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Telecopy: 952-473-2700</w:t>
      </w:r>
    </w:p>
    <w:p>
      <w:pPr>
        <w:spacing w:after="0" w:line="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Email: ttomas@leasespace.com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Telephone: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Telecopy:</w:t>
      </w:r>
    </w:p>
    <w:p>
      <w:pPr>
        <w:spacing w:after="0" w:line="187" w:lineRule="exact"/>
        <w:rPr>
          <w:sz w:val="20"/>
          <w:szCs w:val="20"/>
          <w:color w:val="auto"/>
        </w:rPr>
      </w:pPr>
    </w:p>
    <w:p>
      <w:pPr>
        <w:ind w:firstLine="656"/>
        <w:spacing w:after="0" w:line="286"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 To the extent not inconsistent with this Exhibit,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7(a)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Lease shall govern the performance of the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Landlord’s and Tenant’s respective rights and obligations regarding the improvements installed pursuant thereto.</w:t>
      </w:r>
    </w:p>
    <w:p>
      <w:pPr>
        <w:sectPr>
          <w:pgSz w:w="11900" w:h="16838" w:orient="portrait"/>
          <w:cols w:equalWidth="0" w:num="1">
            <w:col w:w="11420"/>
          </w:cols>
          <w:pgMar w:left="240" w:top="621"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BUILDING RULES AND REGULATIONS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rules and regulations shall apply to the Premises, the Building, the parking garage associated therewith, and the appurtenances thereto:</w:t>
      </w:r>
    </w:p>
    <w:p>
      <w:pPr>
        <w:spacing w:after="0" w:line="230" w:lineRule="exact"/>
        <w:rPr>
          <w:sz w:val="20"/>
          <w:szCs w:val="20"/>
          <w:color w:val="auto"/>
        </w:rPr>
      </w:pPr>
    </w:p>
    <w:p>
      <w:pPr>
        <w:ind w:left="660" w:hanging="652"/>
        <w:spacing w:after="0" w:line="271" w:lineRule="auto"/>
        <w:tabs>
          <w:tab w:leader="none" w:pos="6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Smoking is prohibited in the Premises, the main lobby, public corridors, elevators and elevator lobbies, stairwells, restrooms, and other common areas within the Building.</w:t>
      </w:r>
    </w:p>
    <w:p>
      <w:pPr>
        <w:spacing w:after="0" w:line="198" w:lineRule="exact"/>
        <w:rPr>
          <w:rFonts w:ascii="Times New Roman" w:cs="Times New Roman" w:eastAsia="Times New Roman" w:hAnsi="Times New Roman"/>
          <w:sz w:val="22"/>
          <w:szCs w:val="22"/>
          <w:color w:val="auto"/>
        </w:rPr>
      </w:pPr>
    </w:p>
    <w:p>
      <w:pPr>
        <w:jc w:val="both"/>
        <w:ind w:left="660" w:hanging="652"/>
        <w:spacing w:after="0" w:line="249" w:lineRule="auto"/>
        <w:tabs>
          <w:tab w:leader="none" w:pos="6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reserves the right to close and keep locked all entrance and exit doors of the Building during the hours which are not Normal Business Hours. When departing after the Building’s Normal Business Hours, Tenant and its employees, agents, and invitees must ensure that the doors to the Building and the Premises are securely closed and locked. Requests to the Landlord, for access to the Building or any part thereof when it is locked, may be refused unless the person seeking access has arranged in advance for access or admission into the Building or any part thereof. Landlord and its agents shall not be liable for damages for any error concerning the admission to, or the exclusion from, the Building of any person.</w:t>
      </w:r>
    </w:p>
    <w:p>
      <w:pPr>
        <w:spacing w:after="0" w:line="221" w:lineRule="exact"/>
        <w:rPr>
          <w:rFonts w:ascii="Times New Roman" w:cs="Times New Roman" w:eastAsia="Times New Roman" w:hAnsi="Times New Roman"/>
          <w:sz w:val="22"/>
          <w:szCs w:val="22"/>
          <w:color w:val="auto"/>
        </w:rPr>
      </w:pPr>
    </w:p>
    <w:p>
      <w:pPr>
        <w:jc w:val="both"/>
        <w:ind w:left="660" w:hanging="652"/>
        <w:spacing w:after="0" w:line="261" w:lineRule="auto"/>
        <w:tabs>
          <w:tab w:leader="none" w:pos="6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agrees to furnish Tenant two keys for each keyed door located within the Premises without charge. If the Building entrance and/or the primary entrance to the Premises is accessed with either a pass key or key card, Landlord agrees to furnish Tenant two pass keys or key cards, as the case may be, per 1,000 square feet of leased space. Any additional pass keys or key cards required by Tenant must be obtained from Landlord at a reasonable cost to be established by Landlord. Tenant shall not alter any lock or install any new or additional locks or bolts on any doors or windows of the Premises without obtaining Landlord’s prior written consent, which consent Landlord shall not unreasonably withhold, condition or delay. All keys and key cards to Premises shall be surrendered to Landlord upon termination of this Lease.</w:t>
      </w:r>
    </w:p>
    <w:p>
      <w:pPr>
        <w:spacing w:after="0" w:line="214" w:lineRule="exact"/>
        <w:rPr>
          <w:rFonts w:ascii="Times New Roman" w:cs="Times New Roman" w:eastAsia="Times New Roman" w:hAnsi="Times New Roman"/>
          <w:sz w:val="21"/>
          <w:szCs w:val="21"/>
          <w:color w:val="auto"/>
        </w:rPr>
      </w:pPr>
    </w:p>
    <w:p>
      <w:pPr>
        <w:jc w:val="both"/>
        <w:ind w:left="660" w:hanging="652"/>
        <w:spacing w:after="0" w:line="250" w:lineRule="auto"/>
        <w:tabs>
          <w:tab w:leader="none" w:pos="6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contractors and installation technicians shall comply with Landlord’s rules and regulations pertaining to construction and installation. This provision shall apply to all work performed on or about the Premises, Building, Project or Complex, including installation of telephones, computer wiring, electrical devices and attachments, and installations of any nature affecting floors, walls, woodwork, trim, windows, ceilings, and equipment, or any other physical portion of the Premises, Building, Project or Complex.</w:t>
      </w:r>
    </w:p>
    <w:p>
      <w:pPr>
        <w:spacing w:after="0" w:line="222" w:lineRule="exact"/>
        <w:rPr>
          <w:rFonts w:ascii="Times New Roman" w:cs="Times New Roman" w:eastAsia="Times New Roman" w:hAnsi="Times New Roman"/>
          <w:sz w:val="22"/>
          <w:szCs w:val="22"/>
          <w:color w:val="auto"/>
        </w:rPr>
      </w:pPr>
    </w:p>
    <w:p>
      <w:pPr>
        <w:jc w:val="both"/>
        <w:ind w:left="660" w:hanging="652"/>
        <w:spacing w:after="0" w:line="249" w:lineRule="auto"/>
        <w:tabs>
          <w:tab w:leader="none" w:pos="6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signaling or telephonic devices, including antennae and satellite dishes, or other wires, cabling and instruments or devices shall be installed on the exterior walls of the Premises, Building, Project or Complex without the prior written consent of Landlord, which consent Landlord shall not unreasonably withhold, condition or delay. No advertising banners or balloons or any other items which require fastening to the exterior walls of the Premises, Building, Project or Complex are permitted without the prior written consent of Landlord, which consent Landlord shall not unreasonably withhold, condition or delay. Mechanical equipment, utility meters, and/or storage tanks will not be placed in or on the Premises,</w:t>
      </w:r>
    </w:p>
    <w:p>
      <w:pPr>
        <w:sectPr>
          <w:pgSz w:w="11900" w:h="16838" w:orient="portrait"/>
          <w:cols w:equalWidth="0" w:num="1">
            <w:col w:w="11420"/>
          </w:cols>
          <w:pgMar w:left="240" w:top="621" w:right="239" w:bottom="1440" w:gutter="0" w:footer="0" w:header="0"/>
        </w:sectPr>
      </w:pPr>
    </w:p>
    <w:bookmarkStart w:id="92" w:name="page93"/>
    <w:bookmarkEnd w:id="92"/>
    <w:p>
      <w:pPr>
        <w:ind w:left="652"/>
        <w:spacing w:after="0" w:line="271" w:lineRule="auto"/>
        <w:rPr>
          <w:sz w:val="20"/>
          <w:szCs w:val="20"/>
          <w:color w:val="auto"/>
        </w:rPr>
      </w:pPr>
      <w:r>
        <w:rPr>
          <w:rFonts w:ascii="Times New Roman" w:cs="Times New Roman" w:eastAsia="Times New Roman" w:hAnsi="Times New Roman"/>
          <w:sz w:val="22"/>
          <w:szCs w:val="22"/>
          <w:color w:val="auto"/>
        </w:rPr>
        <w:t>Building, Project or Complex without Landlord’s prior written approval, which approval Landlord shall not unreasonably withhold, condition or delay.</w:t>
      </w:r>
    </w:p>
    <w:p>
      <w:pPr>
        <w:spacing w:after="0" w:line="198" w:lineRule="exact"/>
        <w:rPr>
          <w:sz w:val="20"/>
          <w:szCs w:val="20"/>
          <w:color w:val="auto"/>
        </w:rPr>
      </w:pPr>
    </w:p>
    <w:p>
      <w:pPr>
        <w:jc w:val="both"/>
        <w:ind w:left="652" w:hanging="652"/>
        <w:spacing w:after="0" w:line="252" w:lineRule="auto"/>
        <w:tabs>
          <w:tab w:leader="none" w:pos="65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overload the floor of the Premises; safes and other heavy articles shall be placed by Tenant only in such manner and location as may be specified in writing by Landlord, and any damage done to the Building or Premises from overloading a floor, or injury to persons in moving safes or other heavy articles in or out of the Building or Premises, shall be paid for by Tenant.</w:t>
      </w:r>
    </w:p>
    <w:p>
      <w:pPr>
        <w:spacing w:after="0" w:line="220" w:lineRule="exact"/>
        <w:rPr>
          <w:rFonts w:ascii="Times New Roman" w:cs="Times New Roman" w:eastAsia="Times New Roman" w:hAnsi="Times New Roman"/>
          <w:sz w:val="22"/>
          <w:szCs w:val="22"/>
          <w:color w:val="auto"/>
        </w:rPr>
      </w:pPr>
    </w:p>
    <w:p>
      <w:pPr>
        <w:jc w:val="both"/>
        <w:ind w:left="652" w:hanging="652"/>
        <w:spacing w:after="0" w:line="246" w:lineRule="auto"/>
        <w:tabs>
          <w:tab w:leader="none" w:pos="65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furniture, freight, or equipment of any kind, other than those delivered by messenger and express type services, may be brought into or out of the Building without prior notice to, and consent from, the Landlord, which consent Landlord shall not unreasonably withhold, condition or delay. All moving activity into or out of the Building must be scheduled with the Landlord and done only in the manner, and restricted to the hours, reasonably designated by Landlord. All such movement shall be under supervision of Landlord and carried out in a manner that shall comply with Landlord’s rules and regulations. Tenant assumes, and shall indemnify Landlord against all loss, liability, cost, expense, risk or claim of damage or injury to persons and properties arising in connection with any said movement. All hand trucks used in the Building must be equipped with rubber tires and side guards. The only elevator on which heavy and/or large deliveries can be utilized is the freight elevator. If the Building does not provide a freight elevator, passenger elevators may be used with Landlord’s approval, and given at least 24 hours’ notice so that proper protection can be put in place.</w:t>
      </w:r>
    </w:p>
    <w:p>
      <w:pPr>
        <w:spacing w:after="0" w:line="229" w:lineRule="exact"/>
        <w:rPr>
          <w:rFonts w:ascii="Times New Roman" w:cs="Times New Roman" w:eastAsia="Times New Roman" w:hAnsi="Times New Roman"/>
          <w:sz w:val="22"/>
          <w:szCs w:val="22"/>
          <w:color w:val="auto"/>
        </w:rPr>
      </w:pPr>
    </w:p>
    <w:p>
      <w:pPr>
        <w:jc w:val="both"/>
        <w:ind w:left="652" w:hanging="652"/>
        <w:spacing w:after="0" w:line="257" w:lineRule="auto"/>
        <w:tabs>
          <w:tab w:leader="none" w:pos="65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use any method of heating or air-conditioning, other than that supplied by Landlord, without Landlord’s prior written consent, which consent Landlord shall not unreasonably withhold, condition or delay. Space heaters are an electrical fire hazard and are not to be used in Tenant’s Premises.</w:t>
      </w:r>
    </w:p>
    <w:p>
      <w:pPr>
        <w:spacing w:after="0" w:line="213" w:lineRule="exact"/>
        <w:rPr>
          <w:rFonts w:ascii="Times New Roman" w:cs="Times New Roman" w:eastAsia="Times New Roman" w:hAnsi="Times New Roman"/>
          <w:sz w:val="22"/>
          <w:szCs w:val="22"/>
          <w:color w:val="auto"/>
        </w:rPr>
      </w:pPr>
    </w:p>
    <w:p>
      <w:pPr>
        <w:jc w:val="both"/>
        <w:ind w:left="652" w:hanging="652"/>
        <w:spacing w:after="0" w:line="250" w:lineRule="auto"/>
        <w:tabs>
          <w:tab w:leader="none" w:pos="65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cooking shall be done or permitted on the Premises, except that Underwriters’ Laboratory (UL)-approved equipment and microwave ovens may be used in the Premises for heating food and brewing coffee, tea, hot chocolate, and similar beverages for employees and visitors. This use must be in accordance with all applicable federal, state, and city laws, ordinances, rules, and regulations. Tenant shall not use outdoor grills or cooking equipment, nor place picnic tables, tents, sports equipment, etc. in or about the Premises, without the prior written approval from Landlord.</w:t>
      </w:r>
    </w:p>
    <w:p>
      <w:pPr>
        <w:spacing w:after="0" w:line="222"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at any time, occupy any part of the Premises, the Building, or the Property as sleeping or lodging quarters.</w:t>
      </w:r>
    </w:p>
    <w:p>
      <w:pPr>
        <w:spacing w:after="0" w:line="271" w:lineRule="exact"/>
        <w:rPr>
          <w:rFonts w:ascii="Times New Roman" w:cs="Times New Roman" w:eastAsia="Times New Roman" w:hAnsi="Times New Roman"/>
          <w:sz w:val="21"/>
          <w:szCs w:val="21"/>
          <w:color w:val="auto"/>
        </w:rPr>
      </w:pPr>
    </w:p>
    <w:p>
      <w:pPr>
        <w:jc w:val="both"/>
        <w:ind w:left="652" w:hanging="652"/>
        <w:spacing w:after="0" w:line="257" w:lineRule="auto"/>
        <w:tabs>
          <w:tab w:leader="none" w:pos="65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dogs, cats, fowl or other animals shall be brought into, or kept in or about the Premises, the Building, or the Property, except for those animals utilized to assist any persons with disabilities. Landlord should be notified in advance, and in writing, if any such animals will be utilized on a regular basis.</w:t>
      </w:r>
    </w:p>
    <w:p>
      <w:pPr>
        <w:sectPr>
          <w:pgSz w:w="11900" w:h="16838" w:orient="portrait"/>
          <w:cols w:equalWidth="0" w:num="1">
            <w:col w:w="11412"/>
          </w:cols>
          <w:pgMar w:left="248" w:top="625" w:right="239" w:bottom="1440" w:gutter="0" w:footer="0" w:header="0"/>
        </w:sectPr>
      </w:pPr>
    </w:p>
    <w:bookmarkStart w:id="93" w:name="page94"/>
    <w:bookmarkEnd w:id="93"/>
    <w:p>
      <w:pPr>
        <w:jc w:val="both"/>
        <w:ind w:left="652" w:hanging="652"/>
        <w:spacing w:after="0" w:line="252" w:lineRule="auto"/>
        <w:tabs>
          <w:tab w:leader="none" w:pos="65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its employees and invitees, shall not disturb occupants of the Building or the Property by the use of any radios, tape or CD players, or other musical instruments, or the making of objectionable noises. The location of office parties and functions shall be restricted to the Premises. Catering services shall use the service entrance and the service elevator for deliveries.</w:t>
      </w:r>
    </w:p>
    <w:p>
      <w:pPr>
        <w:spacing w:after="0" w:line="220" w:lineRule="exact"/>
        <w:rPr>
          <w:rFonts w:ascii="Times New Roman" w:cs="Times New Roman" w:eastAsia="Times New Roman" w:hAnsi="Times New Roman"/>
          <w:sz w:val="22"/>
          <w:szCs w:val="22"/>
          <w:color w:val="auto"/>
        </w:rPr>
      </w:pPr>
    </w:p>
    <w:p>
      <w:pPr>
        <w:jc w:val="both"/>
        <w:ind w:left="652" w:hanging="652"/>
        <w:spacing w:after="0" w:line="265" w:lineRule="auto"/>
        <w:tabs>
          <w:tab w:leader="none" w:pos="652"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canvassing, soliciting, and peddling in or about the Premises, the Building, or the Property is prohibited. Tenant, Tenant’s employees, and Tenant’s agents shall not loiter in or on the entrances, corridors, sidewalks, lobbies, halls, stairways, elevators, or common areas, or disturb, solicit, or canvas any occupant of the Premises, the Building, or the Property. Landlord reserves the right to exclude or expel from the Property any person who, in Landlord’s reasonable judgment, is under the influence of alcohol or drugs, or commits any act in violation of any of these Rules and Regulations.</w:t>
      </w:r>
    </w:p>
    <w:p>
      <w:pPr>
        <w:spacing w:after="0" w:line="206" w:lineRule="exact"/>
        <w:rPr>
          <w:rFonts w:ascii="Times New Roman" w:cs="Times New Roman" w:eastAsia="Times New Roman" w:hAnsi="Times New Roman"/>
          <w:sz w:val="21"/>
          <w:szCs w:val="21"/>
          <w:color w:val="auto"/>
        </w:rPr>
      </w:pPr>
    </w:p>
    <w:p>
      <w:pPr>
        <w:jc w:val="both"/>
        <w:ind w:left="652" w:hanging="652"/>
        <w:spacing w:after="0" w:line="250" w:lineRule="auto"/>
        <w:tabs>
          <w:tab w:leader="none" w:pos="65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restrooms, urinals, wash bowls, and other apparatus shall not be used for any purpose including, without limitation, drug testing, other than that for which they were constructed, and no foreign substance of any kind shall be thrown or poured into them. The expense of any breakage, stoppage, or damage resulting from violation of this rule shall be borne by the tenant who caused, or whose employees, agents, contractors, invitees, or licensees caused the breakage, stoppage, or damage.</w:t>
      </w:r>
    </w:p>
    <w:p>
      <w:pPr>
        <w:spacing w:after="0" w:line="222" w:lineRule="exact"/>
        <w:rPr>
          <w:rFonts w:ascii="Times New Roman" w:cs="Times New Roman" w:eastAsia="Times New Roman" w:hAnsi="Times New Roman"/>
          <w:sz w:val="22"/>
          <w:szCs w:val="22"/>
          <w:color w:val="auto"/>
        </w:rPr>
      </w:pPr>
    </w:p>
    <w:p>
      <w:pPr>
        <w:jc w:val="both"/>
        <w:ind w:left="652" w:hanging="652"/>
        <w:spacing w:after="0" w:line="252" w:lineRule="auto"/>
        <w:tabs>
          <w:tab w:leader="none" w:pos="65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parking, plaza, recreation, or lawn areas, entries, passages, doors, elevators, hallways, or stairways shall be blocked or obstructed; nor shall any rubbish, litter, trash or material of any nature be placed, emptied or thrown into these areas; nor shall these areas be used by Tenant’s agents, employees, and/or invitees at any time for purposes which are inconsistent with their designation by Landlord.</w:t>
      </w:r>
    </w:p>
    <w:p>
      <w:pPr>
        <w:spacing w:after="0" w:line="220" w:lineRule="exact"/>
        <w:rPr>
          <w:rFonts w:ascii="Times New Roman" w:cs="Times New Roman" w:eastAsia="Times New Roman" w:hAnsi="Times New Roman"/>
          <w:sz w:val="22"/>
          <w:szCs w:val="22"/>
          <w:color w:val="auto"/>
        </w:rPr>
      </w:pPr>
    </w:p>
    <w:p>
      <w:pPr>
        <w:jc w:val="both"/>
        <w:ind w:left="652" w:hanging="652"/>
        <w:spacing w:after="0" w:line="249" w:lineRule="auto"/>
        <w:tabs>
          <w:tab w:leader="none" w:pos="65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signs of any type or description shall be erected, placed, or painted in or about the doors and windows, the building, or the grounds of the Project or Complex or right-of-way of which the Premises are a part except those signs submitted to Landlord in writing and approved by Landlord in writing, which approval Landlord shall not unreasonably withhold, condition or delay, and which signs are in conformance with the any protective covenants applicable to the project of which the Building is a part. No covers or awnings over or outside of the windows nor draperies or coverings hung inside the windows will be permitted without Landlord’s prior written approval.</w:t>
      </w:r>
    </w:p>
    <w:p>
      <w:pPr>
        <w:spacing w:after="0" w:line="221" w:lineRule="exact"/>
        <w:rPr>
          <w:rFonts w:ascii="Times New Roman" w:cs="Times New Roman" w:eastAsia="Times New Roman" w:hAnsi="Times New Roman"/>
          <w:sz w:val="22"/>
          <w:szCs w:val="22"/>
          <w:color w:val="auto"/>
        </w:rPr>
      </w:pPr>
    </w:p>
    <w:p>
      <w:pPr>
        <w:jc w:val="both"/>
        <w:ind w:left="652" w:hanging="652"/>
        <w:spacing w:after="0" w:line="250" w:lineRule="auto"/>
        <w:tabs>
          <w:tab w:leader="none" w:pos="65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its employees, agents, and invitees shall park their vehicles only in those parking areas designated by Landlord and entirely within the lines. All directional signs, arrows, and posted speed limits must be observed. Bicycles, motorcycles or other mobile devices shall not be allowed or placed anywhere on the Property or in the Building, except within those areas so designated. Parking is prohibited in areas not striped for parking, in aisles where “No Parking” signs are posted, on ramps, in crosshatched areas, and in other areas as may be designated by Landlord.</w:t>
      </w:r>
    </w:p>
    <w:p>
      <w:pPr>
        <w:sectPr>
          <w:pgSz w:w="11900" w:h="16838" w:orient="portrait"/>
          <w:cols w:equalWidth="0" w:num="1">
            <w:col w:w="11412"/>
          </w:cols>
          <w:pgMar w:left="248" w:top="625" w:right="239" w:bottom="1440" w:gutter="0" w:footer="0" w:header="0"/>
        </w:sectPr>
      </w:pPr>
    </w:p>
    <w:bookmarkStart w:id="94" w:name="page95"/>
    <w:bookmarkEnd w:id="94"/>
    <w:p>
      <w:pPr>
        <w:jc w:val="both"/>
        <w:ind w:left="652" w:hanging="652"/>
        <w:spacing w:after="0" w:line="249" w:lineRule="auto"/>
        <w:tabs>
          <w:tab w:leader="none" w:pos="65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its employees, agents, and invitees shall not leave any vehicle in a state of disrepair, including, without limitation, flat tires, oil or damaging fluid leaks, out-of-date inspection stickers or license plates, on the Property. If Tenant or its employees, agents or invitees park their vehicles in areas other than the designated parking areas or leave any vehicle in a state of disrepair, Landlord, after ticketing the vehicle in violation, shall have the right to remove such vehicle at its owner’s expense. No vehicle maintenance will be done on the Property without the prior written consent of Landlord, which may be withheld in its sole discretion.</w:t>
      </w:r>
    </w:p>
    <w:p>
      <w:pPr>
        <w:spacing w:after="0" w:line="221" w:lineRule="exact"/>
        <w:rPr>
          <w:rFonts w:ascii="Times New Roman" w:cs="Times New Roman" w:eastAsia="Times New Roman" w:hAnsi="Times New Roman"/>
          <w:sz w:val="22"/>
          <w:szCs w:val="22"/>
          <w:color w:val="auto"/>
        </w:rPr>
      </w:pPr>
    </w:p>
    <w:p>
      <w:pPr>
        <w:jc w:val="both"/>
        <w:ind w:left="652" w:hanging="652"/>
        <w:spacing w:after="0" w:line="252" w:lineRule="auto"/>
        <w:tabs>
          <w:tab w:leader="none" w:pos="65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its employees, agents, and invitees shall park their vehicles in compliance with all parking rules and regulations, including any sticker or other identification system established by Landlord. Parking stickers or other forms of identification supplied by Landlord shall remain the property of Landlord and are not transferable. Vehicles should be kept locked; any damage to vehicles or persons is assumed by the vehicle’s owner or its driver.</w:t>
      </w:r>
    </w:p>
    <w:p>
      <w:pPr>
        <w:spacing w:after="0" w:line="220" w:lineRule="exact"/>
        <w:rPr>
          <w:rFonts w:ascii="Times New Roman" w:cs="Times New Roman" w:eastAsia="Times New Roman" w:hAnsi="Times New Roman"/>
          <w:sz w:val="22"/>
          <w:szCs w:val="22"/>
          <w:color w:val="auto"/>
        </w:rPr>
      </w:pPr>
    </w:p>
    <w:p>
      <w:pPr>
        <w:jc w:val="both"/>
        <w:ind w:left="652" w:hanging="652"/>
        <w:spacing w:after="0" w:line="252" w:lineRule="auto"/>
        <w:tabs>
          <w:tab w:leader="none" w:pos="65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of Landlord shall not be responsible to carry messages from or to Tenant. Nor shall employees of Landlord contract with, or render free or paid service to any Tenant or to any of Tenant’s agents, employees, or invitees which service is not covered in this Lease, without prior written notice to Landlord, which consent Landlord shall not unreasonably withhold, condition or delay.</w:t>
      </w:r>
    </w:p>
    <w:p>
      <w:pPr>
        <w:spacing w:after="0" w:line="220" w:lineRule="exact"/>
        <w:rPr>
          <w:rFonts w:ascii="Times New Roman" w:cs="Times New Roman" w:eastAsia="Times New Roman" w:hAnsi="Times New Roman"/>
          <w:sz w:val="22"/>
          <w:szCs w:val="22"/>
          <w:color w:val="auto"/>
        </w:rPr>
      </w:pPr>
    </w:p>
    <w:p>
      <w:pPr>
        <w:jc w:val="both"/>
        <w:ind w:left="652" w:hanging="652"/>
        <w:spacing w:after="0" w:line="249" w:lineRule="auto"/>
        <w:tabs>
          <w:tab w:leader="none" w:pos="65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comply with all safety, fire protection, and evacuation procedures and regulations established by Landlord or by any government agency. All Christmas trees placed in the Tenant’s Premises must be fire-resistant artificial trees. Any lighting attached to trees or decorations must be UL approved and designated for the purpose being used. Installation of any decorations that could be deemed potential fire hazards requires the prior written approval of Landlord, which approval Landlord shall not unreasonably withhold, condition or delay. Decorations placed outside of Tenant’s Premises shall also require the prior approval of Landlord.</w:t>
      </w:r>
    </w:p>
    <w:p>
      <w:pPr>
        <w:spacing w:after="0" w:line="221" w:lineRule="exact"/>
        <w:rPr>
          <w:rFonts w:ascii="Times New Roman" w:cs="Times New Roman" w:eastAsia="Times New Roman" w:hAnsi="Times New Roman"/>
          <w:sz w:val="22"/>
          <w:szCs w:val="22"/>
          <w:color w:val="auto"/>
        </w:rPr>
      </w:pPr>
    </w:p>
    <w:p>
      <w:pPr>
        <w:ind w:left="652" w:hanging="652"/>
        <w:spacing w:after="0" w:line="271" w:lineRule="auto"/>
        <w:tabs>
          <w:tab w:leader="none" w:pos="65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firearms are permitted in the Building, except firearms carried by licensed Federal, State of Georgia or local personnel while on duty.</w:t>
      </w:r>
    </w:p>
    <w:p>
      <w:pPr>
        <w:spacing w:after="0" w:line="198" w:lineRule="exact"/>
        <w:rPr>
          <w:rFonts w:ascii="Times New Roman" w:cs="Times New Roman" w:eastAsia="Times New Roman" w:hAnsi="Times New Roman"/>
          <w:sz w:val="22"/>
          <w:szCs w:val="22"/>
          <w:color w:val="auto"/>
        </w:rPr>
      </w:pPr>
    </w:p>
    <w:p>
      <w:pPr>
        <w:jc w:val="both"/>
        <w:ind w:left="652" w:right="20" w:hanging="652"/>
        <w:spacing w:after="0" w:line="257" w:lineRule="auto"/>
        <w:tabs>
          <w:tab w:leader="none" w:pos="65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reserves the right at any time, with reasonable advance notice to Tenant, to change or rescind any one or more of these Rules and Regulations or to make any additional Rules and Regulations that, in Landlord’s judgment, may be necessary for:</w:t>
      </w:r>
    </w:p>
    <w:p>
      <w:pPr>
        <w:spacing w:after="0" w:line="213" w:lineRule="exact"/>
        <w:rPr>
          <w:rFonts w:ascii="Times New Roman" w:cs="Times New Roman" w:eastAsia="Times New Roman" w:hAnsi="Times New Roman"/>
          <w:sz w:val="22"/>
          <w:szCs w:val="22"/>
          <w:color w:val="auto"/>
        </w:rPr>
      </w:pPr>
    </w:p>
    <w:p>
      <w:pPr>
        <w:ind w:left="1692" w:hanging="652"/>
        <w:spacing w:after="0"/>
        <w:tabs>
          <w:tab w:leader="none" w:pos="169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safety, care, protection, and cleanliness of the Premises, Building, and Property;</w:t>
      </w:r>
    </w:p>
    <w:p>
      <w:pPr>
        <w:spacing w:after="0" w:line="27" w:lineRule="exact"/>
        <w:rPr>
          <w:rFonts w:ascii="Times New Roman" w:cs="Times New Roman" w:eastAsia="Times New Roman" w:hAnsi="Times New Roman"/>
          <w:sz w:val="22"/>
          <w:szCs w:val="22"/>
          <w:color w:val="auto"/>
        </w:rPr>
      </w:pPr>
    </w:p>
    <w:p>
      <w:pPr>
        <w:ind w:left="1692" w:hanging="652"/>
        <w:spacing w:after="0"/>
        <w:tabs>
          <w:tab w:leader="none" w:pos="169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 thereof and the preservation of good order therein; and</w:t>
      </w:r>
    </w:p>
    <w:p>
      <w:pPr>
        <w:spacing w:after="0" w:line="3" w:lineRule="exact"/>
        <w:rPr>
          <w:rFonts w:ascii="Times New Roman" w:cs="Times New Roman" w:eastAsia="Times New Roman" w:hAnsi="Times New Roman"/>
          <w:sz w:val="22"/>
          <w:szCs w:val="22"/>
          <w:color w:val="auto"/>
        </w:rPr>
      </w:pPr>
    </w:p>
    <w:p>
      <w:pPr>
        <w:ind w:left="1692" w:hanging="652"/>
        <w:spacing w:after="0" w:line="248" w:lineRule="auto"/>
        <w:tabs>
          <w:tab w:leader="none" w:pos="169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protection and comfort of other occupants and tenants and their agents, employees and invitees in the Premises, Building, and Property.</w:t>
      </w:r>
    </w:p>
    <w:p>
      <w:pPr>
        <w:sectPr>
          <w:pgSz w:w="11900" w:h="16838" w:orient="portrait"/>
          <w:cols w:equalWidth="0" w:num="1">
            <w:col w:w="11412"/>
          </w:cols>
          <w:pgMar w:left="248" w:top="625" w:right="239" w:bottom="1440" w:gutter="0" w:footer="0" w:header="0"/>
        </w:sectPr>
      </w:pPr>
    </w:p>
    <w:bookmarkStart w:id="95" w:name="page96"/>
    <w:bookmarkEnd w:id="95"/>
    <w:p>
      <w:pPr>
        <w:jc w:val="both"/>
        <w:spacing w:after="0" w:line="252" w:lineRule="auto"/>
        <w:rPr>
          <w:sz w:val="20"/>
          <w:szCs w:val="20"/>
          <w:color w:val="auto"/>
        </w:rPr>
      </w:pPr>
      <w:r>
        <w:rPr>
          <w:rFonts w:ascii="Times New Roman" w:cs="Times New Roman" w:eastAsia="Times New Roman" w:hAnsi="Times New Roman"/>
          <w:sz w:val="22"/>
          <w:szCs w:val="22"/>
          <w:color w:val="auto"/>
        </w:rPr>
        <w:t>Landlord may waive any one or more of these Rules and Regulations for the benefit of any particular tenants. No waiver by Landlord shall be construed as a waiver of those Rules and Regulations in favor of any other tenant, and no waiver shall prevent Landlord from enforcing those rules and Regulations against any other tenant of the Property. Tenant shall be considered to have read these Rules and Regulations and to have agreed to abide by them as a condition of Tenant’s occupancy of the Premises.</w:t>
      </w:r>
    </w:p>
    <w:p>
      <w:pPr>
        <w:sectPr>
          <w:pgSz w:w="11900" w:h="16838" w:orient="portrait"/>
          <w:cols w:equalWidth="0" w:num="1">
            <w:col w:w="11420"/>
          </w:cols>
          <w:pgMar w:left="240" w:top="625" w:right="2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CONFIRMATION OF COMMENCEMENT DATE</w:t>
      </w:r>
    </w:p>
    <w:p>
      <w:pPr>
        <w:spacing w:after="0" w:line="2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______________, 2013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1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Lease Agreement (the “Lease”) dated _____________, 2012, between Peachtree II and III, L.L.C., a Georgia limited liability company</w:t>
      </w:r>
    </w:p>
    <w:p>
      <w:pPr>
        <w:spacing w:after="0" w:line="27"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 xml:space="preserve">(“Landlord”), and </w:t>
      </w:r>
      <w:r>
        <w:rPr>
          <w:rFonts w:ascii="Times New Roman" w:cs="Times New Roman" w:eastAsia="Times New Roman" w:hAnsi="Times New Roman"/>
          <w:sz w:val="18"/>
          <w:szCs w:val="18"/>
          <w:b w:val="1"/>
          <w:bCs w:val="1"/>
          <w:color w:val="auto"/>
        </w:rPr>
        <w:t>MDA HOLDINGS, INC.</w:t>
      </w:r>
      <w:r>
        <w:rPr>
          <w:rFonts w:ascii="Times New Roman" w:cs="Times New Roman" w:eastAsia="Times New Roman" w:hAnsi="Times New Roman"/>
          <w:sz w:val="18"/>
          <w:szCs w:val="18"/>
          <w:color w:val="auto"/>
        </w:rPr>
        <w:t>, a Delaware corporation (“Tenant”). Capitalized terms used herein but not defined shall be given the meanings assigned to them in the Lease.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Landlord and Tenant agree as follows:</w:t>
      </w:r>
    </w:p>
    <w:p>
      <w:pPr>
        <w:spacing w:after="0" w:line="221" w:lineRule="exact"/>
        <w:rPr>
          <w:sz w:val="20"/>
          <w:szCs w:val="20"/>
          <w:color w:val="auto"/>
        </w:rPr>
      </w:pPr>
    </w:p>
    <w:p>
      <w:pPr>
        <w:jc w:val="both"/>
        <w:ind w:firstLine="656"/>
        <w:spacing w:after="0" w:line="259" w:lineRule="auto"/>
        <w:tabs>
          <w:tab w:leader="none" w:pos="9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 of Premises</w:t>
      </w:r>
      <w:r>
        <w:rPr>
          <w:rFonts w:ascii="Times New Roman" w:cs="Times New Roman" w:eastAsia="Times New Roman" w:hAnsi="Times New Roman"/>
          <w:sz w:val="18"/>
          <w:szCs w:val="18"/>
          <w:color w:val="auto"/>
        </w:rPr>
        <w:t>. Tenant has accepted possession of the Premises pursuant to the Lease. Any improvements required by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Lease to be made by Landlord have been completed to the full and complete satisfaction of Tenant in all respects except for the punchlist items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u w:val="single" w:color="auto"/>
          <w:color w:val="auto"/>
        </w:rPr>
        <w:t>Punchlist Items</w:t>
      </w:r>
      <w:r>
        <w:rPr>
          <w:rFonts w:ascii="Times New Roman" w:cs="Times New Roman" w:eastAsia="Times New Roman" w:hAnsi="Times New Roman"/>
          <w:sz w:val="18"/>
          <w:szCs w:val="18"/>
          <w:color w:val="auto"/>
        </w:rPr>
        <w:t>”), and except for such Punchlist Items and any latent defects to the Work identified in writing by Tenant to Landlord within one (1) year from the Commencement Date, Landlord has fulfilled all of its duties under the Lease with respect to such initial tenant improvements. Furthermore, Tenant acknowledges that the Premises are suitable for the Permitted Use.</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Commencement Date</w:t>
      </w:r>
      <w:r>
        <w:rPr>
          <w:rFonts w:ascii="Times New Roman" w:cs="Times New Roman" w:eastAsia="Times New Roman" w:hAnsi="Times New Roman"/>
          <w:sz w:val="18"/>
          <w:szCs w:val="18"/>
          <w:color w:val="auto"/>
        </w:rPr>
        <w:t>. The Commencement Date of the Lease is __________, 2013.</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Expiration Date</w:t>
      </w:r>
      <w:r>
        <w:rPr>
          <w:rFonts w:ascii="Times New Roman" w:cs="Times New Roman" w:eastAsia="Times New Roman" w:hAnsi="Times New Roman"/>
          <w:sz w:val="18"/>
          <w:szCs w:val="18"/>
          <w:color w:val="auto"/>
        </w:rPr>
        <w:t>. The Term is scheduled to expire on the last day of the ___ full calendar month of the Term, which date is ______________,</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20__.</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Contact Person</w:t>
      </w:r>
      <w:r>
        <w:rPr>
          <w:rFonts w:ascii="Times New Roman" w:cs="Times New Roman" w:eastAsia="Times New Roman" w:hAnsi="Times New Roman"/>
          <w:sz w:val="18"/>
          <w:szCs w:val="18"/>
          <w:color w:val="auto"/>
        </w:rPr>
        <w:t>. Tenant’s contact person in the Premises is: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Telecopy:</w:t>
      </w:r>
    </w:p>
    <w:p>
      <w:pPr>
        <w:spacing w:after="0" w:line="221" w:lineRule="exact"/>
        <w:rPr>
          <w:sz w:val="20"/>
          <w:szCs w:val="20"/>
          <w:color w:val="auto"/>
        </w:rPr>
      </w:pPr>
    </w:p>
    <w:p>
      <w:pPr>
        <w:jc w:val="both"/>
        <w:ind w:firstLine="656"/>
        <w:spacing w:after="0" w:line="262" w:lineRule="auto"/>
        <w:tabs>
          <w:tab w:leader="none" w:pos="101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Ratification</w:t>
      </w:r>
      <w:r>
        <w:rPr>
          <w:rFonts w:ascii="Times New Roman" w:cs="Times New Roman" w:eastAsia="Times New Roman" w:hAnsi="Times New Roman"/>
          <w:sz w:val="18"/>
          <w:szCs w:val="18"/>
          <w:color w:val="auto"/>
        </w:rPr>
        <w:t>. Tenant hereby ratifies and confirms its obligations under the Lease, and represents and warrants to Landlord that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it has no defenses thereto. Additionally, Tenant further confirms and ratifies that, as of the date hereof, (a) the Lease is and remains in good standing and in full force and effect, and (b) Tenant has no claims, counterclaims, set-offs or defenses against Landlord arising out of the Lease or in any way relating thereto or arising out of any other transaction between Landlord and Tenant.</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96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 Governing Law</w:t>
      </w:r>
      <w:r>
        <w:rPr>
          <w:rFonts w:ascii="Times New Roman" w:cs="Times New Roman" w:eastAsia="Times New Roman" w:hAnsi="Times New Roman"/>
          <w:sz w:val="18"/>
          <w:szCs w:val="18"/>
          <w:color w:val="auto"/>
        </w:rPr>
        <w:t>. Except as modified hereby, the Lease shall remain in full effect and this letter shall be binding upon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Tenant and their respective successors and assigns. If any inconsistency</w:t>
      </w:r>
    </w:p>
    <w:p>
      <w:pPr>
        <w:sectPr>
          <w:pgSz w:w="11900" w:h="16838" w:orient="portrait"/>
          <w:cols w:equalWidth="0" w:num="1">
            <w:col w:w="11420"/>
          </w:cols>
          <w:pgMar w:left="240" w:top="621" w:right="239" w:bottom="1440" w:gutter="0" w:footer="0" w:header="0"/>
        </w:sectPr>
      </w:pPr>
    </w:p>
    <w:bookmarkStart w:id="97" w:name="page98"/>
    <w:bookmarkEnd w:id="97"/>
    <w:p>
      <w:pPr>
        <w:spacing w:after="0" w:line="282" w:lineRule="auto"/>
        <w:rPr>
          <w:sz w:val="20"/>
          <w:szCs w:val="20"/>
          <w:color w:val="auto"/>
        </w:rPr>
      </w:pPr>
      <w:r>
        <w:rPr>
          <w:rFonts w:ascii="Times New Roman" w:cs="Times New Roman" w:eastAsia="Times New Roman" w:hAnsi="Times New Roman"/>
          <w:sz w:val="18"/>
          <w:szCs w:val="18"/>
          <w:color w:val="auto"/>
        </w:rPr>
        <w:t>exists or arises between the terms of this letter and the terms of the Lease, the terms of this letter shall prevail. This letter shall be governed by the laws of the state in which the Premises are located.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indicate your agreement to the above matters by signing this letter in the space indicated below and returning an executed original to us.</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Peachtree II and III, L.L.C., a Georgia limited liability company</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MDA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400"/>
          </w:cols>
          <w:pgMar w:left="240" w:top="621" w:right="25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PUNCHLIST ITEMS</w:t>
      </w:r>
    </w:p>
    <w:p>
      <w:pPr>
        <w:sectPr>
          <w:pgSz w:w="11900" w:h="16838" w:orient="portrait"/>
          <w:cols w:equalWidth="0" w:num="1">
            <w:col w:w="9019"/>
          </w:cols>
          <w:pgMar w:left="1440" w:top="621"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FORM OF TENANT ESTOPPEL CERTIFICATE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ESTOPPEL CERTIFICATE</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ESTOPPEL CERTIFICATE</w:t>
      </w:r>
      <w:r>
        <w:rPr>
          <w:rFonts w:ascii="Times New Roman" w:cs="Times New Roman" w:eastAsia="Times New Roman" w:hAnsi="Times New Roman"/>
          <w:sz w:val="20"/>
          <w:szCs w:val="20"/>
          <w:color w:val="auto"/>
        </w:rPr>
        <w:t xml:space="preserve"> (the "Agreement") is made and entered into as of this ____ day of March, 2013, by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______________________, </w:t>
      </w:r>
      <w:r>
        <w:rPr>
          <w:rFonts w:ascii="Times New Roman" w:cs="Times New Roman" w:eastAsia="Times New Roman" w:hAnsi="Times New Roman"/>
          <w:sz w:val="19"/>
          <w:szCs w:val="19"/>
          <w:color w:val="auto"/>
        </w:rPr>
        <w:t>a _____________________ ("Lessee"), to and in favor of</w:t>
      </w:r>
      <w:r>
        <w:rPr>
          <w:rFonts w:ascii="Times New Roman" w:cs="Times New Roman" w:eastAsia="Times New Roman" w:hAnsi="Times New Roman"/>
          <w:sz w:val="19"/>
          <w:szCs w:val="19"/>
          <w:b w:val="1"/>
          <w:bCs w:val="1"/>
          <w:color w:val="auto"/>
        </w:rPr>
        <w:t xml:space="preserve"> STATE BANK AND TRUST COMPANY </w:t>
      </w:r>
      <w:r>
        <w:rPr>
          <w:rFonts w:ascii="Times New Roman" w:cs="Times New Roman" w:eastAsia="Times New Roman" w:hAnsi="Times New Roman"/>
          <w:sz w:val="19"/>
          <w:szCs w:val="19"/>
          <w:color w:val="auto"/>
        </w:rPr>
        <w:t>("Lender").</w:t>
      </w: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u w:val="single" w:color="auto"/>
          <w:color w:val="auto"/>
        </w:rPr>
        <w:t>R E C I T A L S</w:t>
      </w:r>
    </w:p>
    <w:p>
      <w:pPr>
        <w:spacing w:after="0" w:line="229" w:lineRule="exact"/>
        <w:rPr>
          <w:sz w:val="20"/>
          <w:szCs w:val="20"/>
          <w:color w:val="auto"/>
        </w:rPr>
      </w:pPr>
    </w:p>
    <w:p>
      <w:pPr>
        <w:ind w:right="80" w:firstLine="656"/>
        <w:spacing w:after="0" w:line="263" w:lineRule="auto"/>
        <w:tabs>
          <w:tab w:leader="none" w:pos="1039"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Lender is now or will be the owner and holder of a certain loan ("Loan") owing by PEACHTREE II AND LLL LLC, Lessor, which is or will be secured by, among other collateral, a Deed to Secure Debt and Security Agreement dated on or about the date hereof, from Lessor to Lender, (the "Security Deed"), which Security Deed will constitute a first priority lien or encumbrance on that certain real property at 4775 &amp; 4855 Peachtree Industrial Boulevard, Norcross, Georgia 30092, and as more particularly described therein (the "Property"), and is further secured by that certain Assignment of Leases and Rents dated on or about the date hereof (the "Assignment") from Lessor to Lender.</w:t>
      </w:r>
    </w:p>
    <w:p>
      <w:pPr>
        <w:spacing w:after="0" w:line="180" w:lineRule="exact"/>
        <w:rPr>
          <w:rFonts w:ascii="Times New Roman" w:cs="Times New Roman" w:eastAsia="Times New Roman" w:hAnsi="Times New Roman"/>
          <w:sz w:val="19"/>
          <w:szCs w:val="19"/>
          <w:color w:val="auto"/>
        </w:rPr>
      </w:pPr>
    </w:p>
    <w:p>
      <w:pPr>
        <w:ind w:right="160" w:firstLine="656"/>
        <w:spacing w:after="0" w:line="269" w:lineRule="auto"/>
        <w:tabs>
          <w:tab w:leader="none" w:pos="102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Lessor has leased a portion of the Property designated as __________________________ to Lessee, pursuant to the terms of that certain Lease dated ________________________________, executed by Lessee and Lessor (collectively the "Lease").</w:t>
      </w:r>
    </w:p>
    <w:p>
      <w:pPr>
        <w:spacing w:after="0" w:line="173"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Lessee desires to confirm and certify to Lender certain matters with respect to the Lease.</w:t>
      </w:r>
    </w:p>
    <w:p>
      <w:pPr>
        <w:spacing w:after="0" w:line="2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u w:val="single" w:color="auto"/>
          <w:color w:val="auto"/>
        </w:rPr>
        <w:t>A G R E E M E N T</w:t>
      </w:r>
    </w:p>
    <w:p>
      <w:pPr>
        <w:spacing w:after="0" w:line="229"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Lessee certifies to Lender that:</w:t>
      </w:r>
    </w:p>
    <w:p>
      <w:pPr>
        <w:spacing w:after="0" w:line="229" w:lineRule="exact"/>
        <w:rPr>
          <w:sz w:val="20"/>
          <w:szCs w:val="20"/>
          <w:color w:val="auto"/>
        </w:rPr>
      </w:pPr>
    </w:p>
    <w:p>
      <w:pPr>
        <w:ind w:left="1300" w:right="160" w:hanging="644"/>
        <w:spacing w:after="0" w:line="269" w:lineRule="auto"/>
        <w:tabs>
          <w:tab w:leader="none" w:pos="1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is presently in full force and effect and has not been modified, amended, extended, supplemented or changed in any way, except as follows: _______________________;</w:t>
      </w:r>
    </w:p>
    <w:p>
      <w:pPr>
        <w:spacing w:after="0" w:line="173" w:lineRule="exact"/>
        <w:rPr>
          <w:rFonts w:ascii="Times New Roman" w:cs="Times New Roman" w:eastAsia="Times New Roman" w:hAnsi="Times New Roman"/>
          <w:sz w:val="20"/>
          <w:szCs w:val="20"/>
          <w:color w:val="auto"/>
        </w:rPr>
      </w:pPr>
    </w:p>
    <w:p>
      <w:pPr>
        <w:jc w:val="both"/>
        <w:ind w:left="1300" w:right="20" w:hanging="644"/>
        <w:spacing w:after="0" w:line="264" w:lineRule="auto"/>
        <w:tabs>
          <w:tab w:leader="none" w:pos="130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of the Lease commenced on ______________, ____, full rental is now accruing under the Lease, the term of the Lease expires on ______________, ______, and the Lease contains no options to extend or renew the term thereof except as follows:</w:t>
      </w: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t>
      </w:r>
    </w:p>
    <w:p>
      <w:pPr>
        <w:spacing w:after="0" w:line="207"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conditions required under the Lease that could have been satisfied as of the date hereof have been met;</w:t>
      </w:r>
    </w:p>
    <w:p>
      <w:pPr>
        <w:spacing w:after="0" w:line="229" w:lineRule="exact"/>
        <w:rPr>
          <w:rFonts w:ascii="Times New Roman" w:cs="Times New Roman" w:eastAsia="Times New Roman" w:hAnsi="Times New Roman"/>
          <w:sz w:val="20"/>
          <w:szCs w:val="20"/>
          <w:color w:val="auto"/>
        </w:rPr>
      </w:pPr>
    </w:p>
    <w:p>
      <w:pPr>
        <w:ind w:left="1300" w:right="180" w:hanging="644"/>
        <w:spacing w:after="0" w:line="269" w:lineRule="auto"/>
        <w:tabs>
          <w:tab w:leader="none" w:pos="1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monthly rental payable under the Lease equals $__________ and no rent under the Lease has been paid more than thirty (30) days in advance of its due date;</w:t>
      </w:r>
    </w:p>
    <w:p>
      <w:pPr>
        <w:spacing w:after="0" w:line="173"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exists under the Lease by Landlord or Tenant, nor does any circumstance exist which, with the passage of time or the giving of notice or both, would constitute a default under the Lease by either;</w:t>
      </w:r>
    </w:p>
    <w:p>
      <w:pPr>
        <w:sectPr>
          <w:pgSz w:w="11900" w:h="16838" w:orient="portrait"/>
          <w:cols w:equalWidth="0" w:num="1">
            <w:col w:w="11420"/>
          </w:cols>
          <w:pgMar w:left="240" w:top="621" w:right="239" w:bottom="1440" w:gutter="0" w:footer="0" w:header="0"/>
        </w:sectPr>
      </w:pPr>
    </w:p>
    <w:bookmarkStart w:id="100" w:name="page101"/>
    <w:bookmarkEnd w:id="100"/>
    <w:p>
      <w:pPr>
        <w:ind w:left="1300" w:hanging="644"/>
        <w:spacing w:after="0" w:line="269" w:lineRule="auto"/>
        <w:tabs>
          <w:tab w:leader="none" w:pos="13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Lessee, as of this date, has no charge, lien or claim of offset under the Lease or otherwise, against rents or other charges due or to become due thereunder;</w:t>
      </w:r>
    </w:p>
    <w:p>
      <w:pPr>
        <w:spacing w:after="0" w:line="173" w:lineRule="exact"/>
        <w:rPr>
          <w:rFonts w:ascii="Times New Roman" w:cs="Times New Roman" w:eastAsia="Times New Roman" w:hAnsi="Times New Roman"/>
          <w:sz w:val="20"/>
          <w:szCs w:val="20"/>
          <w:color w:val="auto"/>
        </w:rPr>
      </w:pPr>
    </w:p>
    <w:p>
      <w:pPr>
        <w:ind w:left="1300" w:right="320" w:hanging="644"/>
        <w:spacing w:after="0" w:line="269" w:lineRule="auto"/>
        <w:tabs>
          <w:tab w:leader="none" w:pos="13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constitutes the entire rental agreement between the parties and that Lender shall have no liability or responsibility with respect to any security deposit of Lessee;</w:t>
      </w:r>
    </w:p>
    <w:p>
      <w:pPr>
        <w:spacing w:after="0" w:line="173" w:lineRule="exact"/>
        <w:rPr>
          <w:rFonts w:ascii="Times New Roman" w:cs="Times New Roman" w:eastAsia="Times New Roman" w:hAnsi="Times New Roman"/>
          <w:sz w:val="20"/>
          <w:szCs w:val="20"/>
          <w:color w:val="auto"/>
        </w:rPr>
      </w:pPr>
    </w:p>
    <w:p>
      <w:pPr>
        <w:ind w:left="1300" w:right="560" w:hanging="644"/>
        <w:spacing w:after="0" w:line="269" w:lineRule="auto"/>
        <w:tabs>
          <w:tab w:leader="none" w:pos="13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only persons, firms or corporations in possession of said Property or having any right to the possession or use of said Property (other than the record owner) are those holding under the Lease of the Property; and;</w:t>
      </w:r>
    </w:p>
    <w:p>
      <w:pPr>
        <w:spacing w:after="0" w:line="17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Lessee has no right or interest in or under any contract, option or agreement involving the sale or transfer of the Property.</w:t>
      </w:r>
    </w:p>
    <w:p>
      <w:pPr>
        <w:spacing w:after="0" w:line="229" w:lineRule="exact"/>
        <w:rPr>
          <w:sz w:val="20"/>
          <w:szCs w:val="20"/>
          <w:color w:val="auto"/>
        </w:rPr>
      </w:pPr>
    </w:p>
    <w:p>
      <w:pPr>
        <w:jc w:val="both"/>
        <w:ind w:right="120" w:firstLine="656"/>
        <w:spacing w:after="0" w:line="254" w:lineRule="auto"/>
        <w:tabs>
          <w:tab w:leader="none" w:pos="99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the prior written consent of Lender, Lessee shall not do any of the following: (a) prepay the rent under the Lease for more than one (1) month in advance; (b) enter into any agreement with the Lessor to amend or modify the Lease; (c) voluntarily surrender the Property or terminate the Lease without cause; or (d) sublease the Property or assign its interest in the Lease.</w:t>
      </w:r>
    </w:p>
    <w:p>
      <w:pPr>
        <w:spacing w:after="0" w:line="188" w:lineRule="exact"/>
        <w:rPr>
          <w:rFonts w:ascii="Times New Roman" w:cs="Times New Roman" w:eastAsia="Times New Roman" w:hAnsi="Times New Roman"/>
          <w:sz w:val="20"/>
          <w:szCs w:val="20"/>
          <w:color w:val="auto"/>
        </w:rPr>
      </w:pPr>
    </w:p>
    <w:p>
      <w:pPr>
        <w:ind w:right="160" w:firstLine="656"/>
        <w:spacing w:after="0" w:line="254" w:lineRule="auto"/>
        <w:tabs>
          <w:tab w:leader="none" w:pos="99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may not be modified orally or in any other manner than by an agreement in writing signed by the parties hereto and their respective successors in interest. This Certificate shall inure to the benefit of and be binding upon the parties hereto, their successors and assigns.</w:t>
      </w:r>
    </w:p>
    <w:p>
      <w:pPr>
        <w:spacing w:after="0" w:line="188" w:lineRule="exact"/>
        <w:rPr>
          <w:rFonts w:ascii="Times New Roman" w:cs="Times New Roman" w:eastAsia="Times New Roman" w:hAnsi="Times New Roman"/>
          <w:sz w:val="20"/>
          <w:szCs w:val="20"/>
          <w:color w:val="auto"/>
        </w:rPr>
      </w:pPr>
    </w:p>
    <w:p>
      <w:pPr>
        <w:ind w:right="100" w:firstLine="656"/>
        <w:spacing w:after="0" w:line="269" w:lineRule="auto"/>
        <w:tabs>
          <w:tab w:leader="none" w:pos="99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may be executed in several counterparts, and all so executed shall constitute one agreement, binding on all parties hereto, notwithstanding that all parties are not signatories to the original or the same counterpart.</w:t>
      </w:r>
    </w:p>
    <w:p>
      <w:pPr>
        <w:spacing w:after="0" w:line="173" w:lineRule="exact"/>
        <w:rPr>
          <w:rFonts w:ascii="Times New Roman" w:cs="Times New Roman" w:eastAsia="Times New Roman" w:hAnsi="Times New Roman"/>
          <w:sz w:val="20"/>
          <w:szCs w:val="20"/>
          <w:color w:val="auto"/>
        </w:rPr>
      </w:pPr>
    </w:p>
    <w:p>
      <w:pPr>
        <w:ind w:right="380" w:firstLine="656"/>
        <w:spacing w:after="0" w:line="269" w:lineRule="auto"/>
        <w:tabs>
          <w:tab w:leader="none" w:pos="109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is executed by Lessee with full knowledge that it will be relied upon by Lender, its successors and assigns, in connection with the consummation of the Loan.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Lessee has executed this Certificate under seal as of the date and year first above written.</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As to Lessee:</w:t>
            </w: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LESSEE:</w:t>
            </w:r>
          </w:p>
        </w:tc>
        <w:tc>
          <w:tcPr>
            <w:tcW w:w="3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Signed, sealed and delivered</w:t>
            </w:r>
          </w:p>
        </w:tc>
        <w:tc>
          <w:tcPr>
            <w:tcW w:w="3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___________________________________</w:t>
            </w:r>
          </w:p>
        </w:tc>
        <w:tc>
          <w:tcPr>
            <w:tcW w:w="0" w:type="dxa"/>
            <w:vAlign w:val="bottom"/>
          </w:tcPr>
          <w:p>
            <w:pPr>
              <w:spacing w:after="0"/>
              <w:rPr>
                <w:sz w:val="1"/>
                <w:szCs w:val="1"/>
                <w:color w:val="auto"/>
              </w:rPr>
            </w:pP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in the presence of:</w:t>
            </w:r>
          </w:p>
        </w:tc>
        <w:tc>
          <w:tcPr>
            <w:tcW w:w="4760" w:type="dxa"/>
            <w:vAlign w:val="bottom"/>
            <w:gridSpan w:val="3"/>
          </w:tcPr>
          <w:p>
            <w:pPr>
              <w:jc w:val="right"/>
              <w:ind w:right="1801"/>
              <w:spacing w:after="0"/>
              <w:rPr>
                <w:sz w:val="20"/>
                <w:szCs w:val="20"/>
                <w:color w:val="auto"/>
              </w:rPr>
            </w:pPr>
            <w:r>
              <w:rPr>
                <w:rFonts w:ascii="Times New Roman" w:cs="Times New Roman" w:eastAsia="Times New Roman" w:hAnsi="Times New Roman"/>
                <w:sz w:val="20"/>
                <w:szCs w:val="20"/>
                <w:color w:val="auto"/>
              </w:rPr>
              <w:t>a ______________________</w:t>
            </w:r>
          </w:p>
        </w:tc>
        <w:tc>
          <w:tcPr>
            <w:tcW w:w="0" w:type="dxa"/>
            <w:vAlign w:val="bottom"/>
          </w:tcPr>
          <w:p>
            <w:pPr>
              <w:spacing w:after="0"/>
              <w:rPr>
                <w:sz w:val="1"/>
                <w:szCs w:val="1"/>
                <w:color w:val="auto"/>
              </w:rPr>
            </w:pPr>
          </w:p>
        </w:tc>
      </w:tr>
      <w:tr>
        <w:trPr>
          <w:trHeight w:val="660"/>
        </w:trPr>
        <w:tc>
          <w:tcPr>
            <w:tcW w:w="176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By:</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Unofficial Witness</w:t>
            </w:r>
          </w:p>
        </w:tc>
        <w:tc>
          <w:tcPr>
            <w:tcW w:w="62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3"/>
              </w:rPr>
              <w:t>Name:</w:t>
            </w:r>
          </w:p>
        </w:tc>
        <w:tc>
          <w:tcPr>
            <w:tcW w:w="3460" w:type="dxa"/>
            <w:vAlign w:val="bottom"/>
            <w:vMerge w:val="restart"/>
          </w:tcPr>
          <w:p>
            <w:pPr>
              <w:jc w:val="right"/>
              <w:ind w:right="1621"/>
              <w:spacing w:after="0"/>
              <w:rPr>
                <w:sz w:val="20"/>
                <w:szCs w:val="20"/>
                <w:color w:val="auto"/>
              </w:rPr>
            </w:pPr>
            <w:r>
              <w:rPr>
                <w:rFonts w:ascii="Times New Roman" w:cs="Times New Roman" w:eastAsia="Times New Roman" w:hAnsi="Times New Roman"/>
                <w:sz w:val="20"/>
                <w:szCs w:val="20"/>
                <w:color w:val="auto"/>
              </w:rPr>
              <w:t>Its:</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Notary Public</w:t>
            </w:r>
          </w:p>
        </w:tc>
        <w:tc>
          <w:tcPr>
            <w:tcW w:w="4760" w:type="dxa"/>
            <w:vAlign w:val="bottom"/>
            <w:gridSpan w:val="3"/>
          </w:tcPr>
          <w:p>
            <w:pPr>
              <w:jc w:val="right"/>
              <w:ind w:right="2581"/>
              <w:spacing w:after="0"/>
              <w:rPr>
                <w:sz w:val="20"/>
                <w:szCs w:val="20"/>
                <w:color w:val="auto"/>
              </w:rPr>
            </w:pPr>
            <w:r>
              <w:rPr>
                <w:rFonts w:ascii="Times New Roman" w:cs="Times New Roman" w:eastAsia="Times New Roman" w:hAnsi="Times New Roman"/>
                <w:sz w:val="20"/>
                <w:szCs w:val="20"/>
                <w:color w:val="auto"/>
              </w:rPr>
              <w:t>[CORPORATE SEAL]</w:t>
            </w:r>
          </w:p>
        </w:tc>
        <w:tc>
          <w:tcPr>
            <w:tcW w:w="0" w:type="dxa"/>
            <w:vAlign w:val="bottom"/>
          </w:tcPr>
          <w:p>
            <w:pPr>
              <w:spacing w:after="0"/>
              <w:rPr>
                <w:sz w:val="1"/>
                <w:szCs w:val="1"/>
                <w:color w:val="auto"/>
              </w:rPr>
            </w:pPr>
          </w:p>
        </w:tc>
      </w:tr>
      <w:tr>
        <w:trPr>
          <w:trHeight w:val="459"/>
        </w:trPr>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Commission Expiration Date:</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46" w:right="2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[NOTARIAL SEAL]</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RENEWAL OPTION</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no Event of Default exists, and Tenant is occupying the entire Premises at the time of such election, Tenant may renew this Lease for one (1) additional period of five (5) years ( “</w:t>
      </w:r>
      <w:r>
        <w:rPr>
          <w:rFonts w:ascii="Times New Roman" w:cs="Times New Roman" w:eastAsia="Times New Roman" w:hAnsi="Times New Roman"/>
          <w:sz w:val="18"/>
          <w:szCs w:val="18"/>
          <w:b w:val="1"/>
          <w:bCs w:val="1"/>
          <w:u w:val="single" w:color="auto"/>
          <w:color w:val="auto"/>
        </w:rPr>
        <w:t>Renewal Term</w:t>
      </w:r>
      <w:r>
        <w:rPr>
          <w:rFonts w:ascii="Times New Roman" w:cs="Times New Roman" w:eastAsia="Times New Roman" w:hAnsi="Times New Roman"/>
          <w:sz w:val="18"/>
          <w:szCs w:val="18"/>
          <w:color w:val="auto"/>
        </w:rPr>
        <w:t>”), upon the same terms, covenants and conditions of this Lease, except that the Base Rent shall be as determined in accordance with this Exhibit H, by delivering written notice of the exercise thereof to Landlord not earlier than twelve (12) months nor later than nine (9) months before the expiration of the then-existing Term. The Base Rent payable for each month during such Renewal Term shall be the prevailing rental rate (the “</w:t>
      </w:r>
      <w:r>
        <w:rPr>
          <w:rFonts w:ascii="Times New Roman" w:cs="Times New Roman" w:eastAsia="Times New Roman" w:hAnsi="Times New Roman"/>
          <w:sz w:val="18"/>
          <w:szCs w:val="18"/>
          <w:b w:val="1"/>
          <w:bCs w:val="1"/>
          <w:u w:val="single" w:color="auto"/>
          <w:color w:val="auto"/>
        </w:rPr>
        <w:t>Prevailing Rental Rate</w:t>
      </w:r>
      <w:r>
        <w:rPr>
          <w:rFonts w:ascii="Times New Roman" w:cs="Times New Roman" w:eastAsia="Times New Roman" w:hAnsi="Times New Roman"/>
          <w:sz w:val="18"/>
          <w:szCs w:val="18"/>
          <w:color w:val="auto"/>
        </w:rPr>
        <w:t>”), as of the date immediately after the Fixed Expiration Date, for renewals of space in the Building or Complex, as applicable, of equivalent quality, size, utility and location, with the length of the extended Term and the credit standing of Tenant to be taken into account.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Within thirty (30) days after receipt of Tenant’s notice to renew, Landlord shall deliver to Tenant written notice of the Prevailing Rental Rate and shall advise Tenant of the required adjustment to Base Rent, if any. Tenant shall, within ten (10) Business Days after receipt of Landlord’s notice, notify Landlord in writing whether Tenant accepts or rejects Landlord’s determination of the Prevailing Rental Rate. If Tenant timely notifies Landlord that Tenant accepts Landlord’s determination of the Prevailing Rental Rate, then, on or before the commencement date of the extended Term, Landlord and Tenant shall execute an amendment to this Lease extending the Term on the same terms provided in this Lease, except as follows:</w:t>
      </w:r>
    </w:p>
    <w:p>
      <w:pPr>
        <w:spacing w:after="0" w:line="184" w:lineRule="exact"/>
        <w:rPr>
          <w:sz w:val="20"/>
          <w:szCs w:val="20"/>
          <w:color w:val="auto"/>
        </w:rPr>
      </w:pPr>
    </w:p>
    <w:p>
      <w:pPr>
        <w:ind w:left="1040" w:hanging="384"/>
        <w:spacing w:after="0"/>
        <w:tabs>
          <w:tab w:leader="none" w:pos="10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Rent, escalator, tenant allowance, free rent and other concessions shall be adjusted to the Prevailing Rental Rate;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no further renewal option unless expressly granted by Landlord in writing.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Tenant rejects in writing the Prevailing Rental Rate proposed by Landlord, Landlord and Tenant shall negotiate in good faith for a period of fifteen</w:t>
      </w:r>
    </w:p>
    <w:p>
      <w:pPr>
        <w:spacing w:after="0" w:line="27" w:lineRule="exact"/>
        <w:rPr>
          <w:sz w:val="20"/>
          <w:szCs w:val="20"/>
          <w:color w:val="auto"/>
        </w:rPr>
      </w:pPr>
    </w:p>
    <w:p>
      <w:pPr>
        <w:ind w:right="20" w:firstLine="8"/>
        <w:spacing w:after="0" w:line="261" w:lineRule="auto"/>
        <w:tabs>
          <w:tab w:leader="none" w:pos="3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reach a mutual agreement on the Prevailing Rental Rate. If the parties are unable to come to an agreement within such period, the parties shall arbitrate such rate.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Tenant shall specify in such notice its selection of a real estate broker, who shall act on Tenant’s behalf in determining the Prevailing Rental Rate. Within fifteen (15) days after Landlord’s receipt of Tenant’s selection of a real estate broker, Landlord, by written notice to Tenant shall designate a real estate broker, who shall act on Landlord’s behalf in the determination of the Prevailing Rental Rate. Within fifteen (15) days of the selection of Landlord’s broker, the two brokers shall select a third broker meeting the qualifications stated below. Each of the parties shall bear one-half (1/2) of the cost of the appointment of the third broker and of the third broker’s fee. If the three (3) brokers are unable to agree upon the Prevailing Rental Rate within the fifteen (15) days following the appointment of the third broker, then each broker shall separately determine the Prevailing Rental Rate, they shall average the two (2) closest figures, and within three (3) days after the expiration of such fifteen (15) day period, the appointed third broker shall notify Landlord and Tenant of such averaged determination of the Prevailing Rental Rate, which averaged determination shall be binding upon both Landlord and Tenant. In the event that one of the three appraisal Prevailing Rental Rates is equidistant between the highest and the lowest, then notwithstanding the foregoing sentence, there shall be no averaging, and the equidistant Prevailing Rental Rate shall be the final arbitrated rate. In the event that the appraisal process has not been completed prior to the commencement of the Extension Term, then upon commencement of the Extension Term, and until the process is completed (the “</w:t>
      </w:r>
      <w:r>
        <w:rPr>
          <w:rFonts w:ascii="Times New Roman" w:cs="Times New Roman" w:eastAsia="Times New Roman" w:hAnsi="Times New Roman"/>
          <w:sz w:val="18"/>
          <w:szCs w:val="18"/>
          <w:b w:val="1"/>
          <w:bCs w:val="1"/>
          <w:u w:val="single" w:color="auto"/>
          <w:color w:val="auto"/>
        </w:rPr>
        <w:t>Interim Period</w:t>
      </w:r>
      <w:r>
        <w:rPr>
          <w:rFonts w:ascii="Times New Roman" w:cs="Times New Roman" w:eastAsia="Times New Roman" w:hAnsi="Times New Roman"/>
          <w:sz w:val="18"/>
          <w:szCs w:val="18"/>
          <w:color w:val="auto"/>
        </w:rPr>
        <w:t xml:space="preserve">”), Tenant shall pay Landlord monthly Base Rent equal to the Base Rent for the immediately preceding Lease year, until the increase in the Base Rent is determined by such process as provided herein; provided, however, that such payments made during the Interim Period shall be subject to adjustment based upon the results of such process. If, as a result of such appraisal process, it is determined that Tenant has underpaid Base Rent during the Interim Period, then such underpaid Base Rent shall be due from Tenant to Landlord within ten (10) days after expiration of the Interim Period. All brokers selected in accordance with this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must be licensed in the State of Georgia as a real estate broker and shall have at least ten (10) years prior</w:t>
      </w:r>
    </w:p>
    <w:p>
      <w:pPr>
        <w:sectPr>
          <w:pgSz w:w="11900" w:h="16838" w:orient="portrait"/>
          <w:cols w:equalWidth="0" w:num="1">
            <w:col w:w="11420"/>
          </w:cols>
          <w:pgMar w:left="240" w:top="616" w:right="239" w:bottom="1440" w:gutter="0" w:footer="0" w:header="0"/>
        </w:sectPr>
      </w:pPr>
    </w:p>
    <w:bookmarkStart w:id="102" w:name="page103"/>
    <w:bookmarkEnd w:id="102"/>
    <w:p>
      <w:pPr>
        <w:jc w:val="both"/>
        <w:spacing w:after="0" w:line="261" w:lineRule="auto"/>
        <w:rPr>
          <w:sz w:val="20"/>
          <w:szCs w:val="20"/>
          <w:color w:val="auto"/>
        </w:rPr>
      </w:pPr>
      <w:r>
        <w:rPr>
          <w:rFonts w:ascii="Times New Roman" w:cs="Times New Roman" w:eastAsia="Times New Roman" w:hAnsi="Times New Roman"/>
          <w:sz w:val="18"/>
          <w:szCs w:val="18"/>
          <w:color w:val="auto"/>
        </w:rPr>
        <w:t>experience in commercial office leasing in the Technology Park/Atlanta or Peachtree Corners market area. If either Landlord or Tenant fails or refuses to select a broker, the other broker shall alone determine the Prevailing Rental Rate. Landlord and Tenant agree that they shall be bound by the determination of Prevailing Rental Rate pursuant to this subparagraph for the Extension Term. Landlord shall bear the fee and expenses of its broker and Tenant shall bear the fee and expenses of its broker.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Promptly after the Prevailing Rental Rent has been determined, Landlord and Tenant shall execute, acknowledge and deliver an agreement setting forth the Base Rent for the Renewal Term, as finally determined, provided that the failure of the parties to do so shall not affect their respective rights and obligations 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Tenant’s rights under this Exhibit shall terminate if (1) this Lease or Tenant’s right to possession of the Premises is terminated, (2) Tenant assigns any of its interest in this Lease or sublets any portion of the Premises, or (3) Tenant fails to timely exercise its option under this Exhibit, time being of the essence with respect to Tenant’s exercise thereof.</w:t>
      </w:r>
    </w:p>
    <w:p>
      <w:pPr>
        <w:sectPr>
          <w:pgSz w:w="11900" w:h="16838" w:orient="portrait"/>
          <w:cols w:equalWidth="0" w:num="1">
            <w:col w:w="11420"/>
          </w:cols>
          <w:pgMar w:left="240" w:top="621" w:right="2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RIGHT OF FIRST REFUSAL</w:t>
      </w:r>
    </w:p>
    <w:p>
      <w:pPr>
        <w:spacing w:after="0" w:line="224" w:lineRule="exact"/>
        <w:rPr>
          <w:sz w:val="20"/>
          <w:szCs w:val="20"/>
          <w:color w:val="auto"/>
        </w:rPr>
      </w:pPr>
    </w:p>
    <w:p>
      <w:pPr>
        <w:jc w:val="both"/>
        <w:ind w:firstLine="656"/>
        <w:spacing w:after="0" w:line="252" w:lineRule="auto"/>
        <w:tabs>
          <w:tab w:leader="none" w:pos="145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then-existing renewal or expansion options of other tenants (or, even if not a right under such tenant’s lease, the renewal of a lease of any tenant by Landlord for the Refusal Space (hereinafter defined)) (“</w:t>
      </w:r>
      <w:r>
        <w:rPr>
          <w:rFonts w:ascii="Times New Roman" w:cs="Times New Roman" w:eastAsia="Times New Roman" w:hAnsi="Times New Roman"/>
          <w:sz w:val="22"/>
          <w:szCs w:val="22"/>
          <w:b w:val="1"/>
          <w:bCs w:val="1"/>
          <w:u w:val="single" w:color="auto"/>
          <w:color w:val="auto"/>
        </w:rPr>
        <w:t>Prior Rights</w:t>
      </w:r>
      <w:r>
        <w:rPr>
          <w:rFonts w:ascii="Times New Roman" w:cs="Times New Roman" w:eastAsia="Times New Roman" w:hAnsi="Times New Roman"/>
          <w:sz w:val="22"/>
          <w:szCs w:val="22"/>
          <w:color w:val="auto"/>
        </w:rPr>
        <w:t>”), and so long as Tenant is then in occupancy of the entirety of the Premises, Landlord grants to Tenant the right (the “</w:t>
      </w:r>
      <w:r>
        <w:rPr>
          <w:rFonts w:ascii="Times New Roman" w:cs="Times New Roman" w:eastAsia="Times New Roman" w:hAnsi="Times New Roman"/>
          <w:sz w:val="22"/>
          <w:szCs w:val="22"/>
          <w:b w:val="1"/>
          <w:bCs w:val="1"/>
          <w:u w:val="single" w:color="auto"/>
          <w:color w:val="auto"/>
        </w:rPr>
        <w:t>Refusal Right</w:t>
      </w:r>
      <w:r>
        <w:rPr>
          <w:rFonts w:ascii="Times New Roman" w:cs="Times New Roman" w:eastAsia="Times New Roman" w:hAnsi="Times New Roman"/>
          <w:sz w:val="22"/>
          <w:szCs w:val="22"/>
          <w:color w:val="auto"/>
        </w:rPr>
        <w:t>”) to lease the Refusal Space, as hereinafter defined, at any time during the Term, on and subject to the following terms and conditions.</w:t>
      </w:r>
    </w:p>
    <w:p>
      <w:pPr>
        <w:spacing w:after="0" w:line="175" w:lineRule="exact"/>
        <w:rPr>
          <w:rFonts w:ascii="Times New Roman" w:cs="Times New Roman" w:eastAsia="Times New Roman" w:hAnsi="Times New Roman"/>
          <w:sz w:val="22"/>
          <w:szCs w:val="22"/>
          <w:color w:val="auto"/>
        </w:rPr>
      </w:pPr>
    </w:p>
    <w:p>
      <w:pPr>
        <w:ind w:right="20" w:firstLine="1305"/>
        <w:spacing w:after="0" w:line="275" w:lineRule="auto"/>
        <w:tabs>
          <w:tab w:leader="none" w:pos="218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u w:val="single" w:color="auto"/>
          <w:color w:val="auto"/>
        </w:rPr>
        <w:t>Refusal Space</w:t>
      </w:r>
      <w:r>
        <w:rPr>
          <w:rFonts w:ascii="Times New Roman" w:cs="Times New Roman" w:eastAsia="Times New Roman" w:hAnsi="Times New Roman"/>
          <w:sz w:val="22"/>
          <w:szCs w:val="22"/>
          <w:color w:val="auto"/>
        </w:rPr>
        <w:t xml:space="preserve">” shall mean the contiguous adjacent up to 5,000 rentable square feet of space as shown on </w:t>
      </w:r>
      <w:r>
        <w:rPr>
          <w:rFonts w:ascii="Times New Roman" w:cs="Times New Roman" w:eastAsia="Times New Roman" w:hAnsi="Times New Roman"/>
          <w:sz w:val="22"/>
          <w:szCs w:val="22"/>
          <w:u w:val="single" w:color="auto"/>
          <w:color w:val="auto"/>
        </w:rPr>
        <w:t>Exhibit I-1</w:t>
      </w:r>
      <w:r>
        <w:rPr>
          <w:rFonts w:ascii="Times New Roman" w:cs="Times New Roman" w:eastAsia="Times New Roman" w:hAnsi="Times New Roman"/>
          <w:sz w:val="22"/>
          <w:szCs w:val="22"/>
          <w:color w:val="auto"/>
        </w:rPr>
        <w:t xml:space="preserve"> attached hereto that is the subject of a Third Party Offer, as defined below.</w:t>
      </w:r>
    </w:p>
    <w:p>
      <w:pPr>
        <w:spacing w:after="0" w:line="194" w:lineRule="exact"/>
        <w:rPr>
          <w:rFonts w:ascii="Times New Roman" w:cs="Times New Roman" w:eastAsia="Times New Roman" w:hAnsi="Times New Roman"/>
          <w:sz w:val="22"/>
          <w:szCs w:val="22"/>
          <w:color w:val="auto"/>
        </w:rPr>
      </w:pPr>
    </w:p>
    <w:p>
      <w:pPr>
        <w:jc w:val="both"/>
        <w:ind w:firstLine="1305"/>
        <w:spacing w:after="0" w:line="246" w:lineRule="auto"/>
        <w:tabs>
          <w:tab w:leader="none" w:pos="2197"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Landlord receive from a prospective third party tenant a bona fide offer to lease the Refusal Space or any premises within the Building containing all or a portion of the Refusal Space that Landlord is willing to accept or should Landlord give a prospective tenant an offer to lease the Refusal Space or any premises within the Building containing all or a portion of the Refusal Space, which offer Landlord anticipates the prospective tenant will accept (the “</w:t>
      </w:r>
      <w:r>
        <w:rPr>
          <w:rFonts w:ascii="Times New Roman" w:cs="Times New Roman" w:eastAsia="Times New Roman" w:hAnsi="Times New Roman"/>
          <w:sz w:val="22"/>
          <w:szCs w:val="22"/>
          <w:b w:val="1"/>
          <w:bCs w:val="1"/>
          <w:u w:val="single" w:color="auto"/>
          <w:color w:val="auto"/>
        </w:rPr>
        <w:t>Third Party Offer</w:t>
      </w:r>
      <w:r>
        <w:rPr>
          <w:rFonts w:ascii="Times New Roman" w:cs="Times New Roman" w:eastAsia="Times New Roman" w:hAnsi="Times New Roman"/>
          <w:sz w:val="22"/>
          <w:szCs w:val="22"/>
          <w:color w:val="auto"/>
        </w:rPr>
        <w:t>”), Landlord agrees promptly to so notify Tenant in writing of the relevant terms of the Third Party Offer. If the Third Party Offer contains space in addition to the Refusal Space, if Tenant accepts the Third Party Offer, it shall be required to lease all of the space that is the subject of the Third Party Offer. Tenant shall have a period of five (5) business days after Tenant’s receipt of the notice within which to exercise the Refusal Right (the “</w:t>
      </w:r>
      <w:r>
        <w:rPr>
          <w:rFonts w:ascii="Times New Roman" w:cs="Times New Roman" w:eastAsia="Times New Roman" w:hAnsi="Times New Roman"/>
          <w:sz w:val="22"/>
          <w:szCs w:val="22"/>
          <w:b w:val="1"/>
          <w:bCs w:val="1"/>
          <w:u w:val="single" w:color="auto"/>
          <w:color w:val="auto"/>
        </w:rPr>
        <w:t>Acceptance Period</w:t>
      </w:r>
      <w:r>
        <w:rPr>
          <w:rFonts w:ascii="Times New Roman" w:cs="Times New Roman" w:eastAsia="Times New Roman" w:hAnsi="Times New Roman"/>
          <w:sz w:val="22"/>
          <w:szCs w:val="22"/>
          <w:color w:val="auto"/>
        </w:rPr>
        <w:t>”) by delivery to Landlord of written notice of its exercise on or before the last day of the Acceptance Period. If Tenant fails to duly and timely exercise the Refusal Right, or elects not to exercise the Refusal Right, the same shall lapse, and be of no further force and effect, and Landlord shall be free to lease the Refusal Space.</w:t>
      </w:r>
    </w:p>
    <w:p>
      <w:pPr>
        <w:spacing w:after="0" w:line="226" w:lineRule="exact"/>
        <w:rPr>
          <w:rFonts w:ascii="Times New Roman" w:cs="Times New Roman" w:eastAsia="Times New Roman" w:hAnsi="Times New Roman"/>
          <w:sz w:val="22"/>
          <w:szCs w:val="22"/>
          <w:color w:val="auto"/>
        </w:rPr>
      </w:pPr>
    </w:p>
    <w:p>
      <w:pPr>
        <w:jc w:val="both"/>
        <w:ind w:firstLine="1305"/>
        <w:spacing w:after="0" w:line="250" w:lineRule="auto"/>
        <w:tabs>
          <w:tab w:leader="none" w:pos="218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after the effective date of Tenant’s exercise of the Refusal Right, Landlord and Tenant shall enter into an amendment to this Lease adding the Refusal Space to the Premises, which amendment shall subject the Refusal Space or any premises within the Building containing all or a portion of the Refusal Space, which is contained in the Third Party Offer, to the Third Party Offer terms. The commencement date of Tenant’s lease of the Refusal Space will commence upon Substantial Completion of any improvements to the Refusal Space.</w:t>
      </w:r>
    </w:p>
    <w:p>
      <w:pPr>
        <w:spacing w:after="0" w:line="200" w:lineRule="exact"/>
        <w:rPr>
          <w:rFonts w:ascii="Times New Roman" w:cs="Times New Roman" w:eastAsia="Times New Roman" w:hAnsi="Times New Roman"/>
          <w:sz w:val="22"/>
          <w:szCs w:val="22"/>
          <w:color w:val="auto"/>
        </w:rPr>
      </w:pPr>
    </w:p>
    <w:p>
      <w:pPr>
        <w:spacing w:after="0" w:line="278" w:lineRule="exact"/>
        <w:rPr>
          <w:rFonts w:ascii="Times New Roman" w:cs="Times New Roman" w:eastAsia="Times New Roman" w:hAnsi="Times New Roman"/>
          <w:sz w:val="22"/>
          <w:szCs w:val="22"/>
          <w:color w:val="auto"/>
        </w:rPr>
      </w:pPr>
    </w:p>
    <w:p>
      <w:pPr>
        <w:jc w:val="both"/>
        <w:ind w:firstLine="1305"/>
        <w:spacing w:after="0" w:line="257" w:lineRule="auto"/>
        <w:tabs>
          <w:tab w:leader="none" w:pos="2197"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fails to or elects not to exercise the Refusal Right and the third party submitting the Third Party Offer does not lease the Refusal Space, the Refusal Space shall again become subject to the Refusal Right herein contained as to any subsequent Third Party Offer submitted to Landlord.</w:t>
      </w:r>
    </w:p>
    <w:p>
      <w:pPr>
        <w:spacing w:after="0" w:line="213" w:lineRule="exact"/>
        <w:rPr>
          <w:rFonts w:ascii="Times New Roman" w:cs="Times New Roman" w:eastAsia="Times New Roman" w:hAnsi="Times New Roman"/>
          <w:sz w:val="22"/>
          <w:szCs w:val="22"/>
          <w:color w:val="auto"/>
        </w:rPr>
      </w:pPr>
    </w:p>
    <w:p>
      <w:pPr>
        <w:ind w:right="20" w:firstLine="1305"/>
        <w:spacing w:after="0" w:line="271" w:lineRule="auto"/>
        <w:tabs>
          <w:tab w:leader="none" w:pos="218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rights under this Exhibit shall terminate if (i) this Lease or Tenant’s right to possession of the Premises is terminated, (ii) Tenant assigns any of its interest in this Lease</w:t>
      </w:r>
    </w:p>
    <w:p>
      <w:pPr>
        <w:sectPr>
          <w:pgSz w:w="11900" w:h="16838" w:orient="portrait"/>
          <w:cols w:equalWidth="0" w:num="1">
            <w:col w:w="11420"/>
          </w:cols>
          <w:pgMar w:left="240" w:top="621"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1"/>
          <w:szCs w:val="21"/>
          <w:color w:val="auto"/>
        </w:rPr>
        <w:t>or sublets any portion of the Premises, or (iii) less than three (3) full calendar years remain in the Initial Term of this Lease.</w:t>
      </w:r>
    </w:p>
    <w:p>
      <w:pPr>
        <w:sectPr>
          <w:pgSz w:w="11900" w:h="16838" w:orient="portrait"/>
          <w:cols w:equalWidth="0" w:num="1">
            <w:col w:w="10660"/>
          </w:cols>
          <w:pgMar w:left="240" w:top="625" w:right="99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2"/>
          <w:szCs w:val="22"/>
          <w:b w:val="1"/>
          <w:bCs w:val="1"/>
          <w:color w:val="auto"/>
        </w:rPr>
        <w:t>EXHIBIT I-1</w:t>
      </w:r>
    </w:p>
    <w:p>
      <w:pPr>
        <w:spacing w:after="0" w:line="238" w:lineRule="exact"/>
        <w:rPr>
          <w:sz w:val="20"/>
          <w:szCs w:val="20"/>
          <w:color w:val="auto"/>
        </w:rPr>
      </w:pPr>
    </w:p>
    <w:p>
      <w:pPr>
        <w:jc w:val="center"/>
        <w:spacing w:after="0"/>
        <w:rPr>
          <w:sz w:val="20"/>
          <w:szCs w:val="20"/>
          <w:color w:val="auto"/>
        </w:rPr>
      </w:pPr>
      <w:r>
        <w:rPr>
          <w:sz w:val="1"/>
          <w:szCs w:val="1"/>
          <w:color w:val="auto"/>
        </w:rPr>
        <w:drawing>
          <wp:inline distT="0" distB="0" distL="0" distR="0">
            <wp:extent cx="4716780" cy="61233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16780" cy="6123305"/>
                    </a:xfrm>
                    <a:prstGeom prst="rect">
                      <a:avLst/>
                    </a:prstGeom>
                    <a:noFill/>
                    <a:ln>
                      <a:noFill/>
                    </a:ln>
                  </pic:spPr>
                </pic:pic>
              </a:graphicData>
            </a:graphic>
          </wp:inline>
        </w:drawing>
      </w:r>
      <w:r>
        <w:rPr>
          <w:rFonts w:ascii="Times New Roman" w:cs="Times New Roman" w:eastAsia="Times New Roman" w:hAnsi="Times New Roman"/>
          <w:sz w:val="19"/>
          <w:szCs w:val="19"/>
          <w:b w:val="1"/>
          <w:bCs w:val="1"/>
          <w:u w:val="single" w:color="auto"/>
          <w:color w:val="auto"/>
        </w:rPr>
        <w:t>REFUSAL SPACE</w:t>
      </w:r>
    </w:p>
    <w:p>
      <w:pPr>
        <w:sectPr>
          <w:pgSz w:w="11900" w:h="16838" w:orient="portrait"/>
          <w:cols w:equalWidth="0" w:num="1">
            <w:col w:w="9180"/>
          </w:cols>
          <w:pgMar w:left="1360" w:top="621" w:right="1359" w:bottom="1440" w:gutter="0" w:footer="0" w:header="0"/>
        </w:sectPr>
      </w:pPr>
    </w:p>
    <w:bookmarkStart w:id="106" w:name="page107"/>
    <w:bookmarkEnd w:id="10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2"/>
          <w:szCs w:val="22"/>
          <w:b w:val="1"/>
          <w:bCs w:val="1"/>
          <w:color w:val="auto"/>
        </w:rPr>
        <w:t>EXHIBIT J</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RIGHT OF FIRST OFFER</w:t>
      </w:r>
    </w:p>
    <w:p>
      <w:pPr>
        <w:spacing w:after="0" w:line="2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Intentionally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FF0000"/>
          <w:strike w:val="1"/>
        </w:rPr>
        <w:t>J-</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FF"/>
        </w:rPr>
        <w:t>J-</w:t>
      </w:r>
      <w:r>
        <w:rPr>
          <w:rFonts w:ascii="Times New Roman" w:cs="Times New Roman" w:eastAsia="Times New Roman" w:hAnsi="Times New Roman"/>
          <w:sz w:val="14"/>
          <w:szCs w:val="14"/>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-1270</wp:posOffset>
            </wp:positionV>
            <wp:extent cx="889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0" cy="8890"/>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2"/>
          <w:szCs w:val="22"/>
          <w:b w:val="1"/>
          <w:bCs w:val="1"/>
          <w:color w:val="auto"/>
        </w:rPr>
        <w:t>EXHIBIT 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u w:val="single" w:color="auto"/>
          <w:color w:val="auto"/>
        </w:rPr>
        <w:t>RENT ABATEMENT PROVISIONS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 Rent shall be conditionally completely abated during the first two (2) months of the Term commencing upon the Commencement Date and Tenant shall only be required to pay half of the monthly base rental during following twelve (12) months (collectively, the “</w:t>
      </w:r>
      <w:r>
        <w:rPr>
          <w:rFonts w:ascii="Times New Roman" w:cs="Times New Roman" w:eastAsia="Times New Roman" w:hAnsi="Times New Roman"/>
          <w:sz w:val="18"/>
          <w:szCs w:val="18"/>
          <w:b w:val="1"/>
          <w:bCs w:val="1"/>
          <w:u w:val="single" w:color="auto"/>
          <w:color w:val="auto"/>
        </w:rPr>
        <w:t>Base Rent Abatement</w:t>
      </w:r>
      <w:r>
        <w:rPr>
          <w:rFonts w:ascii="Times New Roman" w:cs="Times New Roman" w:eastAsia="Times New Roman" w:hAnsi="Times New Roman"/>
          <w:sz w:val="18"/>
          <w:szCs w:val="18"/>
          <w:color w:val="auto"/>
        </w:rPr>
        <w:t>”). Notwithstanding such abatement of Base Rent (a) all other sums due under the Lease, including Additional Rent shall be payable as provided in the Lease, and (b) any increases in Base Rent set forth in the Lease shall occur on the dates scheduled therefore.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K-1</w:t>
      </w:r>
    </w:p>
    <w:p>
      <w:pPr>
        <w:sectPr>
          <w:pgSz w:w="11900" w:h="16838" w:orient="portrait"/>
          <w:cols w:equalWidth="0" w:num="1">
            <w:col w:w="11420"/>
          </w:cols>
          <w:pgMar w:left="240" w:top="621" w:right="239" w:bottom="1440" w:gutter="0" w:footer="0" w:header="0"/>
        </w:sectPr>
      </w:pPr>
    </w:p>
    <w:bookmarkStart w:id="109" w:name="page110"/>
    <w:bookmarkEnd w:id="109"/>
    <w:p>
      <w:pPr>
        <w:ind w:left="5160"/>
        <w:spacing w:after="0"/>
        <w:rPr>
          <w:sz w:val="20"/>
          <w:szCs w:val="20"/>
          <w:color w:val="auto"/>
        </w:rPr>
      </w:pPr>
      <w:r>
        <w:rPr>
          <w:rFonts w:ascii="Times New Roman" w:cs="Times New Roman" w:eastAsia="Times New Roman" w:hAnsi="Times New Roman"/>
          <w:sz w:val="22"/>
          <w:szCs w:val="22"/>
          <w:b w:val="1"/>
          <w:bCs w:val="1"/>
          <w:color w:val="auto"/>
        </w:rPr>
        <w:t>EXHIBIT L</w:t>
      </w:r>
    </w:p>
    <w:p>
      <w:pPr>
        <w:spacing w:after="0" w:line="22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auto"/>
        </w:rPr>
        <w:t>FORM OF SNDA</w:t>
      </w:r>
    </w:p>
    <w:p>
      <w:pPr>
        <w:spacing w:after="0" w:line="2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SUBORDINATION, NON-DISTURBANCE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AND ATTORNMENT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THIS AGREEMENT made this __ day of March, 2013, by and among </w:t>
      </w:r>
      <w:r>
        <w:rPr>
          <w:rFonts w:ascii="Times New Roman" w:cs="Times New Roman" w:eastAsia="Times New Roman" w:hAnsi="Times New Roman"/>
          <w:sz w:val="22"/>
          <w:szCs w:val="22"/>
          <w:b w:val="1"/>
          <w:bCs w:val="1"/>
          <w:color w:val="auto"/>
        </w:rPr>
        <w:t>STATE BANK AND TRUST COMPANY</w:t>
      </w:r>
      <w:r>
        <w:rPr>
          <w:rFonts w:ascii="Times New Roman" w:cs="Times New Roman" w:eastAsia="Times New Roman" w:hAnsi="Times New Roman"/>
          <w:sz w:val="22"/>
          <w:szCs w:val="22"/>
          <w:color w:val="auto"/>
        </w:rPr>
        <w:t xml:space="preserve"> (hereinafter referred to as “Lender”) and </w:t>
      </w:r>
      <w:r>
        <w:rPr>
          <w:rFonts w:ascii="Times New Roman" w:cs="Times New Roman" w:eastAsia="Times New Roman" w:hAnsi="Times New Roman"/>
          <w:sz w:val="22"/>
          <w:szCs w:val="22"/>
          <w:b w:val="1"/>
          <w:bCs w:val="1"/>
          <w:color w:val="auto"/>
        </w:rPr>
        <w:t>PEACHTREE II AND III LLC</w:t>
      </w:r>
      <w:r>
        <w:rPr>
          <w:rFonts w:ascii="Times New Roman" w:cs="Times New Roman" w:eastAsia="Times New Roman" w:hAnsi="Times New Roman"/>
          <w:sz w:val="22"/>
          <w:szCs w:val="22"/>
          <w:color w:val="auto"/>
        </w:rPr>
        <w:t xml:space="preserve"> (hereinafter referred to as “Landlord”),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___________________________________ </w:t>
      </w:r>
      <w:r>
        <w:rPr>
          <w:rFonts w:ascii="Times New Roman" w:cs="Times New Roman" w:eastAsia="Times New Roman" w:hAnsi="Times New Roman"/>
          <w:sz w:val="22"/>
          <w:szCs w:val="22"/>
          <w:color w:val="auto"/>
        </w:rPr>
        <w:t>(hereinafter referred to as “Tenant”);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Tenant and Landlord’s predecessor have entered into a certain lease agreement dated __________________</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(hereinafter referred to as the “Lease”), with respect to a portion of the premises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by this reference made a part hereof (such leased premises, as more particularly described in the Lease, is herein referred to as the “Premises”); and</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WHEREAS, Landlord has requested and Lender has agreed to make a loan to Landlord in the original principal amount of $__________________ (the “Loan”), which Loan shall be secured in part by a Deed to Secure Debt and Security Agreement encumbering said property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“Security Instrument”); and</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as a material inducement to Lender to enter into the Loan, Tenant agrees and confirms that the Lease is and shall remain subject and subordinate to the Security Instrument, provided Tenant is assured of continued occupancy of the Premises under the terms of the Lease;</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for and in consideration of the mutual covenants herein contained, the sum of Ten Dollars ($10.00) and other good valuable considerations, the receipt and sufficiency of which are hereby acknowledged, and notwithstanding anything in the Lease to the contrary, it is hereby agreed as follows:</w:t>
      </w:r>
    </w:p>
    <w:p>
      <w:pPr>
        <w:spacing w:after="0" w:line="214" w:lineRule="exact"/>
        <w:rPr>
          <w:sz w:val="20"/>
          <w:szCs w:val="20"/>
          <w:color w:val="auto"/>
        </w:rPr>
      </w:pPr>
    </w:p>
    <w:p>
      <w:pPr>
        <w:jc w:val="both"/>
        <w:ind w:left="340" w:firstLine="640"/>
        <w:spacing w:after="0" w:line="252" w:lineRule="auto"/>
        <w:tabs>
          <w:tab w:leader="none" w:pos="121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Tenant and Landlord do hereby covenant and agree that the Lease with all rights, options, liens and charges created thereby, is and shall continue to be subject and subordinate in all respects to the Security Instrument and to any advancements made thereunder and to any renewals, modifications, consolidations, replacements and extensions thereof, including any increases therein or supplements thereof.2.Lender does hereby agree with Tenant that, so long</w:t>
      </w:r>
    </w:p>
    <w:p>
      <w:pPr>
        <w:sectPr>
          <w:pgSz w:w="11900" w:h="16838" w:orient="portrait"/>
          <w:cols w:equalWidth="0" w:num="1">
            <w:col w:w="11420"/>
          </w:cols>
          <w:pgMar w:left="240" w:top="878" w:right="239" w:bottom="1440" w:gutter="0" w:footer="0" w:header="0"/>
        </w:sectPr>
      </w:pPr>
    </w:p>
    <w:bookmarkStart w:id="110" w:name="page111"/>
    <w:bookmarkEnd w:id="110"/>
    <w:p>
      <w:pPr>
        <w:jc w:val="both"/>
        <w:spacing w:after="0" w:line="246" w:lineRule="auto"/>
        <w:rPr>
          <w:sz w:val="20"/>
          <w:szCs w:val="20"/>
          <w:color w:val="auto"/>
        </w:rPr>
      </w:pPr>
      <w:r>
        <w:rPr>
          <w:rFonts w:ascii="Times New Roman" w:cs="Times New Roman" w:eastAsia="Times New Roman" w:hAnsi="Times New Roman"/>
          <w:sz w:val="22"/>
          <w:szCs w:val="22"/>
          <w:color w:val="auto"/>
        </w:rPr>
        <w:t>as Tenant complies with and performs its obligations under the Lease, (a) Lender will take no action which will interfere with or disturb the right of Tenant to the use, possession and enjoyment of the Premises in accordance with the Lease, and (b) in the event Lender or any other purchaser becomes the owner of the Premises by foreclosure, conveyance in lieu of foreclosure or otherwise, the Premises shall be subject to the Lease and Lender or such other purchaser shall recognize Tenant as the tenant of the Premises for the remainder of the term of the Lease in accordance with the provisions thereof, provided, however, that Lender or such other purchaser shall not be liable for any act or omission of any prior landlord (including Landlord), or subject to any offsets, counterclaims or defenses which Tenant might have against any prior landlord, or required to construct any improvements which were required to be constructed by any prior landlord, nor shall Lender or such other purchaser be bound by any rent or additional rent which Tenant might have paid for more than the current month to any prior landlord or be liable for the return of any security deposit theretofore paid by Tenant, nor shall Lender or such other purchaser be bound by any amendment or modification of the Lease made without Lender’s consent.</w:t>
      </w:r>
    </w:p>
    <w:p>
      <w:pPr>
        <w:spacing w:after="0" w:line="227" w:lineRule="exact"/>
        <w:rPr>
          <w:sz w:val="20"/>
          <w:szCs w:val="20"/>
          <w:color w:val="auto"/>
        </w:rPr>
      </w:pPr>
    </w:p>
    <w:p>
      <w:pPr>
        <w:jc w:val="both"/>
        <w:ind w:left="640" w:hanging="323"/>
        <w:spacing w:after="0" w:line="265" w:lineRule="auto"/>
        <w:rPr>
          <w:sz w:val="20"/>
          <w:szCs w:val="20"/>
          <w:color w:val="auto"/>
        </w:rPr>
      </w:pPr>
      <w:r>
        <w:rPr>
          <w:rFonts w:ascii="Times New Roman" w:cs="Times New Roman" w:eastAsia="Times New Roman" w:hAnsi="Times New Roman"/>
          <w:sz w:val="21"/>
          <w:szCs w:val="21"/>
          <w:color w:val="auto"/>
        </w:rPr>
        <w:t>3.Tenant does hereby agree with Lender that, in the event Lender or another purchaser becomes the owner of the Premises by foreclosure, conveyance in lieu of foreclosure or otherwise, then Tenant shall attorn to and recognize Lender or such other purchaser as the landlord under the Lease for the remainder of the term thereof, and Tenant shall perform and observe its obligations thereunder. Tenant further covenants and agrees to execute and deliver upon request of Lender, or its assigns, an appropriate agreement of attornment to any subsequent titleholder of the Premises.</w:t>
      </w:r>
    </w:p>
    <w:p>
      <w:pPr>
        <w:spacing w:after="0" w:line="206" w:lineRule="exact"/>
        <w:rPr>
          <w:sz w:val="20"/>
          <w:szCs w:val="20"/>
          <w:color w:val="auto"/>
        </w:rPr>
      </w:pPr>
    </w:p>
    <w:p>
      <w:pPr>
        <w:jc w:val="both"/>
        <w:ind w:left="640" w:hanging="323"/>
        <w:spacing w:after="0" w:line="246" w:lineRule="auto"/>
        <w:rPr>
          <w:sz w:val="20"/>
          <w:szCs w:val="20"/>
          <w:color w:val="auto"/>
        </w:rPr>
      </w:pPr>
      <w:r>
        <w:rPr>
          <w:rFonts w:ascii="Times New Roman" w:cs="Times New Roman" w:eastAsia="Times New Roman" w:hAnsi="Times New Roman"/>
          <w:sz w:val="22"/>
          <w:szCs w:val="22"/>
          <w:color w:val="auto"/>
        </w:rPr>
        <w:t>4.So long as the Security Instrument remains outstanding and unsatisfied, Tenant will mail or deliver to Lender, at the address and in the manner hereinbelow provided, a copy of all notices permitted or required to be given to the landlord by Tenant under and pursuant to the terms and provisions of the Lease. At any time before the rights of the landlord shall have been forfeited or adversely affected because of any default of the landlord, or within the time permitted the landlord for curing any default under the Lease as therein provided (but not less than sixty (60) days from the receipt of notice), Lender may, but shall have no obligation to, pay any taxes and assessments, make any repairs and improvements, make any deposits or do any other act or thing required of the landlord by the terms of the Lease; and all payments so made and all things so done and performed by Lender shall be as effective to prevent the rights of the landlord from being forfeited or adversely affected because of any default under the Lease as the same would have been if done and performed by the landlord.</w:t>
      </w:r>
    </w:p>
    <w:p>
      <w:pPr>
        <w:spacing w:after="0" w:line="230" w:lineRule="exact"/>
        <w:rPr>
          <w:sz w:val="20"/>
          <w:szCs w:val="20"/>
          <w:color w:val="auto"/>
        </w:rPr>
      </w:pPr>
    </w:p>
    <w:p>
      <w:pPr>
        <w:jc w:val="both"/>
        <w:ind w:left="640" w:right="20" w:hanging="323"/>
        <w:spacing w:after="0" w:line="271" w:lineRule="auto"/>
        <w:rPr>
          <w:sz w:val="20"/>
          <w:szCs w:val="20"/>
          <w:color w:val="auto"/>
        </w:rPr>
      </w:pPr>
      <w:r>
        <w:rPr>
          <w:rFonts w:ascii="Times New Roman" w:cs="Times New Roman" w:eastAsia="Times New Roman" w:hAnsi="Times New Roman"/>
          <w:sz w:val="22"/>
          <w:szCs w:val="22"/>
          <w:color w:val="auto"/>
        </w:rPr>
        <w:t>5.Tenant acknowledges that Landlord has executed and delivered to Lender an assignment of the Lease as security for its loans, and Tenant hereby expressly consents to such assignment.</w:t>
      </w:r>
    </w:p>
    <w:p>
      <w:pPr>
        <w:spacing w:after="0" w:line="198" w:lineRule="exact"/>
        <w:rPr>
          <w:sz w:val="20"/>
          <w:szCs w:val="20"/>
          <w:color w:val="auto"/>
        </w:rPr>
      </w:pPr>
    </w:p>
    <w:p>
      <w:pPr>
        <w:jc w:val="both"/>
        <w:ind w:left="640" w:hanging="323"/>
        <w:spacing w:after="0" w:line="257" w:lineRule="auto"/>
        <w:rPr>
          <w:sz w:val="20"/>
          <w:szCs w:val="20"/>
          <w:color w:val="auto"/>
        </w:rPr>
      </w:pPr>
      <w:r>
        <w:rPr>
          <w:rFonts w:ascii="Times New Roman" w:cs="Times New Roman" w:eastAsia="Times New Roman" w:hAnsi="Times New Roman"/>
          <w:sz w:val="22"/>
          <w:szCs w:val="22"/>
          <w:color w:val="auto"/>
        </w:rPr>
        <w:t>6.Tenant agrees that there shall be no further subordination of the interest of the Tenant under the Lease to any other lender or to any other party without first obtaining the prior written consent of Lender. Any attempt to effect a further subordination of Tenant’s</w:t>
      </w:r>
    </w:p>
    <w:p>
      <w:pPr>
        <w:sectPr>
          <w:pgSz w:w="11900" w:h="16838" w:orient="portrait"/>
          <w:cols w:equalWidth="0" w:num="1">
            <w:col w:w="11080"/>
          </w:cols>
          <w:pgMar w:left="580" w:top="625" w:right="239" w:bottom="1440" w:gutter="0" w:footer="0" w:header="0"/>
        </w:sectPr>
      </w:pPr>
    </w:p>
    <w:bookmarkStart w:id="111" w:name="page112"/>
    <w:bookmarkEnd w:id="111"/>
    <w:p>
      <w:pPr>
        <w:ind w:left="980"/>
        <w:spacing w:after="0"/>
        <w:rPr>
          <w:sz w:val="20"/>
          <w:szCs w:val="20"/>
          <w:color w:val="auto"/>
        </w:rPr>
      </w:pPr>
      <w:r>
        <w:rPr>
          <w:rFonts w:ascii="Times New Roman" w:cs="Times New Roman" w:eastAsia="Times New Roman" w:hAnsi="Times New Roman"/>
          <w:sz w:val="22"/>
          <w:szCs w:val="22"/>
          <w:color w:val="auto"/>
        </w:rPr>
        <w:t>interest under the Lease without first obtaining the prior written consent of Lender shall be null and void.</w:t>
      </w:r>
    </w:p>
    <w:p>
      <w:pPr>
        <w:spacing w:after="0" w:line="260" w:lineRule="exact"/>
        <w:rPr>
          <w:sz w:val="20"/>
          <w:szCs w:val="20"/>
          <w:color w:val="auto"/>
        </w:rPr>
      </w:pPr>
    </w:p>
    <w:p>
      <w:pPr>
        <w:jc w:val="both"/>
        <w:ind w:left="980" w:hanging="323"/>
        <w:spacing w:after="0" w:line="248" w:lineRule="auto"/>
        <w:rPr>
          <w:sz w:val="20"/>
          <w:szCs w:val="20"/>
          <w:color w:val="auto"/>
        </w:rPr>
      </w:pPr>
      <w:r>
        <w:rPr>
          <w:rFonts w:ascii="Times New Roman" w:cs="Times New Roman" w:eastAsia="Times New Roman" w:hAnsi="Times New Roman"/>
          <w:sz w:val="22"/>
          <w:szCs w:val="22"/>
          <w:color w:val="auto"/>
        </w:rPr>
        <w:t>7.Landlord and Tenant hereby certify to Lender that the Lease has been duly executed by Landlord and Tenant and is in full force and effect; that the Lease and any modifications and amendments specified herein are a complete statement of the agreement between Landlord and Tenant with respect to the leasing of the Premises, and the Lease has not been modified or amended except as specified herein; that to the knowledge of Landlord and Tenant, no party to the Lease is in default thereunder; that no rent under the Lease has been paid more than thirty (30) days in advance of its due date; and that Tenant, as of this date, has no charge, lien or claim of offset under the Lease, or otherwise, against the rents or other charges due or to become due thereunder.</w:t>
      </w:r>
    </w:p>
    <w:p>
      <w:pPr>
        <w:spacing w:after="0" w:line="223" w:lineRule="exact"/>
        <w:rPr>
          <w:sz w:val="20"/>
          <w:szCs w:val="20"/>
          <w:color w:val="auto"/>
        </w:rPr>
      </w:pPr>
    </w:p>
    <w:p>
      <w:pPr>
        <w:jc w:val="both"/>
        <w:ind w:left="980" w:hanging="323"/>
        <w:spacing w:after="0" w:line="246" w:lineRule="auto"/>
        <w:rPr>
          <w:sz w:val="20"/>
          <w:szCs w:val="20"/>
          <w:color w:val="auto"/>
        </w:rPr>
      </w:pPr>
      <w:r>
        <w:rPr>
          <w:rFonts w:ascii="Times New Roman" w:cs="Times New Roman" w:eastAsia="Times New Roman" w:hAnsi="Times New Roman"/>
          <w:sz w:val="22"/>
          <w:szCs w:val="22"/>
          <w:color w:val="auto"/>
        </w:rPr>
        <w:t>8.Any and all notices, elections, demands, requests and responses thereto permitted or required to be given under this Agreement shall be in writing, signed by or on behalf of the party giving the same, and shall be deemed to have been properly given and shall be effective upon being personally delivered, or upon being deposited in the United States mail, postage prepaid, certified with return receipt requested, to the other party at the address within the continental United States as such other party may designate by notice specifically designated as a notice of change of address and given in accordance herewith; provided, however, that the time period in which a response to any such notice, election, demand or request must be given shall commence on the date of receipt thereof; and provided further no notice of change of address shall be effective until the date of receipt thereof. Personal delivery to a party or to any officer, partner, agent or employee of such party at said address shall constitute receipt. Rejection or other refusal to accept or inability to deliver because of changed address of which no notice has been received shall also constitute receipt. Any such notice, election, demand, request or response, if given to Lender, shall be addressed as follows: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STATE BANK AND TRUST COMPANY</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415 East Paces Ferry Rd.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Atlanta, GA 30305</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Mr. Blake Snyder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if given to Tenant, shall be addressed as follows:</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if given to Landlord, shall be addressed as follows:</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PEACHTREE II AND III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Continental Property Group</w:t>
      </w:r>
    </w:p>
    <w:p>
      <w:pPr>
        <w:sectPr>
          <w:pgSz w:w="11900" w:h="16838" w:orient="portrait"/>
          <w:cols w:equalWidth="0" w:num="1">
            <w:col w:w="11420"/>
          </w:cols>
          <w:pgMar w:left="240" w:top="625" w:right="239" w:bottom="1440" w:gutter="0" w:footer="0" w:header="0"/>
        </w:sectPr>
      </w:pPr>
    </w:p>
    <w:bookmarkStart w:id="112" w:name="page113"/>
    <w:bookmarkEnd w:id="112"/>
    <w:p>
      <w:pPr>
        <w:ind w:left="640"/>
        <w:spacing w:after="0"/>
        <w:rPr>
          <w:sz w:val="20"/>
          <w:szCs w:val="20"/>
          <w:color w:val="auto"/>
        </w:rPr>
      </w:pPr>
      <w:r>
        <w:rPr>
          <w:rFonts w:ascii="Times New Roman" w:cs="Times New Roman" w:eastAsia="Times New Roman" w:hAnsi="Times New Roman"/>
          <w:sz w:val="22"/>
          <w:szCs w:val="22"/>
          <w:color w:val="auto"/>
        </w:rPr>
        <w:t>1907 Wayzata Boulevard, Suite 250</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Wayzata, MN 55391</w:t>
      </w:r>
    </w:p>
    <w:p>
      <w:pPr>
        <w:spacing w:after="0" w:line="236" w:lineRule="exact"/>
        <w:rPr>
          <w:sz w:val="20"/>
          <w:szCs w:val="20"/>
          <w:color w:val="auto"/>
        </w:rPr>
      </w:pPr>
    </w:p>
    <w:p>
      <w:pPr>
        <w:jc w:val="both"/>
        <w:ind w:left="320" w:firstLine="649"/>
        <w:spacing w:after="0" w:line="268" w:lineRule="auto"/>
        <w:tabs>
          <w:tab w:leader="none" w:pos="145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Lender become the owner of the Premises or any portion thereof and thereafter there shall be a breach of the obligations of the landlord under the Lease, notwithstanding anything in the Lease to the contrary, Lender shall have no personal liability with respect thereto and Tenant shall look solely to Lender’s interest in the Premises or any portion thereof for satisfaction of any liability that Lender may have to Tenant as a result of such breach.</w:t>
      </w:r>
    </w:p>
    <w:p>
      <w:pPr>
        <w:spacing w:after="0" w:line="200" w:lineRule="exact"/>
        <w:rPr>
          <w:sz w:val="20"/>
          <w:szCs w:val="20"/>
          <w:color w:val="auto"/>
        </w:rPr>
      </w:pPr>
    </w:p>
    <w:p>
      <w:pPr>
        <w:spacing w:after="0" w:line="220" w:lineRule="exact"/>
        <w:rPr>
          <w:sz w:val="20"/>
          <w:szCs w:val="20"/>
          <w:color w:val="auto"/>
        </w:rPr>
      </w:pPr>
    </w:p>
    <w:p>
      <w:pPr>
        <w:jc w:val="both"/>
        <w:ind w:left="320" w:hanging="323"/>
        <w:spacing w:after="0" w:line="257" w:lineRule="auto"/>
        <w:rPr>
          <w:sz w:val="20"/>
          <w:szCs w:val="20"/>
          <w:color w:val="auto"/>
        </w:rPr>
      </w:pPr>
      <w:r>
        <w:rPr>
          <w:rFonts w:ascii="Times New Roman" w:cs="Times New Roman" w:eastAsia="Times New Roman" w:hAnsi="Times New Roman"/>
          <w:sz w:val="22"/>
          <w:szCs w:val="22"/>
          <w:color w:val="auto"/>
        </w:rPr>
        <w:t>10.This Agreement shall be binding upon and inure to the benefit of the parties hereto and their respective heirs, legal representatives, successors, successors-in-title and assigns. When used herein, the term “landlord” refers to Landlord and to any successor to the interest of Landlord under the Lease.</w:t>
      </w:r>
    </w:p>
    <w:p>
      <w:pPr>
        <w:spacing w:after="0" w:line="214" w:lineRule="exact"/>
        <w:rPr>
          <w:sz w:val="20"/>
          <w:szCs w:val="20"/>
          <w:color w:val="auto"/>
        </w:rPr>
      </w:pPr>
    </w:p>
    <w:p>
      <w:pPr>
        <w:jc w:val="both"/>
        <w:ind w:left="320" w:hanging="323"/>
        <w:spacing w:after="0" w:line="271" w:lineRule="auto"/>
        <w:rPr>
          <w:sz w:val="20"/>
          <w:szCs w:val="20"/>
          <w:color w:val="auto"/>
        </w:rPr>
      </w:pPr>
      <w:r>
        <w:rPr>
          <w:rFonts w:ascii="Times New Roman" w:cs="Times New Roman" w:eastAsia="Times New Roman" w:hAnsi="Times New Roman"/>
          <w:sz w:val="22"/>
          <w:szCs w:val="22"/>
          <w:color w:val="auto"/>
        </w:rPr>
        <w:t>11.The certifications and agreements contained herein are made by Tenant with the knowledge that the Lender would not enter into the Loan except in reliance upon such certifications and agreements by Tenant.</w:t>
      </w:r>
    </w:p>
    <w:p>
      <w:pPr>
        <w:spacing w:after="0" w:line="198" w:lineRule="exact"/>
        <w:rPr>
          <w:sz w:val="20"/>
          <w:szCs w:val="20"/>
          <w:color w:val="auto"/>
        </w:rPr>
      </w:pPr>
    </w:p>
    <w:p>
      <w:pPr>
        <w:jc w:val="both"/>
        <w:ind w:left="320" w:right="20" w:hanging="323"/>
        <w:spacing w:after="0" w:line="271" w:lineRule="auto"/>
        <w:rPr>
          <w:sz w:val="20"/>
          <w:szCs w:val="20"/>
          <w:color w:val="auto"/>
        </w:rPr>
      </w:pPr>
      <w:r>
        <w:rPr>
          <w:rFonts w:ascii="Times New Roman" w:cs="Times New Roman" w:eastAsia="Times New Roman" w:hAnsi="Times New Roman"/>
          <w:sz w:val="22"/>
          <w:szCs w:val="22"/>
          <w:color w:val="auto"/>
        </w:rPr>
        <w:t>12.As between Landlord and Tenant, Landlord and Tenant covenant and agree that nothing herein contained nor anything done pursuant to the provisions hereof shall be deemed or construed to modify the Lease.</w:t>
      </w:r>
    </w:p>
    <w:p>
      <w:pPr>
        <w:spacing w:after="0" w:line="198" w:lineRule="exact"/>
        <w:rPr>
          <w:sz w:val="20"/>
          <w:szCs w:val="20"/>
          <w:color w:val="auto"/>
        </w:rPr>
      </w:pPr>
    </w:p>
    <w:p>
      <w:pPr>
        <w:jc w:val="both"/>
        <w:ind w:left="320" w:hanging="323"/>
        <w:spacing w:after="0" w:line="271" w:lineRule="auto"/>
        <w:rPr>
          <w:sz w:val="20"/>
          <w:szCs w:val="20"/>
          <w:color w:val="auto"/>
        </w:rPr>
      </w:pPr>
      <w:r>
        <w:rPr>
          <w:rFonts w:ascii="Times New Roman" w:cs="Times New Roman" w:eastAsia="Times New Roman" w:hAnsi="Times New Roman"/>
          <w:sz w:val="22"/>
          <w:szCs w:val="22"/>
          <w:color w:val="auto"/>
        </w:rPr>
        <w:t>13.As between Landlord and Lender, Landlord and Lender covenant and agree that nothing herein contained nor anything done pursuant to the provisions hereof shall be deemed or construed to modify the Security Instrument.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under seal, as of the date first above written.</w:t>
      </w:r>
    </w:p>
    <w:p>
      <w:pPr>
        <w:sectPr>
          <w:pgSz w:w="11900" w:h="16838" w:orient="portrait"/>
          <w:cols w:equalWidth="0" w:num="1">
            <w:col w:w="10760"/>
          </w:cols>
          <w:pgMar w:left="900" w:top="625"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53"/>
        </w:trPr>
        <w:tc>
          <w:tcPr>
            <w:tcW w:w="2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LENDER:</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Signed, sealed and delivered</w:t>
            </w:r>
          </w:p>
        </w:tc>
        <w:tc>
          <w:tcPr>
            <w:tcW w:w="138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STATE BANK AND TRUST COMPANY</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in the presence of:</w:t>
            </w: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________________________</w:t>
            </w:r>
          </w:p>
        </w:tc>
        <w:tc>
          <w:tcPr>
            <w:tcW w:w="50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By:________________________</w:t>
            </w:r>
          </w:p>
        </w:tc>
        <w:tc>
          <w:tcPr>
            <w:tcW w:w="0" w:type="dxa"/>
            <w:vAlign w:val="bottom"/>
          </w:tcPr>
          <w:p>
            <w:pPr>
              <w:spacing w:after="0"/>
              <w:rPr>
                <w:sz w:val="1"/>
                <w:szCs w:val="1"/>
                <w:color w:val="auto"/>
              </w:rPr>
            </w:pPr>
          </w:p>
        </w:tc>
      </w:tr>
      <w:tr>
        <w:trPr>
          <w:trHeight w:val="257"/>
        </w:trPr>
        <w:tc>
          <w:tcPr>
            <w:tcW w:w="78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Unofficial Witness   Name:___________________</w:t>
            </w:r>
          </w:p>
        </w:tc>
        <w:tc>
          <w:tcPr>
            <w:tcW w:w="0" w:type="dxa"/>
            <w:vAlign w:val="bottom"/>
          </w:tcPr>
          <w:p>
            <w:pPr>
              <w:spacing w:after="0"/>
              <w:rPr>
                <w:sz w:val="1"/>
                <w:szCs w:val="1"/>
                <w:color w:val="auto"/>
              </w:rPr>
            </w:pPr>
          </w:p>
        </w:tc>
      </w:tr>
      <w:tr>
        <w:trPr>
          <w:trHeight w:val="283"/>
        </w:trPr>
        <w:tc>
          <w:tcPr>
            <w:tcW w:w="2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________________________</w:t>
            </w:r>
          </w:p>
        </w:tc>
        <w:tc>
          <w:tcPr>
            <w:tcW w:w="1380" w:type="dxa"/>
            <w:vAlign w:val="bottom"/>
          </w:tcPr>
          <w:p>
            <w:pPr>
              <w:spacing w:after="0"/>
              <w:rPr>
                <w:sz w:val="24"/>
                <w:szCs w:val="24"/>
                <w:color w:val="auto"/>
              </w:rPr>
            </w:pPr>
          </w:p>
        </w:tc>
        <w:tc>
          <w:tcPr>
            <w:tcW w:w="3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Title:__________________</w:t>
            </w:r>
          </w:p>
        </w:tc>
        <w:tc>
          <w:tcPr>
            <w:tcW w:w="0" w:type="dxa"/>
            <w:vAlign w:val="bottom"/>
          </w:tcPr>
          <w:p>
            <w:pPr>
              <w:spacing w:after="0"/>
              <w:rPr>
                <w:sz w:val="1"/>
                <w:szCs w:val="1"/>
                <w:color w:val="auto"/>
              </w:rPr>
            </w:pPr>
          </w:p>
        </w:tc>
      </w:tr>
      <w:tr>
        <w:trPr>
          <w:trHeight w:val="231"/>
        </w:trPr>
        <w:tc>
          <w:tcPr>
            <w:tcW w:w="276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Notary Public</w:t>
            </w:r>
          </w:p>
        </w:tc>
        <w:tc>
          <w:tcPr>
            <w:tcW w:w="1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My Commission Expires:</w:t>
            </w:r>
          </w:p>
        </w:tc>
        <w:tc>
          <w:tcPr>
            <w:tcW w:w="50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[BANK SEAL]</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w w:val="99"/>
              </w:rPr>
              <w:t>_________________________</w:t>
            </w: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SEAL)</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[SIGNATURES ON FOLLOWING PAGE]</w:t>
      </w:r>
    </w:p>
    <w:p>
      <w:pPr>
        <w:sectPr>
          <w:pgSz w:w="11900" w:h="16838" w:orient="portrait"/>
          <w:cols w:equalWidth="0" w:num="1">
            <w:col w:w="10219"/>
          </w:cols>
          <w:pgMar w:left="240" w:top="602"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53"/>
        </w:trPr>
        <w:tc>
          <w:tcPr>
            <w:tcW w:w="410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LANDLORD:</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9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Signed, sealed and delivered in the presence of:</w:t>
            </w:r>
          </w:p>
        </w:tc>
        <w:tc>
          <w:tcPr>
            <w:tcW w:w="0" w:type="dxa"/>
            <w:vAlign w:val="bottom"/>
          </w:tcPr>
          <w:p>
            <w:pPr>
              <w:spacing w:after="0"/>
              <w:rPr>
                <w:sz w:val="1"/>
                <w:szCs w:val="1"/>
                <w:color w:val="auto"/>
              </w:rPr>
            </w:pPr>
          </w:p>
        </w:tc>
      </w:tr>
      <w:tr>
        <w:trPr>
          <w:trHeight w:val="243"/>
        </w:trPr>
        <w:tc>
          <w:tcPr>
            <w:tcW w:w="4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______________________</w:t>
            </w:r>
          </w:p>
        </w:tc>
        <w:tc>
          <w:tcPr>
            <w:tcW w:w="13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Unofficial Witness</w:t>
            </w:r>
          </w:p>
        </w:tc>
        <w:tc>
          <w:tcPr>
            <w:tcW w:w="1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______________________</w:t>
            </w:r>
          </w:p>
        </w:tc>
        <w:tc>
          <w:tcPr>
            <w:tcW w:w="5220" w:type="dxa"/>
            <w:vAlign w:val="bottom"/>
            <w:gridSpan w:val="2"/>
          </w:tcPr>
          <w:p>
            <w:pPr>
              <w:ind w:left="860"/>
              <w:spacing w:after="0"/>
              <w:rPr>
                <w:sz w:val="20"/>
                <w:szCs w:val="20"/>
                <w:color w:val="auto"/>
              </w:rPr>
            </w:pPr>
            <w:r>
              <w:rPr>
                <w:rFonts w:ascii="Times New Roman" w:cs="Times New Roman" w:eastAsia="Times New Roman" w:hAnsi="Times New Roman"/>
                <w:sz w:val="22"/>
                <w:szCs w:val="22"/>
                <w:b w:val="1"/>
                <w:bCs w:val="1"/>
                <w:color w:val="auto"/>
              </w:rPr>
              <w:t>PEACHTREE II AND III LLC</w:t>
            </w:r>
          </w:p>
        </w:tc>
        <w:tc>
          <w:tcPr>
            <w:tcW w:w="0" w:type="dxa"/>
            <w:vAlign w:val="bottom"/>
          </w:tcPr>
          <w:p>
            <w:pPr>
              <w:spacing w:after="0"/>
              <w:rPr>
                <w:sz w:val="1"/>
                <w:szCs w:val="1"/>
                <w:color w:val="auto"/>
              </w:rPr>
            </w:pPr>
          </w:p>
        </w:tc>
      </w:tr>
      <w:tr>
        <w:trPr>
          <w:trHeight w:val="243"/>
        </w:trPr>
        <w:tc>
          <w:tcPr>
            <w:tcW w:w="4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Notary Public</w:t>
            </w:r>
          </w:p>
        </w:tc>
        <w:tc>
          <w:tcPr>
            <w:tcW w:w="13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My Commission Expires:</w:t>
            </w:r>
          </w:p>
        </w:tc>
        <w:tc>
          <w:tcPr>
            <w:tcW w:w="522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w w:val="97"/>
              </w:rPr>
              <w:t>By: ___________________________(SEAL)</w:t>
            </w:r>
          </w:p>
        </w:tc>
        <w:tc>
          <w:tcPr>
            <w:tcW w:w="0" w:type="dxa"/>
            <w:vAlign w:val="bottom"/>
          </w:tcPr>
          <w:p>
            <w:pPr>
              <w:spacing w:after="0"/>
              <w:rPr>
                <w:sz w:val="1"/>
                <w:szCs w:val="1"/>
                <w:color w:val="auto"/>
              </w:rPr>
            </w:pPr>
          </w:p>
        </w:tc>
      </w:tr>
      <w:tr>
        <w:trPr>
          <w:trHeight w:val="243"/>
        </w:trPr>
        <w:tc>
          <w:tcPr>
            <w:tcW w:w="4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______________________</w:t>
            </w:r>
          </w:p>
        </w:tc>
        <w:tc>
          <w:tcPr>
            <w:tcW w:w="1300" w:type="dxa"/>
            <w:vAlign w:val="bottom"/>
          </w:tcPr>
          <w:p>
            <w:pPr>
              <w:spacing w:after="0"/>
              <w:rPr>
                <w:sz w:val="21"/>
                <w:szCs w:val="21"/>
                <w:color w:val="auto"/>
              </w:rPr>
            </w:pPr>
          </w:p>
        </w:tc>
        <w:tc>
          <w:tcPr>
            <w:tcW w:w="39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Name:</w:t>
            </w:r>
          </w:p>
        </w:tc>
        <w:tc>
          <w:tcPr>
            <w:tcW w:w="0" w:type="dxa"/>
            <w:vAlign w:val="bottom"/>
          </w:tcPr>
          <w:p>
            <w:pPr>
              <w:spacing w:after="0"/>
              <w:rPr>
                <w:sz w:val="1"/>
                <w:szCs w:val="1"/>
                <w:color w:val="auto"/>
              </w:rPr>
            </w:pPr>
          </w:p>
        </w:tc>
      </w:tr>
      <w:tr>
        <w:trPr>
          <w:trHeight w:val="283"/>
        </w:trPr>
        <w:tc>
          <w:tcPr>
            <w:tcW w:w="4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(NOTARY SEAL)</w:t>
            </w:r>
          </w:p>
        </w:tc>
        <w:tc>
          <w:tcPr>
            <w:tcW w:w="1300" w:type="dxa"/>
            <w:vAlign w:val="bottom"/>
          </w:tcPr>
          <w:p>
            <w:pPr>
              <w:spacing w:after="0"/>
              <w:rPr>
                <w:sz w:val="24"/>
                <w:szCs w:val="24"/>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Title:</w:t>
            </w:r>
          </w:p>
        </w:tc>
        <w:tc>
          <w:tcPr>
            <w:tcW w:w="0" w:type="dxa"/>
            <w:vAlign w:val="bottom"/>
          </w:tcPr>
          <w:p>
            <w:pPr>
              <w:spacing w:after="0"/>
              <w:rPr>
                <w:sz w:val="1"/>
                <w:szCs w:val="1"/>
                <w:color w:val="auto"/>
              </w:rPr>
            </w:pPr>
          </w:p>
        </w:tc>
      </w:tr>
      <w:tr>
        <w:trPr>
          <w:trHeight w:val="243"/>
        </w:trPr>
        <w:tc>
          <w:tcPr>
            <w:tcW w:w="4100" w:type="dxa"/>
            <w:vAlign w:val="bottom"/>
            <w:vMerge w:val="continue"/>
          </w:tcPr>
          <w:p>
            <w:pPr>
              <w:spacing w:after="0"/>
              <w:rPr>
                <w:sz w:val="21"/>
                <w:szCs w:val="21"/>
                <w:color w:val="auto"/>
              </w:rPr>
            </w:pPr>
          </w:p>
        </w:tc>
        <w:tc>
          <w:tcPr>
            <w:tcW w:w="13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[SIGNATURES CONTINUE ON FOLLOWING PAGE]</w:t>
      </w:r>
    </w:p>
    <w:p>
      <w:pPr>
        <w:sectPr>
          <w:pgSz w:w="11900" w:h="16838" w:orient="portrait"/>
          <w:cols w:equalWidth="0" w:num="1">
            <w:col w:w="10179"/>
          </w:cols>
          <w:pgMar w:left="280" w:top="602"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53"/>
        </w:trPr>
        <w:tc>
          <w:tcPr>
            <w:tcW w:w="1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TENANT:</w:t>
            </w:r>
          </w:p>
        </w:tc>
        <w:tc>
          <w:tcPr>
            <w:tcW w:w="0" w:type="dxa"/>
            <w:vAlign w:val="bottom"/>
          </w:tcPr>
          <w:p>
            <w:pPr>
              <w:spacing w:after="0"/>
              <w:rPr>
                <w:sz w:val="1"/>
                <w:szCs w:val="1"/>
                <w:color w:val="auto"/>
              </w:rPr>
            </w:pPr>
          </w:p>
        </w:tc>
      </w:tr>
      <w:tr>
        <w:trPr>
          <w:trHeight w:val="20"/>
        </w:trPr>
        <w:tc>
          <w:tcPr>
            <w:tcW w:w="4140" w:type="dxa"/>
            <w:vAlign w:val="bottom"/>
            <w:gridSpan w:val="3"/>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1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Signed, sealed and delivered  ______________________________</w:t>
            </w:r>
          </w:p>
        </w:tc>
        <w:tc>
          <w:tcPr>
            <w:tcW w:w="0" w:type="dxa"/>
            <w:vAlign w:val="bottom"/>
          </w:tcPr>
          <w:p>
            <w:pPr>
              <w:spacing w:after="0"/>
              <w:rPr>
                <w:sz w:val="1"/>
                <w:szCs w:val="1"/>
                <w:color w:val="auto"/>
              </w:rPr>
            </w:pPr>
          </w:p>
        </w:tc>
      </w:tr>
      <w:tr>
        <w:trPr>
          <w:trHeight w:val="283"/>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in the presence of:</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97"/>
              </w:rPr>
              <w:t>By:_________________________</w:t>
            </w:r>
          </w:p>
        </w:tc>
        <w:tc>
          <w:tcPr>
            <w:tcW w:w="0" w:type="dxa"/>
            <w:vAlign w:val="bottom"/>
          </w:tcPr>
          <w:p>
            <w:pPr>
              <w:spacing w:after="0"/>
              <w:rPr>
                <w:sz w:val="1"/>
                <w:szCs w:val="1"/>
                <w:color w:val="auto"/>
              </w:rPr>
            </w:pPr>
          </w:p>
        </w:tc>
      </w:tr>
      <w:tr>
        <w:trPr>
          <w:trHeight w:val="231"/>
        </w:trPr>
        <w:tc>
          <w:tcPr>
            <w:tcW w:w="1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_________________________</w:t>
            </w:r>
          </w:p>
        </w:tc>
        <w:tc>
          <w:tcPr>
            <w:tcW w:w="42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Name:____________________</w:t>
            </w:r>
          </w:p>
        </w:tc>
        <w:tc>
          <w:tcPr>
            <w:tcW w:w="0" w:type="dxa"/>
            <w:vAlign w:val="bottom"/>
          </w:tcPr>
          <w:p>
            <w:pPr>
              <w:spacing w:after="0"/>
              <w:rPr>
                <w:sz w:val="1"/>
                <w:szCs w:val="1"/>
                <w:color w:val="auto"/>
              </w:rPr>
            </w:pPr>
          </w:p>
        </w:tc>
      </w:tr>
      <w:tr>
        <w:trPr>
          <w:trHeight w:val="283"/>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Unofficial Witness</w:t>
            </w:r>
          </w:p>
        </w:tc>
        <w:tc>
          <w:tcPr>
            <w:tcW w:w="532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Title:___________________</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Public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SEAL)</w:t>
      </w:r>
    </w:p>
    <w:p>
      <w:pPr>
        <w:sectPr>
          <w:pgSz w:w="11900" w:h="16838" w:orient="portrait"/>
          <w:cols w:equalWidth="0" w:num="1">
            <w:col w:w="10219"/>
          </w:cols>
          <w:pgMar w:left="240" w:top="602"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Grubbs, certify that:</w:t>
      </w: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sz w:val="20"/>
          <w:szCs w:val="20"/>
          <w:color w:val="auto"/>
        </w:rPr>
      </w:pPr>
    </w:p>
    <w:p>
      <w:pPr>
        <w:spacing w:after="0" w:line="232"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2013</w:t>
      </w:r>
      <w:r>
        <w:rPr>
          <w:sz w:val="20"/>
          <w:szCs w:val="20"/>
          <w:color w:val="auto"/>
        </w:rPr>
        <w:tab/>
      </w:r>
      <w:r>
        <w:rPr>
          <w:rFonts w:ascii="Times New Roman" w:cs="Times New Roman" w:eastAsia="Times New Roman" w:hAnsi="Times New Roman"/>
          <w:sz w:val="17"/>
          <w:szCs w:val="17"/>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Grubbs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Emil Hensel, certify that:</w:t>
      </w:r>
    </w:p>
    <w:p>
      <w:pPr>
        <w:spacing w:after="0" w:line="225" w:lineRule="exact"/>
        <w:rPr>
          <w:sz w:val="20"/>
          <w:szCs w:val="20"/>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300" w:right="400" w:hanging="320"/>
        <w:spacing w:after="0" w:line="313" w:lineRule="auto"/>
        <w:tabs>
          <w:tab w:leader="none" w:pos="130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2013</w:t>
      </w:r>
      <w:r>
        <w:rPr>
          <w:sz w:val="20"/>
          <w:szCs w:val="20"/>
          <w:color w:val="auto"/>
        </w:rPr>
        <w:tab/>
      </w:r>
      <w:r>
        <w:rPr>
          <w:rFonts w:ascii="Times New Roman" w:cs="Times New Roman" w:eastAsia="Times New Roman" w:hAnsi="Times New Roman"/>
          <w:sz w:val="18"/>
          <w:szCs w:val="18"/>
          <w:color w:val="auto"/>
        </w:rPr>
        <w:t>/s/ Emil Hensel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Emil Hensel</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June 30, 2013, (the "Periodic Report"), I, William J. Grubbs, President and Chief Executive Officer of the Company, hereby certify pursuant to</w:t>
      </w:r>
    </w:p>
    <w:p>
      <w:pPr>
        <w:jc w:val="both"/>
        <w:spacing w:after="0" w:line="255" w:lineRule="auto"/>
        <w:rPr>
          <w:sz w:val="20"/>
          <w:szCs w:val="20"/>
          <w:color w:val="auto"/>
        </w:rPr>
      </w:pPr>
      <w:r>
        <w:rPr>
          <w:rFonts w:ascii="Times New Roman" w:cs="Times New Roman" w:eastAsia="Times New Roman" w:hAnsi="Times New Roman"/>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48"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2013</w:t>
      </w:r>
      <w:r>
        <w:rPr>
          <w:sz w:val="20"/>
          <w:szCs w:val="20"/>
          <w:color w:val="auto"/>
        </w:rPr>
        <w:tab/>
      </w:r>
      <w:r>
        <w:rPr>
          <w:rFonts w:ascii="Times New Roman" w:cs="Times New Roman" w:eastAsia="Times New Roman" w:hAnsi="Times New Roman"/>
          <w:sz w:val="17"/>
          <w:szCs w:val="17"/>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Grubbs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76"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June 30, 2013, (the "Periodic Report"), I, Emil Hensel,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46"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2013</w:t>
      </w:r>
      <w:r>
        <w:rPr>
          <w:sz w:val="20"/>
          <w:szCs w:val="20"/>
          <w:color w:val="auto"/>
        </w:rPr>
        <w:tab/>
      </w:r>
      <w:r>
        <w:rPr>
          <w:rFonts w:ascii="Times New Roman" w:cs="Times New Roman" w:eastAsia="Times New Roman" w:hAnsi="Times New Roman"/>
          <w:sz w:val="18"/>
          <w:szCs w:val="18"/>
          <w:color w:val="auto"/>
        </w:rPr>
        <w:t>/s/ Emil Hensel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Emil Hensel</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1)"/>
      <w:numFmt w:val="lowerRoman"/>
      <w:start w:val="1"/>
    </w:lvl>
  </w:abstractNum>
  <w:abstractNum w:abstractNumId="2">
    <w:nsid w:val="235BA861"/>
    <w:multiLevelType w:val="hybridMultilevel"/>
    <w:lvl w:ilvl="0">
      <w:lvlJc w:val="left"/>
      <w:lvlText w:val="%1."/>
      <w:numFmt w:val="decimal"/>
      <w:start w:val="1"/>
    </w:lvl>
  </w:abstractNum>
  <w:abstractNum w:abstractNumId="3">
    <w:nsid w:val="47398C89"/>
    <w:multiLevelType w:val="hybridMultilevel"/>
    <w:lvl w:ilvl="0">
      <w:lvlJc w:val="left"/>
      <w:lvlText w:val="%1."/>
      <w:numFmt w:val="decimal"/>
      <w:start w:val="2"/>
    </w:lvl>
  </w:abstractNum>
  <w:abstractNum w:abstractNumId="4">
    <w:nsid w:val="354FE9F9"/>
    <w:multiLevelType w:val="hybridMultilevel"/>
    <w:lvl w:ilvl="0">
      <w:lvlJc w:val="left"/>
      <w:lvlText w:val="%1."/>
      <w:numFmt w:val="decimal"/>
      <w:start w:val="3"/>
    </w:lvl>
  </w:abstractNum>
  <w:abstractNum w:abstractNumId="5">
    <w:nsid w:val="15B5AF5C"/>
    <w:multiLevelType w:val="hybridMultilevel"/>
    <w:lvl w:ilvl="0">
      <w:lvlJc w:val="left"/>
      <w:lvlText w:val="%1."/>
      <w:numFmt w:val="decimal"/>
      <w:start w:val="5"/>
    </w:lvl>
  </w:abstractNum>
  <w:abstractNum w:abstractNumId="6">
    <w:nsid w:val="741226BB"/>
    <w:multiLevelType w:val="hybridMultilevel"/>
    <w:lvl w:ilvl="0">
      <w:lvlJc w:val="left"/>
      <w:lvlText w:val="(%1)"/>
      <w:numFmt w:val="lowerLetter"/>
      <w:start w:val="3"/>
    </w:lvl>
  </w:abstractNum>
  <w:abstractNum w:abstractNumId="7">
    <w:nsid w:val="D34B6A8"/>
    <w:multiLevelType w:val="hybridMultilevel"/>
    <w:lvl w:ilvl="0">
      <w:lvlJc w:val="left"/>
      <w:lvlText w:val="(%1)"/>
      <w:numFmt w:val="lowerRoman"/>
      <w:start w:val="2"/>
    </w:lvl>
  </w:abstractNum>
  <w:abstractNum w:abstractNumId="8">
    <w:nsid w:val="10233C99"/>
    <w:multiLevelType w:val="hybridMultilevel"/>
    <w:lvl w:ilvl="0">
      <w:lvlJc w:val="left"/>
      <w:lvlText w:val="%1."/>
      <w:numFmt w:val="decimal"/>
      <w:start w:val="7"/>
    </w:lvl>
  </w:abstractNum>
  <w:abstractNum w:abstractNumId="9">
    <w:nsid w:val="3F6AB60F"/>
    <w:multiLevelType w:val="hybridMultilevel"/>
    <w:lvl w:ilvl="0">
      <w:lvlJc w:val="left"/>
      <w:lvlText w:val="%1."/>
      <w:numFmt w:val="decimal"/>
      <w:start w:val="8"/>
    </w:lvl>
  </w:abstractNum>
  <w:abstractNum w:abstractNumId="10">
    <w:nsid w:val="61574095"/>
    <w:multiLevelType w:val="hybridMultilevel"/>
    <w:lvl w:ilvl="0">
      <w:lvlJc w:val="left"/>
      <w:lvlText w:val="%1."/>
      <w:numFmt w:val="decimal"/>
      <w:start w:val="9"/>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1)"/>
      <w:numFmt w:val="lowerLetter"/>
      <w:start w:val="1"/>
    </w:lvl>
  </w:abstractNum>
  <w:abstractNum w:abstractNumId="13">
    <w:nsid w:val="579BE4F1"/>
    <w:multiLevelType w:val="hybridMultilevel"/>
    <w:lvl w:ilvl="0">
      <w:lvlJc w:val="left"/>
      <w:lvlText w:val="%1."/>
      <w:numFmt w:val="decimal"/>
      <w:start w:val="10"/>
    </w:lvl>
  </w:abstractNum>
  <w:abstractNum w:abstractNumId="14">
    <w:nsid w:val="310C50B3"/>
    <w:multiLevelType w:val="hybridMultilevel"/>
    <w:lvl w:ilvl="0">
      <w:lvlJc w:val="left"/>
      <w:lvlText w:val="%1."/>
      <w:numFmt w:val="decimal"/>
      <w:start w:val="11"/>
    </w:lvl>
  </w:abstractNum>
  <w:abstractNum w:abstractNumId="15">
    <w:nsid w:val="5FF87E05"/>
    <w:multiLevelType w:val="hybridMultilevel"/>
    <w:lvl w:ilvl="0">
      <w:lvlJc w:val="left"/>
      <w:lvlText w:val="%1."/>
      <w:numFmt w:val="decimal"/>
      <w:start w:val="12"/>
    </w:lvl>
  </w:abstractNum>
  <w:abstractNum w:abstractNumId="16">
    <w:nsid w:val="2F305DEF"/>
    <w:multiLevelType w:val="hybridMultilevel"/>
    <w:lvl w:ilvl="0">
      <w:lvlJc w:val="left"/>
      <w:lvlText w:val="%1."/>
      <w:numFmt w:val="decimal"/>
      <w:start w:val="13"/>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1)"/>
      <w:numFmt w:val="lowerLetter"/>
      <w:start w:val="1"/>
    </w:lvl>
  </w:abstractNum>
  <w:abstractNum w:abstractNumId="19">
    <w:nsid w:val="4AD084E9"/>
    <w:multiLevelType w:val="hybridMultilevel"/>
    <w:lvl w:ilvl="0">
      <w:lvlJc w:val="left"/>
      <w:lvlText w:val="(%1)"/>
      <w:numFmt w:val="lowerLetter"/>
      <w:start w:val="2"/>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1)"/>
      <w:numFmt w:val="decimal"/>
      <w:start w:val="4"/>
    </w:lvl>
  </w:abstractNum>
  <w:abstractNum w:abstractNumId="22">
    <w:nsid w:val="5DB70AE5"/>
    <w:multiLevelType w:val="hybridMultilevel"/>
    <w:lvl w:ilvl="0">
      <w:lvlJc w:val="left"/>
      <w:lvlText w:val="(%1)"/>
      <w:numFmt w:val="lowerLetter"/>
      <w:start w:val="3"/>
    </w:lvl>
  </w:abstractNum>
  <w:abstractNum w:abstractNumId="23">
    <w:nsid w:val="100F8FCA"/>
    <w:multiLevelType w:val="hybridMultilevel"/>
    <w:lvl w:ilvl="0">
      <w:lvlJc w:val="left"/>
      <w:lvlText w:val="(%1)"/>
      <w:numFmt w:val="lowerLetter"/>
      <w:start w:val="1"/>
    </w:lvl>
    <w:lvl w:ilvl="1">
      <w:lvlJc w:val="left"/>
      <w:lvlText w:val="(%2)"/>
      <w:numFmt w:val="lowerRoman"/>
      <w:start w:val="1"/>
    </w:lvl>
  </w:abstractNum>
  <w:abstractNum w:abstractNumId="24">
    <w:nsid w:val="6590700B"/>
    <w:multiLevelType w:val="hybridMultilevel"/>
    <w:lvl w:ilvl="0">
      <w:lvlJc w:val="left"/>
      <w:lvlText w:val="(%1)"/>
      <w:numFmt w:val="lowerLetter"/>
      <w:start w:val="3"/>
    </w:lvl>
  </w:abstractNum>
  <w:abstractNum w:abstractNumId="25">
    <w:nsid w:val="15014ACB"/>
    <w:multiLevelType w:val="hybridMultilevel"/>
    <w:lvl w:ilvl="0">
      <w:lvlJc w:val="left"/>
      <w:lvlText w:val="(%1)"/>
      <w:numFmt w:val="lowerLetter"/>
      <w:start w:val="1"/>
    </w:lvl>
  </w:abstractNum>
  <w:abstractNum w:abstractNumId="26">
    <w:nsid w:val="5F5E7FD0"/>
    <w:multiLevelType w:val="hybridMultilevel"/>
    <w:lvl w:ilvl="0">
      <w:lvlJc w:val="left"/>
      <w:lvlText w:val="(%1)"/>
      <w:numFmt w:val="lowerLetter"/>
      <w:start w:val="6"/>
    </w:lvl>
  </w:abstractNum>
  <w:abstractNum w:abstractNumId="27">
    <w:nsid w:val="98A3148"/>
    <w:multiLevelType w:val="hybridMultilevel"/>
    <w:lvl w:ilvl="0">
      <w:lvlJc w:val="left"/>
      <w:lvlText w:val="(%1)"/>
      <w:numFmt w:val="lowerLetter"/>
      <w:start w:val="3"/>
    </w:lvl>
  </w:abstractNum>
  <w:abstractNum w:abstractNumId="28">
    <w:nsid w:val="799D0247"/>
    <w:multiLevelType w:val="hybridMultilevel"/>
    <w:lvl w:ilvl="0">
      <w:lvlJc w:val="left"/>
      <w:lvlText w:val="(%1)"/>
      <w:numFmt w:val="lowerLetter"/>
      <w:start w:val="1"/>
    </w:lvl>
  </w:abstractNum>
  <w:abstractNum w:abstractNumId="29">
    <w:nsid w:val="6B94764"/>
    <w:multiLevelType w:val="hybridMultilevel"/>
    <w:lvl w:ilvl="0">
      <w:lvlJc w:val="left"/>
      <w:lvlText w:val="%1."/>
      <w:numFmt w:val="decimal"/>
      <w:start w:val="13"/>
    </w:lvl>
    <w:lvl w:ilvl="1">
      <w:lvlJc w:val="left"/>
      <w:lvlText w:val="(%2)"/>
      <w:numFmt w:val="lowerLetter"/>
      <w:start w:val="1"/>
    </w:lvl>
  </w:abstractNum>
  <w:abstractNum w:abstractNumId="30">
    <w:nsid w:val="42C296BD"/>
    <w:multiLevelType w:val="hybridMultilevel"/>
    <w:lvl w:ilvl="0">
      <w:lvlJc w:val="left"/>
      <w:lvlText w:val="(%1)"/>
      <w:numFmt w:val="lowerLetter"/>
      <w:start w:val="1"/>
    </w:lvl>
  </w:abstractNum>
  <w:abstractNum w:abstractNumId="31">
    <w:nsid w:val="168E121F"/>
    <w:multiLevelType w:val="hybridMultilevel"/>
    <w:lvl w:ilvl="0">
      <w:lvlJc w:val="left"/>
      <w:lvlText w:val="(%1)"/>
      <w:numFmt w:val="lowerLetter"/>
      <w:start w:val="1"/>
    </w:lvl>
  </w:abstractNum>
  <w:abstractNum w:abstractNumId="32">
    <w:nsid w:val="1EBA5D23"/>
    <w:multiLevelType w:val="hybridMultilevel"/>
    <w:lvl w:ilvl="0">
      <w:lvlJc w:val="left"/>
      <w:lvlText w:val="(%1)"/>
      <w:numFmt w:val="lowerLetter"/>
      <w:start w:val="4"/>
    </w:lvl>
  </w:abstractNum>
  <w:abstractNum w:abstractNumId="33">
    <w:nsid w:val="661E3F1E"/>
    <w:multiLevelType w:val="hybridMultilevel"/>
    <w:lvl w:ilvl="0">
      <w:lvlJc w:val="left"/>
      <w:lvlText w:val="%1"/>
      <w:numFmt w:val="decimal"/>
      <w:start w:val="1"/>
    </w:lvl>
    <w:lvl w:ilvl="1">
      <w:lvlJc w:val="left"/>
      <w:lvlText w:val="(%2)"/>
      <w:numFmt w:val="lowerLetter"/>
      <w:start w:val="2"/>
    </w:lvl>
  </w:abstractNum>
  <w:abstractNum w:abstractNumId="34">
    <w:nsid w:val="5DC79EA8"/>
    <w:multiLevelType w:val="hybridMultilevel"/>
    <w:lvl w:ilvl="0">
      <w:lvlJc w:val="left"/>
      <w:lvlText w:val="%1."/>
      <w:numFmt w:val="decimal"/>
      <w:start w:val="19"/>
    </w:lvl>
    <w:lvl w:ilvl="1">
      <w:lvlJc w:val="left"/>
      <w:lvlText w:val="%2"/>
      <w:numFmt w:val="lowerLetter"/>
      <w:start w:val="1"/>
    </w:lvl>
  </w:abstractNum>
  <w:abstractNum w:abstractNumId="35">
    <w:nsid w:val="540A471C"/>
    <w:multiLevelType w:val="hybridMultilevel"/>
    <w:lvl w:ilvl="0">
      <w:lvlJc w:val="left"/>
      <w:lvlText w:val="(%1)"/>
      <w:numFmt w:val="lowerLetter"/>
      <w:start w:val="1"/>
    </w:lvl>
  </w:abstractNum>
  <w:abstractNum w:abstractNumId="36">
    <w:nsid w:val="7BD3EE7B"/>
    <w:multiLevelType w:val="hybridMultilevel"/>
    <w:lvl w:ilvl="0">
      <w:lvlJc w:val="left"/>
      <w:lvlText w:val="%1"/>
      <w:numFmt w:val="decimal"/>
      <w:start w:val="1"/>
    </w:lvl>
    <w:lvl w:ilvl="1">
      <w:lvlJc w:val="left"/>
      <w:lvlText w:val="(%2)"/>
      <w:numFmt w:val="lowerLetter"/>
      <w:start w:val="5"/>
    </w:lvl>
  </w:abstractNum>
  <w:abstractNum w:abstractNumId="37">
    <w:nsid w:val="51D9C564"/>
    <w:multiLevelType w:val="hybridMultilevel"/>
    <w:lvl w:ilvl="0">
      <w:lvlJc w:val="left"/>
      <w:lvlText w:val="%1."/>
      <w:numFmt w:val="decimal"/>
      <w:start w:val="23"/>
    </w:lvl>
    <w:lvl w:ilvl="1">
      <w:lvlJc w:val="left"/>
      <w:lvlText w:val="(%2)"/>
      <w:numFmt w:val="lowerLetter"/>
      <w:start w:val="1"/>
    </w:lvl>
  </w:abstractNum>
  <w:abstractNum w:abstractNumId="38">
    <w:nsid w:val="613EFDC5"/>
    <w:multiLevelType w:val="hybridMultilevel"/>
    <w:lvl w:ilvl="0">
      <w:lvlJc w:val="left"/>
      <w:lvlText w:val="(%1)"/>
      <w:numFmt w:val="lowerLetter"/>
      <w:start w:val="9"/>
    </w:lvl>
  </w:abstractNum>
  <w:abstractNum w:abstractNumId="39">
    <w:nsid w:val="BF72B14"/>
    <w:multiLevelType w:val="hybridMultilevel"/>
    <w:lvl w:ilvl="0">
      <w:lvlJc w:val="left"/>
      <w:lvlText w:val="(%1)"/>
      <w:numFmt w:val="lowerLetter"/>
      <w:start w:val="14"/>
    </w:lvl>
  </w:abstractNum>
  <w:abstractNum w:abstractNumId="40">
    <w:nsid w:val="11447B73"/>
    <w:multiLevelType w:val="hybridMultilevel"/>
    <w:lvl w:ilvl="0">
      <w:lvlJc w:val="left"/>
      <w:lvlText w:val="(%1)"/>
      <w:numFmt w:val="lowerLetter"/>
      <w:start w:val="17"/>
    </w:lvl>
  </w:abstractNum>
  <w:abstractNum w:abstractNumId="41">
    <w:nsid w:val="42963E5A"/>
    <w:multiLevelType w:val="hybridMultilevel"/>
    <w:lvl w:ilvl="0">
      <w:lvlJc w:val="left"/>
      <w:lvlText w:val="%1."/>
      <w:numFmt w:val="decimal"/>
      <w:start w:val="1"/>
    </w:lvl>
  </w:abstractNum>
  <w:abstractNum w:abstractNumId="42">
    <w:nsid w:val="A0382C5"/>
    <w:multiLevelType w:val="hybridMultilevel"/>
    <w:lvl w:ilvl="0">
      <w:lvlJc w:val="left"/>
      <w:lvlText w:val="%1."/>
      <w:numFmt w:val="decimal"/>
      <w:start w:val="4"/>
    </w:lvl>
  </w:abstractNum>
  <w:abstractNum w:abstractNumId="43">
    <w:nsid w:val="8F2B15E"/>
    <w:multiLevelType w:val="hybridMultilevel"/>
    <w:lvl w:ilvl="0">
      <w:lvlJc w:val="left"/>
      <w:lvlText w:val="(%1)"/>
      <w:numFmt w:val="lowerRoman"/>
      <w:start w:val="1"/>
    </w:lvl>
  </w:abstractNum>
  <w:abstractNum w:abstractNumId="44">
    <w:nsid w:val="1A32234B"/>
    <w:multiLevelType w:val="hybridMultilevel"/>
    <w:lvl w:ilvl="0">
      <w:lvlJc w:val="left"/>
      <w:lvlText w:val="%1."/>
      <w:numFmt w:val="decimal"/>
      <w:start w:val="7"/>
    </w:lvl>
    <w:lvl w:ilvl="1">
      <w:lvlJc w:val="left"/>
      <w:lvlText w:val="(%2)"/>
      <w:numFmt w:val="lowerLetter"/>
      <w:start w:val="1"/>
    </w:lvl>
  </w:abstractNum>
  <w:abstractNum w:abstractNumId="45">
    <w:nsid w:val="3B0FD379"/>
    <w:multiLevelType w:val="hybridMultilevel"/>
    <w:lvl w:ilvl="0">
      <w:lvlJc w:val="left"/>
      <w:lvlText w:val="(%1)"/>
      <w:numFmt w:val="lowerLetter"/>
      <w:start w:val="2"/>
    </w:lvl>
    <w:lvl w:ilvl="1">
      <w:lvlJc w:val="left"/>
      <w:lvlText w:val="(%2)"/>
      <w:numFmt w:val="lowerLetter"/>
      <w:start w:val="9"/>
    </w:lvl>
  </w:abstractNum>
  <w:abstractNum w:abstractNumId="46">
    <w:nsid w:val="68EB2F63"/>
    <w:multiLevelType w:val="hybridMultilevel"/>
    <w:lvl w:ilvl="0">
      <w:lvlJc w:val="left"/>
      <w:lvlText w:val="(%1)"/>
      <w:numFmt w:val="lowerRoman"/>
      <w:start w:val="2"/>
    </w:lvl>
  </w:abstractNum>
  <w:abstractNum w:abstractNumId="47">
    <w:nsid w:val="4962813B"/>
    <w:multiLevelType w:val="hybridMultilevel"/>
    <w:lvl w:ilvl="0">
      <w:lvlJc w:val="left"/>
      <w:lvlText w:val="(%1)"/>
      <w:numFmt w:val="upperLetter"/>
      <w:start w:val="2"/>
    </w:lvl>
    <w:lvl w:ilvl="1">
      <w:lvlJc w:val="left"/>
      <w:lvlText w:val="(%2)"/>
      <w:numFmt w:val="lowerRoman"/>
      <w:start w:val="3"/>
    </w:lvl>
  </w:abstractNum>
  <w:abstractNum w:abstractNumId="48">
    <w:nsid w:val="60B6DF70"/>
    <w:multiLevelType w:val="hybridMultilevel"/>
    <w:lvl w:ilvl="0">
      <w:lvlJc w:val="left"/>
      <w:lvlText w:val="(%1)"/>
      <w:numFmt w:val="lowerLetter"/>
      <w:start w:val="3"/>
    </w:lvl>
  </w:abstractNum>
  <w:abstractNum w:abstractNumId="49">
    <w:nsid w:val="6A5EE6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50">
    <w:nsid w:val="14330624"/>
    <w:multiLevelType w:val="hybridMultilevel"/>
    <w:lvl w:ilvl="0">
      <w:lvlJc w:val="left"/>
      <w:lvlText w:val="(%1)"/>
      <w:numFmt w:val="lowerLetter"/>
      <w:start w:val="5"/>
    </w:lvl>
    <w:lvl w:ilvl="1">
      <w:lvlJc w:val="left"/>
      <w:lvlText w:val="%2."/>
      <w:numFmt w:val="decimal"/>
      <w:start w:val="8"/>
    </w:lvl>
    <w:lvl w:ilvl="2">
      <w:lvlJc w:val="left"/>
      <w:lvlText w:val="%3"/>
      <w:numFmt w:val="lowerLetter"/>
      <w:start w:val="1"/>
    </w:lvl>
  </w:abstractNum>
  <w:abstractNum w:abstractNumId="51">
    <w:nsid w:val="7FFFCA11"/>
    <w:multiLevelType w:val="hybridMultilevel"/>
    <w:lvl w:ilvl="0">
      <w:lvlJc w:val="left"/>
      <w:lvlText w:val="(%1)"/>
      <w:numFmt w:val="lowerLetter"/>
      <w:start w:val="2"/>
    </w:lvl>
    <w:lvl w:ilvl="1">
      <w:lvlJc w:val="left"/>
      <w:lvlText w:val="%2."/>
      <w:numFmt w:val="decimal"/>
      <w:start w:val="9"/>
    </w:lvl>
    <w:lvl w:ilvl="2">
      <w:lvlJc w:val="left"/>
      <w:lvlText w:val="(%3)"/>
      <w:numFmt w:val="lowerLetter"/>
      <w:start w:val="1"/>
    </w:lvl>
  </w:abstractNum>
  <w:abstractNum w:abstractNumId="52">
    <w:nsid w:val="1A27709E"/>
    <w:multiLevelType w:val="hybridMultilevel"/>
    <w:lvl w:ilvl="0">
      <w:lvlJc w:val="left"/>
      <w:lvlText w:val="(%1)"/>
      <w:numFmt w:val="lowerLetter"/>
      <w:start w:val="3"/>
    </w:lvl>
  </w:abstractNum>
  <w:abstractNum w:abstractNumId="53">
    <w:nsid w:val="71EA1109"/>
    <w:multiLevelType w:val="hybridMultilevel"/>
    <w:lvl w:ilvl="0">
      <w:lvlJc w:val="left"/>
      <w:lvlText w:val="(%1)"/>
      <w:numFmt w:val="lowerLetter"/>
      <w:start w:val="6"/>
    </w:lvl>
  </w:abstractNum>
  <w:abstractNum w:abstractNumId="54">
    <w:nsid w:val="100F59DC"/>
    <w:multiLevelType w:val="hybridMultilevel"/>
    <w:lvl w:ilvl="0">
      <w:lvlJc w:val="left"/>
      <w:lvlText w:val="(%1)"/>
      <w:numFmt w:val="decimal"/>
      <w:start w:val="1"/>
    </w:lvl>
  </w:abstractNum>
  <w:abstractNum w:abstractNumId="55">
    <w:nsid w:val="7FB7E0A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6">
    <w:nsid w:val="6EB5BD4"/>
    <w:multiLevelType w:val="hybridMultilevel"/>
    <w:lvl w:ilvl="0">
      <w:lvlJc w:val="left"/>
      <w:lvlText w:val="(%1)"/>
      <w:numFmt w:val="lowerLetter"/>
      <w:start w:val="2"/>
    </w:lvl>
  </w:abstractNum>
  <w:abstractNum w:abstractNumId="57">
    <w:nsid w:val="6F6DD9AC"/>
    <w:multiLevelType w:val="hybridMultilevel"/>
    <w:lvl w:ilvl="0">
      <w:lvlJc w:val="left"/>
      <w:lvlText w:val="%1"/>
      <w:numFmt w:val="decimal"/>
      <w:start w:val="1"/>
    </w:lvl>
    <w:lvl w:ilvl="1">
      <w:lvlJc w:val="left"/>
      <w:lvlText w:val="(%2)"/>
      <w:numFmt w:val="lowerLetter"/>
      <w:start w:val="4"/>
    </w:lvl>
  </w:abstractNum>
  <w:abstractNum w:abstractNumId="58">
    <w:nsid w:val="94211F2"/>
    <w:multiLevelType w:val="hybridMultilevel"/>
    <w:lvl w:ilvl="0">
      <w:lvlJc w:val="left"/>
      <w:lvlText w:val="%1."/>
      <w:numFmt w:val="decimal"/>
      <w:start w:val="11"/>
    </w:lvl>
    <w:lvl w:ilvl="1">
      <w:lvlJc w:val="left"/>
      <w:lvlText w:val="(%2)"/>
      <w:numFmt w:val="lowerLetter"/>
      <w:start w:val="1"/>
    </w:lvl>
  </w:abstractNum>
  <w:abstractNum w:abstractNumId="59">
    <w:nsid w:val="885E1B"/>
    <w:multiLevelType w:val="hybridMultilevel"/>
    <w:lvl w:ilvl="0">
      <w:lvlJc w:val="left"/>
      <w:lvlText w:val="%1"/>
      <w:numFmt w:val="decimal"/>
      <w:start w:val="1"/>
    </w:lvl>
    <w:lvl w:ilvl="1">
      <w:lvlJc w:val="left"/>
      <w:lvlText w:val="(%2)"/>
      <w:numFmt w:val="lowerLetter"/>
      <w:start w:val="4"/>
    </w:lvl>
  </w:abstractNum>
  <w:abstractNum w:abstractNumId="60">
    <w:nsid w:val="76272110"/>
    <w:multiLevelType w:val="hybridMultilevel"/>
    <w:lvl w:ilvl="0">
      <w:lvlJc w:val="left"/>
      <w:lvlText w:val="%1."/>
      <w:numFmt w:val="decimal"/>
      <w:start w:val="12"/>
    </w:lvl>
    <w:lvl w:ilvl="1">
      <w:lvlJc w:val="left"/>
      <w:lvlText w:val="(%2)"/>
      <w:numFmt w:val="lowerLetter"/>
      <w:start w:val="1"/>
    </w:lvl>
  </w:abstractNum>
  <w:abstractNum w:abstractNumId="61">
    <w:nsid w:val="4C04A8AF"/>
    <w:multiLevelType w:val="hybridMultilevel"/>
    <w:lvl w:ilvl="0">
      <w:lvlJc w:val="left"/>
      <w:lvlText w:val="%1"/>
      <w:numFmt w:val="decimal"/>
      <w:start w:val="1"/>
    </w:lvl>
    <w:lvl w:ilvl="1">
      <w:lvlJc w:val="left"/>
      <w:lvlText w:val="(%2)"/>
      <w:numFmt w:val="lowerLetter"/>
      <w:start w:val="3"/>
    </w:lvl>
  </w:abstractNum>
  <w:abstractNum w:abstractNumId="62">
    <w:nsid w:val="1716703B"/>
    <w:multiLevelType w:val="hybridMultilevel"/>
    <w:lvl w:ilvl="0">
      <w:lvlJc w:val="left"/>
      <w:lvlText w:val="%1."/>
      <w:numFmt w:val="decimal"/>
      <w:start w:val="14"/>
    </w:lvl>
    <w:lvl w:ilvl="1">
      <w:lvlJc w:val="left"/>
      <w:lvlText w:val="(%2)"/>
      <w:numFmt w:val="lowerLetter"/>
      <w:start w:val="1"/>
    </w:lvl>
  </w:abstractNum>
  <w:abstractNum w:abstractNumId="63">
    <w:nsid w:val="14E17E33"/>
    <w:multiLevelType w:val="hybridMultilevel"/>
    <w:lvl w:ilvl="0">
      <w:lvlJc w:val="left"/>
      <w:lvlText w:val="%1"/>
      <w:numFmt w:val="decimal"/>
      <w:start w:val="1"/>
    </w:lvl>
    <w:lvl w:ilvl="1">
      <w:lvlJc w:val="left"/>
      <w:lvlText w:val="(%2)"/>
      <w:numFmt w:val="lowerLetter"/>
      <w:start w:val="4"/>
    </w:lvl>
  </w:abstractNum>
  <w:abstractNum w:abstractNumId="64">
    <w:nsid w:val="3222E7CD"/>
    <w:multiLevelType w:val="hybridMultilevel"/>
    <w:lvl w:ilvl="0">
      <w:lvlJc w:val="left"/>
      <w:lvlText w:val="%1."/>
      <w:numFmt w:val="decimal"/>
      <w:start w:val="15"/>
    </w:lvl>
    <w:lvl w:ilvl="1">
      <w:lvlJc w:val="left"/>
      <w:lvlText w:val="(%2)"/>
      <w:numFmt w:val="lowerLetter"/>
      <w:start w:val="1"/>
    </w:lvl>
  </w:abstractNum>
  <w:abstractNum w:abstractNumId="65">
    <w:nsid w:val="74DE0EE3"/>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66">
    <w:nsid w:val="68EBC550"/>
    <w:multiLevelType w:val="hybridMultilevel"/>
    <w:lvl w:ilvl="0">
      <w:lvlJc w:val="left"/>
      <w:lvlText w:val="(%1)"/>
      <w:numFmt w:val="decimal"/>
      <w:start w:val="2"/>
    </w:lvl>
    <w:lvl w:ilvl="1">
      <w:lvlJc w:val="left"/>
      <w:lvlText w:val="%2."/>
      <w:numFmt w:val="decimal"/>
      <w:start w:val="17"/>
    </w:lvl>
    <w:lvl w:ilvl="2">
      <w:lvlJc w:val="left"/>
      <w:lvlText w:val="(%3)"/>
      <w:numFmt w:val="lowerLetter"/>
      <w:start w:val="1"/>
    </w:lvl>
  </w:abstractNum>
  <w:abstractNum w:abstractNumId="67">
    <w:nsid w:val="2DF6D648"/>
    <w:multiLevelType w:val="hybridMultilevel"/>
    <w:lvl w:ilvl="0">
      <w:lvlJc w:val="left"/>
      <w:lvlText w:val="(%1)"/>
      <w:numFmt w:val="lowerLetter"/>
      <w:start w:val="3"/>
    </w:lvl>
  </w:abstractNum>
  <w:abstractNum w:abstractNumId="68">
    <w:nsid w:val="46B7D447"/>
    <w:multiLevelType w:val="hybridMultilevel"/>
    <w:lvl w:ilvl="0">
      <w:lvlJc w:val="left"/>
      <w:lvlText w:val="%1"/>
      <w:numFmt w:val="decimal"/>
      <w:start w:val="1"/>
    </w:lvl>
    <w:lvl w:ilvl="1">
      <w:lvlJc w:val="left"/>
      <w:lvlText w:val="(%2)"/>
      <w:numFmt w:val="lowerLetter"/>
      <w:start w:val="1"/>
    </w:lvl>
  </w:abstractNum>
  <w:abstractNum w:abstractNumId="69">
    <w:nsid w:val="4A2AC315"/>
    <w:multiLevelType w:val="hybridMultilevel"/>
    <w:lvl w:ilvl="0">
      <w:lvlJc w:val="left"/>
      <w:lvlText w:val="%1."/>
      <w:numFmt w:val="decimal"/>
      <w:start w:val="19"/>
    </w:lvl>
    <w:lvl w:ilvl="1">
      <w:lvlJc w:val="left"/>
      <w:lvlText w:val="%2"/>
      <w:numFmt w:val="lowerLetter"/>
      <w:start w:val="1"/>
    </w:lvl>
  </w:abstractNum>
  <w:abstractNum w:abstractNumId="70">
    <w:nsid w:val="39EE015C"/>
    <w:multiLevelType w:val="hybridMultilevel"/>
    <w:lvl w:ilvl="0">
      <w:lvlJc w:val="left"/>
      <w:lvlText w:val="%1."/>
      <w:numFmt w:val="decimal"/>
      <w:start w:val="21"/>
    </w:lvl>
    <w:lvl w:ilvl="1">
      <w:lvlJc w:val="left"/>
      <w:lvlText w:val="(%2)"/>
      <w:numFmt w:val="lowerLetter"/>
      <w:start w:val="1"/>
    </w:lvl>
  </w:abstractNum>
  <w:abstractNum w:abstractNumId="71">
    <w:nsid w:val="57FC4FBB"/>
    <w:multiLevelType w:val="hybridMultilevel"/>
    <w:lvl w:ilvl="0">
      <w:lvlJc w:val="left"/>
      <w:lvlText w:val="%1"/>
      <w:numFmt w:val="decimal"/>
      <w:start w:val="1"/>
    </w:lvl>
    <w:lvl w:ilvl="1">
      <w:lvlJc w:val="left"/>
      <w:lvlText w:val="(%2)"/>
      <w:numFmt w:val="lowerLetter"/>
      <w:start w:val="2"/>
    </w:lvl>
  </w:abstractNum>
  <w:abstractNum w:abstractNumId="72">
    <w:nsid w:val="CC1016F"/>
    <w:multiLevelType w:val="hybridMultilevel"/>
    <w:lvl w:ilvl="0">
      <w:lvlJc w:val="left"/>
      <w:lvlText w:val="%1."/>
      <w:numFmt w:val="decimal"/>
      <w:start w:val="23"/>
    </w:lvl>
    <w:lvl w:ilvl="1">
      <w:lvlJc w:val="left"/>
      <w:lvlText w:val="%2"/>
      <w:numFmt w:val="lowerLetter"/>
      <w:start w:val="1"/>
    </w:lvl>
  </w:abstractNum>
  <w:abstractNum w:abstractNumId="73">
    <w:nsid w:val="43F18422"/>
    <w:multiLevelType w:val="hybridMultilevel"/>
    <w:lvl w:ilvl="0">
      <w:lvlJc w:val="left"/>
      <w:lvlText w:val="(%1)"/>
      <w:numFmt w:val="lowerLetter"/>
      <w:start w:val="2"/>
    </w:lvl>
  </w:abstractNum>
  <w:abstractNum w:abstractNumId="74">
    <w:nsid w:val="60EF0119"/>
    <w:multiLevelType w:val="hybridMultilevel"/>
    <w:lvl w:ilvl="0">
      <w:lvlJc w:val="left"/>
      <w:lvlText w:val="%1."/>
      <w:numFmt w:val="decimal"/>
      <w:start w:val="25"/>
    </w:lvl>
    <w:lvl w:ilvl="1">
      <w:lvlJc w:val="left"/>
      <w:lvlText w:val="(%2)"/>
      <w:numFmt w:val="lowerLetter"/>
      <w:start w:val="2"/>
    </w:lvl>
  </w:abstractNum>
  <w:abstractNum w:abstractNumId="75">
    <w:nsid w:val="26F324BA"/>
    <w:multiLevelType w:val="hybridMultilevel"/>
    <w:lvl w:ilvl="0">
      <w:lvlJc w:val="left"/>
      <w:lvlText w:val="(%1)"/>
      <w:numFmt w:val="lowerLetter"/>
      <w:start w:val="5"/>
    </w:lvl>
  </w:abstractNum>
  <w:abstractNum w:abstractNumId="76">
    <w:nsid w:val="7F01579B"/>
    <w:multiLevelType w:val="hybridMultilevel"/>
    <w:lvl w:ilvl="0">
      <w:lvlJc w:val="left"/>
      <w:lvlText w:val="(%1)"/>
      <w:numFmt w:val="lowerLetter"/>
      <w:start w:val="6"/>
    </w:lvl>
  </w:abstractNum>
  <w:abstractNum w:abstractNumId="77">
    <w:nsid w:val="49DA307D"/>
    <w:multiLevelType w:val="hybridMultilevel"/>
    <w:lvl w:ilvl="0">
      <w:lvlJc w:val="left"/>
      <w:lvlText w:val="(%1)"/>
      <w:numFmt w:val="lowerLetter"/>
      <w:start w:val="12"/>
    </w:lvl>
  </w:abstractNum>
  <w:abstractNum w:abstractNumId="78">
    <w:nsid w:val="7055A5F5"/>
    <w:multiLevelType w:val="hybridMultilevel"/>
    <w:lvl w:ilvl="0">
      <w:lvlJc w:val="left"/>
      <w:lvlText w:val="(%1)"/>
      <w:numFmt w:val="lowerLetter"/>
      <w:start w:val="18"/>
    </w:lvl>
    <w:lvl w:ilvl="1">
      <w:lvlJc w:val="left"/>
      <w:lvlText w:val="(%2)"/>
      <w:numFmt w:val="lowerRoman"/>
      <w:start w:val="1"/>
    </w:lvl>
  </w:abstractNum>
  <w:abstractNum w:abstractNumId="79">
    <w:nsid w:val="5FB8370B"/>
    <w:multiLevelType w:val="hybridMultilevel"/>
    <w:lvl w:ilvl="0">
      <w:lvlJc w:val="left"/>
      <w:lvlText w:val="%1"/>
      <w:numFmt w:val="lowerLetter"/>
      <w:start w:val="1"/>
    </w:lvl>
    <w:lvl w:ilvl="1">
      <w:lvlJc w:val="left"/>
      <w:lvlText w:val="(%2)"/>
      <w:numFmt w:val="lowerLetter"/>
      <w:start w:val="61"/>
    </w:lvl>
  </w:abstractNum>
  <w:abstractNum w:abstractNumId="80">
    <w:nsid w:val="50801EE1"/>
    <w:multiLevelType w:val="hybridMultilevel"/>
    <w:lvl w:ilvl="0">
      <w:lvlJc w:val="left"/>
      <w:lvlText w:val="(%1)"/>
      <w:numFmt w:val="lowerLetter"/>
      <w:start w:val="21"/>
    </w:lvl>
    <w:lvl w:ilvl="1">
      <w:lvlJc w:val="left"/>
      <w:lvlText w:val="%2"/>
      <w:numFmt w:val="lowerLetter"/>
      <w:start w:val="1"/>
    </w:lvl>
  </w:abstractNum>
  <w:abstractNum w:abstractNumId="81">
    <w:nsid w:val="488AC1A"/>
    <w:multiLevelType w:val="hybridMultilevel"/>
    <w:lvl w:ilvl="0">
      <w:lvlJc w:val="left"/>
      <w:lvlText w:val="%1"/>
      <w:numFmt w:val="lowerLetter"/>
      <w:start w:val="1"/>
    </w:lvl>
    <w:lvl w:ilvl="1">
      <w:lvlJc w:val="left"/>
      <w:lvlText w:val="(%2)"/>
      <w:numFmt w:val="lowerRoman"/>
      <w:start w:val="1"/>
    </w:lvl>
  </w:abstractNum>
  <w:abstractNum w:abstractNumId="82">
    <w:nsid w:val="5FB8011C"/>
    <w:multiLevelType w:val="hybridMultilevel"/>
    <w:lvl w:ilvl="0">
      <w:lvlJc w:val="left"/>
      <w:lvlText w:val="(%1)"/>
      <w:numFmt w:val="lowerLetter"/>
      <w:start w:val="4"/>
    </w:lvl>
    <w:lvl w:ilvl="1">
      <w:lvlJc w:val="left"/>
      <w:lvlText w:val="(%2)"/>
      <w:numFmt w:val="lowerRoman"/>
      <w:start w:val="3"/>
    </w:lvl>
  </w:abstractNum>
  <w:abstractNum w:abstractNumId="83">
    <w:nsid w:val="6AA78F7F"/>
    <w:multiLevelType w:val="hybridMultilevel"/>
    <w:lvl w:ilvl="0">
      <w:lvlJc w:val="left"/>
      <w:lvlText w:val="(%1)"/>
      <w:numFmt w:val="lowerLetter"/>
      <w:start w:val="25"/>
    </w:lvl>
  </w:abstractNum>
  <w:abstractNum w:abstractNumId="84">
    <w:nsid w:val="7672BD23"/>
    <w:multiLevelType w:val="hybridMultilevel"/>
    <w:lvl w:ilvl="0">
      <w:lvlJc w:val="left"/>
      <w:lvlText w:val="%1."/>
      <w:numFmt w:val="decimal"/>
      <w:start w:val="1"/>
    </w:lvl>
  </w:abstractNum>
  <w:abstractNum w:abstractNumId="85">
    <w:nsid w:val="6FC75AF8"/>
    <w:multiLevelType w:val="hybridMultilevel"/>
    <w:lvl w:ilvl="0">
      <w:lvlJc w:val="left"/>
      <w:lvlText w:val="(%1)"/>
      <w:numFmt w:val="decimal"/>
      <w:start w:val="4"/>
    </w:lvl>
  </w:abstractNum>
  <w:abstractNum w:abstractNumId="86">
    <w:nsid w:val="6A5F7029"/>
    <w:multiLevelType w:val="hybridMultilevel"/>
    <w:lvl w:ilvl="0">
      <w:lvlJc w:val="left"/>
      <w:lvlText w:val="(%1)"/>
      <w:numFmt w:val="decimal"/>
      <w:start w:val="6"/>
    </w:lvl>
  </w:abstractNum>
  <w:abstractNum w:abstractNumId="87">
    <w:nsid w:val="7D5E18F8"/>
    <w:multiLevelType w:val="hybridMultilevel"/>
    <w:lvl w:ilvl="0">
      <w:lvlJc w:val="left"/>
      <w:lvlText w:val="%1."/>
      <w:numFmt w:val="decimal"/>
      <w:start w:val="3"/>
    </w:lvl>
  </w:abstractNum>
  <w:abstractNum w:abstractNumId="88">
    <w:nsid w:val="5F3534A4"/>
    <w:multiLevelType w:val="hybridMultilevel"/>
    <w:lvl w:ilvl="0">
      <w:lvlJc w:val="left"/>
      <w:lvlText w:val="%1."/>
      <w:numFmt w:val="decimal"/>
      <w:start w:val="4"/>
    </w:lvl>
  </w:abstractNum>
  <w:abstractNum w:abstractNumId="89">
    <w:nsid w:val="73A1821B"/>
    <w:multiLevelType w:val="hybridMultilevel"/>
    <w:lvl w:ilvl="0">
      <w:lvlJc w:val="left"/>
      <w:lvlText w:val="%1."/>
      <w:numFmt w:val="decimal"/>
      <w:start w:val="1"/>
    </w:lvl>
  </w:abstractNum>
  <w:abstractNum w:abstractNumId="90">
    <w:nsid w:val="7DE67713"/>
    <w:multiLevelType w:val="hybridMultilevel"/>
    <w:lvl w:ilvl="0">
      <w:lvlJc w:val="left"/>
      <w:lvlText w:val="(%1)"/>
      <w:numFmt w:val="lowerLetter"/>
      <w:start w:val="1"/>
    </w:lvl>
    <w:lvl w:ilvl="1">
      <w:lvlJc w:val="left"/>
      <w:lvlText w:val="(%2)"/>
      <w:numFmt w:val="lowerLetter"/>
      <w:start w:val="3"/>
    </w:lvl>
  </w:abstractNum>
  <w:abstractNum w:abstractNumId="91">
    <w:nsid w:val="555C55B5"/>
    <w:multiLevelType w:val="hybridMultilevel"/>
    <w:lvl w:ilvl="0">
      <w:lvlJc w:val="left"/>
      <w:lvlText w:val="%1."/>
      <w:numFmt w:val="decimal"/>
      <w:start w:val="3"/>
    </w:lvl>
  </w:abstractNum>
  <w:abstractNum w:abstractNumId="92">
    <w:nsid w:val="3FA62ACA"/>
    <w:multiLevelType w:val="hybridMultilevel"/>
    <w:lvl w:ilvl="0">
      <w:lvlJc w:val="left"/>
      <w:lvlText w:val="(%1)"/>
      <w:numFmt w:val="lowerLetter"/>
      <w:start w:val="1"/>
    </w:lvl>
  </w:abstractNum>
  <w:abstractNum w:abstractNumId="93">
    <w:nsid w:val="14FCE74E"/>
    <w:multiLevelType w:val="hybridMultilevel"/>
    <w:lvl w:ilvl="0">
      <w:lvlJc w:val="left"/>
      <w:lvlText w:val="%1."/>
      <w:numFmt w:val="decimal"/>
      <w:start w:val="4"/>
    </w:lvl>
  </w:abstractNum>
  <w:abstractNum w:abstractNumId="94">
    <w:nsid w:val="6A3DD3E8"/>
    <w:multiLevelType w:val="hybridMultilevel"/>
    <w:lvl w:ilvl="0">
      <w:lvlJc w:val="left"/>
      <w:lvlText w:val="%1."/>
      <w:numFmt w:val="decimal"/>
      <w:start w:val="8"/>
    </w:lvl>
  </w:abstractNum>
  <w:abstractNum w:abstractNumId="95">
    <w:nsid w:val="71C91298"/>
    <w:multiLevelType w:val="hybridMultilevel"/>
    <w:lvl w:ilvl="0">
      <w:lvlJc w:val="left"/>
      <w:lvlText w:val="%1."/>
      <w:numFmt w:val="decimal"/>
      <w:start w:val="13"/>
    </w:lvl>
  </w:abstractNum>
  <w:abstractNum w:abstractNumId="96">
    <w:nsid w:val="9DAF632"/>
    <w:multiLevelType w:val="hybridMultilevel"/>
    <w:lvl w:ilvl="0">
      <w:lvlJc w:val="left"/>
      <w:lvlText w:val="%1."/>
      <w:numFmt w:val="decimal"/>
      <w:start w:val="1"/>
    </w:lvl>
  </w:abstractNum>
  <w:abstractNum w:abstractNumId="97">
    <w:nsid w:val="53299938"/>
    <w:multiLevelType w:val="hybridMultilevel"/>
    <w:lvl w:ilvl="0">
      <w:lvlJc w:val="left"/>
      <w:lvlText w:val="%1."/>
      <w:numFmt w:val="decimal"/>
      <w:start w:val="6"/>
    </w:lvl>
  </w:abstractNum>
  <w:abstractNum w:abstractNumId="98">
    <w:nsid w:val="1FBFE8E0"/>
    <w:multiLevelType w:val="hybridMultilevel"/>
    <w:lvl w:ilvl="0">
      <w:lvlJc w:val="left"/>
      <w:lvlText w:val="%1."/>
      <w:numFmt w:val="decimal"/>
      <w:start w:val="12"/>
    </w:lvl>
  </w:abstractNum>
  <w:abstractNum w:abstractNumId="99">
    <w:nsid w:val="5092CA79"/>
    <w:multiLevelType w:val="hybridMultilevel"/>
    <w:lvl w:ilvl="0">
      <w:lvlJc w:val="left"/>
      <w:lvlText w:val="%1."/>
      <w:numFmt w:val="decimal"/>
      <w:start w:val="18"/>
    </w:lvl>
    <w:lvl w:ilvl="1">
      <w:lvlJc w:val="left"/>
      <w:lvlText w:val="%2."/>
      <w:numFmt w:val="lowerLetter"/>
      <w:start w:val="1"/>
    </w:lvl>
  </w:abstractNum>
  <w:abstractNum w:abstractNumId="100">
    <w:nsid w:val="1D545C4D"/>
    <w:multiLevelType w:val="hybridMultilevel"/>
    <w:lvl w:ilvl="0">
      <w:lvlJc w:val="left"/>
      <w:lvlText w:val="%1."/>
      <w:numFmt w:val="decimal"/>
      <w:start w:val="1"/>
    </w:lvl>
  </w:abstractNum>
  <w:abstractNum w:abstractNumId="101">
    <w:nsid w:val="59ADEA3D"/>
    <w:multiLevelType w:val="hybridMultilevel"/>
    <w:lvl w:ilvl="0">
      <w:lvlJc w:val="left"/>
      <w:lvlText w:val="%1."/>
      <w:numFmt w:val="decimal"/>
      <w:start w:val="5"/>
    </w:lvl>
  </w:abstractNum>
  <w:abstractNum w:abstractNumId="102">
    <w:nsid w:val="288F1A34"/>
    <w:multiLevelType w:val="hybridMultilevel"/>
    <w:lvl w:ilvl="0">
      <w:lvlJc w:val="left"/>
      <w:lvlText w:val="%1."/>
      <w:numFmt w:val="upperLetter"/>
      <w:start w:val="1"/>
    </w:lvl>
  </w:abstractNum>
  <w:abstractNum w:abstractNumId="103">
    <w:nsid w:val="2A155DBC"/>
    <w:multiLevelType w:val="hybridMultilevel"/>
    <w:lvl w:ilvl="0">
      <w:lvlJc w:val="left"/>
      <w:lvlText w:val="(%1)"/>
      <w:numFmt w:val="lowerLetter"/>
      <w:start w:val="1"/>
    </w:lvl>
  </w:abstractNum>
  <w:abstractNum w:abstractNumId="104">
    <w:nsid w:val="1D9F6E5F"/>
    <w:multiLevelType w:val="hybridMultilevel"/>
    <w:lvl w:ilvl="0">
      <w:lvlJc w:val="left"/>
      <w:lvlText w:val="(%1)"/>
      <w:numFmt w:val="lowerLetter"/>
      <w:start w:val="6"/>
    </w:lvl>
  </w:abstractNum>
  <w:abstractNum w:abstractNumId="105">
    <w:nsid w:val="97E1B4E"/>
    <w:multiLevelType w:val="hybridMultilevel"/>
    <w:lvl w:ilvl="0">
      <w:lvlJc w:val="left"/>
      <w:lvlText w:val="%1."/>
      <w:numFmt w:val="decimal"/>
      <w:start w:val="2"/>
    </w:lvl>
  </w:abstractNum>
  <w:abstractNum w:abstractNumId="106">
    <w:nsid w:val="51088277"/>
    <w:multiLevelType w:val="hybridMultilevel"/>
    <w:lvl w:ilvl="0">
      <w:lvlJc w:val="left"/>
      <w:lvlText w:val="(%1)"/>
      <w:numFmt w:val="lowerLetter"/>
      <w:start w:val="1"/>
    </w:lvl>
  </w:abstractNum>
  <w:abstractNum w:abstractNumId="107">
    <w:nsid w:val="1CA0C5FA"/>
    <w:multiLevelType w:val="hybridMultilevel"/>
    <w:lvl w:ilvl="0">
      <w:lvlJc w:val="left"/>
      <w:lvlText w:val="(%1)"/>
      <w:numFmt w:val="decimal"/>
      <w:start w:val="15"/>
    </w:lvl>
  </w:abstractNum>
  <w:abstractNum w:abstractNumId="108">
    <w:nsid w:val="53584BCB"/>
    <w:multiLevelType w:val="hybridMultilevel"/>
    <w:lvl w:ilvl="0">
      <w:lvlJc w:val="left"/>
      <w:lvlText w:val="%1."/>
      <w:numFmt w:val="decimal"/>
      <w:start w:val="1"/>
    </w:lvl>
    <w:lvl w:ilvl="1">
      <w:lvlJc w:val="left"/>
      <w:lvlText w:val="(%2)"/>
      <w:numFmt w:val="lowerLetter"/>
      <w:start w:val="1"/>
    </w:lvl>
  </w:abstractNum>
  <w:abstractNum w:abstractNumId="109">
    <w:nsid w:val="415E286C"/>
    <w:multiLevelType w:val="hybridMultilevel"/>
    <w:lvl w:ilvl="0">
      <w:lvlJc w:val="left"/>
      <w:lvlText w:val="%1."/>
      <w:numFmt w:val="decimal"/>
      <w:start w:val="1"/>
    </w:lvl>
  </w:abstractNum>
  <w:abstractNum w:abstractNumId="110">
    <w:nsid w:val="7C58FD05"/>
    <w:multiLevelType w:val="hybridMultilevel"/>
    <w:lvl w:ilvl="0">
      <w:lvlJc w:val="left"/>
      <w:lvlText w:val="%1."/>
      <w:numFmt w:val="decimal"/>
      <w:start w:val="9"/>
    </w:lvl>
  </w:abstractNum>
  <w:abstractNum w:abstractNumId="111">
    <w:nsid w:val="23D86AAC"/>
    <w:multiLevelType w:val="hybridMultilevel"/>
    <w:lvl w:ilvl="0">
      <w:lvlJc w:val="left"/>
      <w:lvlText w:val="%1."/>
      <w:numFmt w:val="decimal"/>
      <w:start w:val="1"/>
    </w:lvl>
    <w:lvl w:ilvl="1">
      <w:lvlJc w:val="left"/>
      <w:lvlText w:val="%2."/>
      <w:numFmt w:val="lowerLetter"/>
      <w:start w:val="1"/>
    </w:lvl>
  </w:abstractNum>
  <w:abstractNum w:abstractNumId="112">
    <w:nsid w:val="45E6D48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2019-12-07T02:37:56Z</dcterms:created>
  <dcterms:modified xsi:type="dcterms:W3CDTF">2019-12-07T02:37:56Z</dcterms:modified>
</cp:coreProperties>
</file>