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396" w:lineRule="exact"/>
        <w:rPr>
          <w:sz w:val="24"/>
          <w:szCs w:val="24"/>
          <w:color w:val="auto"/>
        </w:rPr>
      </w:pPr>
    </w:p>
    <w:p>
      <w:pPr>
        <w:ind w:left="860" w:right="2420" w:hanging="825"/>
        <w:spacing w:after="0" w:line="282" w:lineRule="auto"/>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860" w:right="2480" w:hanging="825"/>
        <w:spacing w:after="0" w:line="282"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17145</wp:posOffset>
            </wp:positionV>
            <wp:extent cx="2555875" cy="1029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1134" w:right="279" w:bottom="38" w:gutter="0" w:footer="0" w:header="0"/>
        </w:sectPr>
      </w:pPr>
    </w:p>
    <w:p>
      <w:pPr>
        <w:spacing w:after="0" w:line="36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13-4066229</w:t>
      </w:r>
    </w:p>
    <w:p>
      <w:pPr>
        <w:spacing w:after="0" w:line="90" w:lineRule="exact"/>
        <w:rPr>
          <w:sz w:val="24"/>
          <w:szCs w:val="24"/>
          <w:color w:val="auto"/>
        </w:rPr>
      </w:pPr>
    </w:p>
    <w:p>
      <w:pPr>
        <w:sectPr>
          <w:pgSz w:w="11900" w:h="16838" w:orient="portrait"/>
          <w:cols w:equalWidth="0" w:num="2">
            <w:col w:w="7420" w:space="720"/>
            <w:col w:w="3240"/>
          </w:cols>
          <w:pgMar w:left="240" w:top="1134" w:right="279" w:bottom="38" w:gutter="0" w:footer="0" w:header="0"/>
          <w:type w:val="continuous"/>
        </w:sectPr>
      </w:pPr>
    </w:p>
    <w:p>
      <w:pPr>
        <w:ind w:lef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1134" w:right="279" w:bottom="38"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5201 Congress Avenue, Suite 100B</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Boca Raton, Florida 33487</w:t>
      </w:r>
    </w:p>
    <w:p>
      <w:pPr>
        <w:sectPr>
          <w:pgSz w:w="11900" w:h="16838" w:orient="portrait"/>
          <w:cols w:equalWidth="0" w:num="1">
            <w:col w:w="11380"/>
          </w:cols>
          <w:pgMar w:left="240" w:top="1134" w:right="279" w:bottom="38" w:gutter="0" w:footer="0" w:header="0"/>
          <w:type w:val="continuous"/>
        </w:sectPr>
      </w:pP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380"/>
          </w:cols>
          <w:pgMar w:left="240" w:top="1134" w:right="279" w:bottom="38" w:gutter="0" w:footer="0" w:header="0"/>
          <w:type w:val="continuous"/>
        </w:sectPr>
      </w:pPr>
    </w:p>
    <w:p>
      <w:pPr>
        <w:spacing w:after="0" w:line="399" w:lineRule="exact"/>
        <w:rPr>
          <w:sz w:val="24"/>
          <w:szCs w:val="24"/>
          <w:color w:val="auto"/>
        </w:rPr>
      </w:pPr>
    </w:p>
    <w:p>
      <w:pPr>
        <w:ind w:left="14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20" w:space="720"/>
            <w:col w:w="1800" w:space="720"/>
            <w:col w:w="3920"/>
          </w:cols>
          <w:pgMar w:left="240" w:top="1134" w:right="279" w:bottom="38" w:gutter="0" w:footer="0" w:header="0"/>
          <w:type w:val="continuous"/>
        </w:sectPr>
      </w:pPr>
    </w:p>
    <w:p>
      <w:pPr>
        <w:ind w:left="52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w:t>
      </w:r>
    </w:p>
    <w:p>
      <w:pPr>
        <w:spacing w:after="0" w:line="211" w:lineRule="exact"/>
        <w:rPr>
          <w:sz w:val="24"/>
          <w:szCs w:val="24"/>
          <w:color w:val="auto"/>
        </w:rPr>
      </w:pPr>
    </w:p>
    <w:p>
      <w:pPr>
        <w:sectPr>
          <w:pgSz w:w="11900" w:h="16838" w:orient="portrait"/>
          <w:cols w:equalWidth="0" w:num="3">
            <w:col w:w="4580" w:space="720"/>
            <w:col w:w="2080" w:space="720"/>
            <w:col w:w="3280"/>
          </w:cols>
          <w:pgMar w:left="240" w:top="1134" w:right="279" w:bottom="38" w:gutter="0" w:footer="0" w:header="0"/>
          <w:type w:val="continuous"/>
        </w:sectPr>
      </w:pP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 Emerging growth company o</w:t>
      </w:r>
    </w:p>
    <w:p>
      <w:pPr>
        <w:sectPr>
          <w:pgSz w:w="11900" w:h="16838" w:orient="portrait"/>
          <w:cols w:equalWidth="0" w:num="1">
            <w:col w:w="11380"/>
          </w:cols>
          <w:pgMar w:left="240" w:top="1134" w:right="279" w:bottom="38"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Common Stock on June 28, 2019 of $9.38 as reported on the NASDAQ National Market, was $331,097,754</w:t>
      </w:r>
      <w:r>
        <w:rPr>
          <w:rFonts w:ascii="Arial" w:cs="Arial" w:eastAsia="Arial" w:hAnsi="Arial"/>
          <w:sz w:val="18"/>
          <w:szCs w:val="18"/>
          <w:b w:val="1"/>
          <w:bCs w:val="1"/>
          <w:color w:val="auto"/>
        </w:rPr>
        <w:t>.</w:t>
      </w:r>
      <w:r>
        <w:rPr>
          <w:rFonts w:ascii="Arial" w:cs="Arial" w:eastAsia="Arial" w:hAnsi="Arial"/>
          <w:sz w:val="18"/>
          <w:szCs w:val="18"/>
          <w:color w:val="auto"/>
        </w:rPr>
        <w:t xml:space="preserve"> This calculation does not reflect a determination that persons are affiliated for any other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24, 2020, 36,859,669 shares of Common Stock, $0.0001 par value per share, were outstanding.</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right="940"/>
        <w:spacing w:after="0" w:line="342" w:lineRule="auto"/>
        <w:rPr>
          <w:sz w:val="20"/>
          <w:szCs w:val="20"/>
          <w:color w:val="auto"/>
        </w:rPr>
      </w:pPr>
      <w:r>
        <w:rPr>
          <w:rFonts w:ascii="Arial" w:cs="Arial" w:eastAsia="Arial" w:hAnsi="Arial"/>
          <w:sz w:val="16"/>
          <w:szCs w:val="16"/>
          <w:color w:val="auto"/>
        </w:rPr>
        <w:t>Portions of the Registrant’s definitive proxy statement, for the 2020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gridSpan w:val="7"/>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160" w:type="dxa"/>
            <w:vAlign w:val="bottom"/>
            <w:gridSpan w:val="6"/>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w:t>
              </w:r>
            </w:hyperlink>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16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500" w:type="dxa"/>
            <w:vAlign w:val="bottom"/>
            <w:tcBorders>
              <w:top w:val="single" w:sz="8" w:color="auto"/>
            </w:tcBorders>
          </w:tcPr>
          <w:p>
            <w:pPr>
              <w:spacing w:after="0"/>
              <w:rPr>
                <w:rFonts w:ascii="Arial" w:cs="Arial" w:eastAsia="Arial" w:hAnsi="Arial"/>
                <w:sz w:val="18"/>
                <w:szCs w:val="18"/>
                <w:color w:val="auto"/>
                <w:w w:val="83"/>
              </w:rPr>
            </w:pPr>
            <w:hyperlink w:anchor="page4">
              <w:r>
                <w:rPr>
                  <w:rFonts w:ascii="Arial" w:cs="Arial" w:eastAsia="Arial" w:hAnsi="Arial"/>
                  <w:sz w:val="18"/>
                  <w:szCs w:val="18"/>
                  <w:color w:val="auto"/>
                  <w:w w:val="83"/>
                </w:rPr>
                <w:t>Item 1.</w:t>
              </w:r>
            </w:hyperlink>
          </w:p>
        </w:tc>
        <w:tc>
          <w:tcPr>
            <w:tcW w:w="80" w:type="dxa"/>
            <w:vAlign w:val="bottom"/>
            <w:tcBorders>
              <w:top w:val="single" w:sz="8" w:color="auto"/>
            </w:tcBorders>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12">
              <w:r>
                <w:rPr>
                  <w:rFonts w:ascii="Arial" w:cs="Arial" w:eastAsia="Arial" w:hAnsi="Arial"/>
                  <w:sz w:val="18"/>
                  <w:szCs w:val="18"/>
                  <w:color w:val="auto"/>
                  <w:w w:val="80"/>
                </w:rPr>
                <w:t>Item 1A.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12">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20">
              <w:r>
                <w:rPr>
                  <w:rFonts w:ascii="Arial" w:cs="Arial" w:eastAsia="Arial" w:hAnsi="Arial"/>
                  <w:sz w:val="18"/>
                  <w:szCs w:val="18"/>
                  <w:color w:val="auto"/>
                  <w:w w:val="80"/>
                </w:rPr>
                <w:t>Item 1B.</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0">
              <w:r>
                <w:rPr>
                  <w:rFonts w:ascii="Arial" w:cs="Arial" w:eastAsia="Arial" w:hAnsi="Arial"/>
                  <w:sz w:val="18"/>
                  <w:szCs w:val="18"/>
                  <w:color w:val="auto"/>
                </w:rPr>
                <w:t>Unresolved Staff Comments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0">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1">
              <w:r>
                <w:rPr>
                  <w:rFonts w:ascii="Arial" w:cs="Arial" w:eastAsia="Arial" w:hAnsi="Arial"/>
                  <w:sz w:val="18"/>
                  <w:szCs w:val="18"/>
                  <w:color w:val="auto"/>
                  <w:w w:val="83"/>
                </w:rPr>
                <w:t>Item 2.</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1">
              <w:r>
                <w:rPr>
                  <w:rFonts w:ascii="Arial" w:cs="Arial" w:eastAsia="Arial" w:hAnsi="Arial"/>
                  <w:sz w:val="18"/>
                  <w:szCs w:val="18"/>
                  <w:color w:val="auto"/>
                </w:rPr>
                <w:t>Properties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1">
              <w:r>
                <w:rPr>
                  <w:rFonts w:ascii="Arial" w:cs="Arial" w:eastAsia="Arial" w:hAnsi="Arial"/>
                  <w:sz w:val="18"/>
                  <w:szCs w:val="18"/>
                  <w:color w:val="auto"/>
                  <w:w w:val="83"/>
                </w:rPr>
                <w:t>Item 3.</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1">
              <w:r>
                <w:rPr>
                  <w:rFonts w:ascii="Arial" w:cs="Arial" w:eastAsia="Arial" w:hAnsi="Arial"/>
                  <w:sz w:val="18"/>
                  <w:szCs w:val="18"/>
                  <w:color w:val="auto"/>
                </w:rPr>
                <w:t>Legal Proceedings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1">
              <w:r>
                <w:rPr>
                  <w:rFonts w:ascii="Arial" w:cs="Arial" w:eastAsia="Arial" w:hAnsi="Arial"/>
                  <w:sz w:val="18"/>
                  <w:szCs w:val="18"/>
                  <w:color w:val="auto"/>
                  <w:w w:val="83"/>
                </w:rPr>
                <w:t>Item 4.</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1">
              <w:r>
                <w:rPr>
                  <w:rFonts w:ascii="Arial" w:cs="Arial" w:eastAsia="Arial" w:hAnsi="Arial"/>
                  <w:sz w:val="18"/>
                  <w:szCs w:val="18"/>
                  <w:color w:val="auto"/>
                </w:rPr>
                <w:t>Mine Safety Disclosures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60" w:type="dxa"/>
            <w:vAlign w:val="bottom"/>
            <w:tcBorders>
              <w:bottom w:val="single" w:sz="8" w:color="auto"/>
            </w:tcBorders>
            <w:gridSpan w:val="3"/>
          </w:tcPr>
          <w:p>
            <w:pPr>
              <w:spacing w:after="0"/>
              <w:rPr>
                <w:rFonts w:ascii="Arial" w:cs="Arial" w:eastAsia="Arial" w:hAnsi="Arial"/>
                <w:sz w:val="18"/>
                <w:szCs w:val="18"/>
                <w:b w:val="1"/>
                <w:bCs w:val="1"/>
                <w:color w:val="auto"/>
                <w:w w:val="99"/>
              </w:rPr>
            </w:pPr>
            <w:hyperlink w:anchor="page4">
              <w:r>
                <w:rPr>
                  <w:rFonts w:ascii="Arial" w:cs="Arial" w:eastAsia="Arial" w:hAnsi="Arial"/>
                  <w:sz w:val="18"/>
                  <w:szCs w:val="18"/>
                  <w:b w:val="1"/>
                  <w:bCs w:val="1"/>
                  <w:color w:val="auto"/>
                  <w:w w:val="99"/>
                </w:rPr>
                <w:t xml:space="preserve">PART </w:t>
              </w:r>
            </w:hyperlink>
            <w:r>
              <w:rPr>
                <w:rFonts w:ascii="Arial" w:cs="Arial" w:eastAsia="Arial" w:hAnsi="Arial"/>
                <w:sz w:val="18"/>
                <w:szCs w:val="18"/>
                <w:b w:val="1"/>
                <w:bCs w:val="1"/>
                <w:color w:val="auto"/>
                <w:w w:val="99"/>
              </w:rPr>
              <w:t>II</w:t>
            </w:r>
          </w:p>
        </w:tc>
        <w:tc>
          <w:tcPr>
            <w:tcW w:w="5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1">
              <w:r>
                <w:rPr>
                  <w:rFonts w:ascii="Arial" w:cs="Arial" w:eastAsia="Arial" w:hAnsi="Arial"/>
                  <w:sz w:val="18"/>
                  <w:szCs w:val="18"/>
                  <w:color w:val="auto"/>
                  <w:w w:val="83"/>
                </w:rPr>
                <w:t>Item 5.</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1">
              <w:r>
                <w:rPr>
                  <w:rFonts w:ascii="Arial" w:cs="Arial" w:eastAsia="Arial" w:hAnsi="Arial"/>
                  <w:sz w:val="18"/>
                  <w:szCs w:val="18"/>
                  <w:color w:val="auto"/>
                </w:rPr>
                <w:t>Market for Registrant’s Common Equity, Related Stockholder Matters and Issuer Purchases of Equity Securities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2">
              <w:r>
                <w:rPr>
                  <w:rFonts w:ascii="Arial" w:cs="Arial" w:eastAsia="Arial" w:hAnsi="Arial"/>
                  <w:sz w:val="18"/>
                  <w:szCs w:val="18"/>
                  <w:color w:val="auto"/>
                  <w:w w:val="83"/>
                </w:rPr>
                <w:t>Item 6.</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2">
              <w:r>
                <w:rPr>
                  <w:rFonts w:ascii="Arial" w:cs="Arial" w:eastAsia="Arial" w:hAnsi="Arial"/>
                  <w:sz w:val="18"/>
                  <w:szCs w:val="18"/>
                  <w:color w:val="auto"/>
                </w:rPr>
                <w:t>Selected Financial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24">
              <w:r>
                <w:rPr>
                  <w:rFonts w:ascii="Arial" w:cs="Arial" w:eastAsia="Arial" w:hAnsi="Arial"/>
                  <w:sz w:val="18"/>
                  <w:szCs w:val="18"/>
                  <w:color w:val="auto"/>
                  <w:w w:val="83"/>
                </w:rPr>
                <w:t>Item 7.</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24">
              <w:r>
                <w:rPr>
                  <w:rFonts w:ascii="Arial" w:cs="Arial" w:eastAsia="Arial" w:hAnsi="Arial"/>
                  <w:sz w:val="18"/>
                  <w:szCs w:val="18"/>
                  <w:color w:val="auto"/>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39">
              <w:r>
                <w:rPr>
                  <w:rFonts w:ascii="Arial" w:cs="Arial" w:eastAsia="Arial" w:hAnsi="Arial"/>
                  <w:sz w:val="18"/>
                  <w:szCs w:val="18"/>
                  <w:color w:val="auto"/>
                  <w:w w:val="80"/>
                </w:rPr>
                <w:t>Item 7A.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39">
              <w:r>
                <w:rPr>
                  <w:rFonts w:ascii="Arial" w:cs="Arial" w:eastAsia="Arial" w:hAnsi="Arial"/>
                  <w:sz w:val="18"/>
                  <w:szCs w:val="18"/>
                  <w:color w:val="auto"/>
                  <w:w w:val="83"/>
                </w:rPr>
                <w:t>Item 8.</w:t>
              </w:r>
            </w:hyperlink>
          </w:p>
        </w:tc>
        <w:tc>
          <w:tcPr>
            <w:tcW w:w="80" w:type="dxa"/>
            <w:vAlign w:val="bottom"/>
          </w:tcPr>
          <w:p>
            <w:pPr>
              <w:spacing w:after="0"/>
              <w:rPr>
                <w:sz w:val="24"/>
                <w:szCs w:val="24"/>
                <w:color w:val="auto"/>
              </w:rPr>
            </w:pP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39">
              <w:r>
                <w:rPr>
                  <w:rFonts w:ascii="Arial" w:cs="Arial" w:eastAsia="Arial" w:hAnsi="Arial"/>
                  <w:sz w:val="18"/>
                  <w:szCs w:val="18"/>
                  <w:color w:val="auto"/>
                </w:rPr>
                <w:t>Financial Statements and Supplementary Data</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rFonts w:ascii="Arial" w:cs="Arial" w:eastAsia="Arial" w:hAnsi="Arial"/>
                <w:sz w:val="18"/>
                <w:szCs w:val="18"/>
                <w:color w:val="auto"/>
                <w:w w:val="83"/>
              </w:rPr>
            </w:pPr>
            <w:hyperlink w:anchor="page39">
              <w:r>
                <w:rPr>
                  <w:rFonts w:ascii="Arial" w:cs="Arial" w:eastAsia="Arial" w:hAnsi="Arial"/>
                  <w:sz w:val="18"/>
                  <w:szCs w:val="18"/>
                  <w:color w:val="auto"/>
                  <w:w w:val="83"/>
                </w:rPr>
                <w:t>Item 9.</w:t>
              </w:r>
            </w:hyperlink>
          </w:p>
        </w:tc>
        <w:tc>
          <w:tcPr>
            <w:tcW w:w="660" w:type="dxa"/>
            <w:vAlign w:val="bottom"/>
            <w:gridSpan w:val="5"/>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39">
              <w:r>
                <w:rPr>
                  <w:rFonts w:ascii="Arial" w:cs="Arial" w:eastAsia="Arial" w:hAnsi="Arial"/>
                  <w:sz w:val="18"/>
                  <w:szCs w:val="18"/>
                  <w:color w:val="auto"/>
                </w:rPr>
                <w:t>Changes in and Disagreements with Accountants on Accounting and Financial Disclosure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0">
              <w:r>
                <w:rPr>
                  <w:rFonts w:ascii="Arial" w:cs="Arial" w:eastAsia="Arial" w:hAnsi="Arial"/>
                  <w:sz w:val="18"/>
                  <w:szCs w:val="18"/>
                  <w:color w:val="auto"/>
                  <w:w w:val="80"/>
                </w:rPr>
                <w:t>Item 9A.</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0">
              <w:r>
                <w:rPr>
                  <w:rFonts w:ascii="Arial" w:cs="Arial" w:eastAsia="Arial" w:hAnsi="Arial"/>
                  <w:sz w:val="18"/>
                  <w:szCs w:val="18"/>
                  <w:color w:val="auto"/>
                </w:rPr>
                <w:t>Controls and Procedures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0"/>
              </w:rPr>
            </w:pPr>
            <w:hyperlink w:anchor="page42">
              <w:r>
                <w:rPr>
                  <w:rFonts w:ascii="Arial" w:cs="Arial" w:eastAsia="Arial" w:hAnsi="Arial"/>
                  <w:sz w:val="18"/>
                  <w:szCs w:val="18"/>
                  <w:color w:val="auto"/>
                  <w:w w:val="80"/>
                </w:rPr>
                <w:t>Item 9B.</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2">
              <w:r>
                <w:rPr>
                  <w:rFonts w:ascii="Arial" w:cs="Arial" w:eastAsia="Arial" w:hAnsi="Arial"/>
                  <w:sz w:val="18"/>
                  <w:szCs w:val="18"/>
                  <w:color w:val="auto"/>
                </w:rPr>
                <w:t>Other Information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auto"/>
            </w:tcBorders>
            <w:gridSpan w:val="5"/>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III</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2">
              <w:r>
                <w:rPr>
                  <w:rFonts w:ascii="Arial" w:cs="Arial" w:eastAsia="Arial" w:hAnsi="Arial"/>
                  <w:sz w:val="18"/>
                  <w:szCs w:val="18"/>
                  <w:color w:val="auto"/>
                  <w:w w:val="82"/>
                </w:rPr>
                <w:t>Item 10.</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2">
              <w:r>
                <w:rPr>
                  <w:rFonts w:ascii="Arial" w:cs="Arial" w:eastAsia="Arial" w:hAnsi="Arial"/>
                  <w:sz w:val="18"/>
                  <w:szCs w:val="18"/>
                  <w:color w:val="auto"/>
                </w:rPr>
                <w:t>Directors, Executive Officers and Corporate Governance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2">
              <w:r>
                <w:rPr>
                  <w:rFonts w:ascii="Arial" w:cs="Arial" w:eastAsia="Arial" w:hAnsi="Arial"/>
                  <w:sz w:val="18"/>
                  <w:szCs w:val="18"/>
                  <w:color w:val="auto"/>
                  <w:w w:val="82"/>
                </w:rPr>
                <w:t>Item 11.</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2">
              <w:r>
                <w:rPr>
                  <w:rFonts w:ascii="Arial" w:cs="Arial" w:eastAsia="Arial" w:hAnsi="Arial"/>
                  <w:sz w:val="18"/>
                  <w:szCs w:val="18"/>
                  <w:color w:val="auto"/>
                </w:rPr>
                <w:t>Executive Compensation</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2">
              <w:r>
                <w:rPr>
                  <w:rFonts w:ascii="Arial" w:cs="Arial" w:eastAsia="Arial" w:hAnsi="Arial"/>
                  <w:sz w:val="18"/>
                  <w:szCs w:val="18"/>
                  <w:color w:val="auto"/>
                  <w:w w:val="82"/>
                </w:rPr>
                <w:t>Item 12.</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2">
              <w:r>
                <w:rPr>
                  <w:rFonts w:ascii="Arial" w:cs="Arial" w:eastAsia="Arial" w:hAnsi="Arial"/>
                  <w:sz w:val="18"/>
                  <w:szCs w:val="18"/>
                  <w:color w:val="auto"/>
                </w:rPr>
                <w:t>Security Ownership of Certain Beneficial Owners and Management and Related Stockholders Matters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2">
              <w:r>
                <w:rPr>
                  <w:rFonts w:ascii="Arial" w:cs="Arial" w:eastAsia="Arial" w:hAnsi="Arial"/>
                  <w:sz w:val="18"/>
                  <w:szCs w:val="18"/>
                  <w:color w:val="auto"/>
                  <w:w w:val="82"/>
                </w:rPr>
                <w:t>Item 13.</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2">
              <w:r>
                <w:rPr>
                  <w:rFonts w:ascii="Arial" w:cs="Arial" w:eastAsia="Arial" w:hAnsi="Arial"/>
                  <w:sz w:val="18"/>
                  <w:szCs w:val="18"/>
                  <w:color w:val="auto"/>
                </w:rPr>
                <w:t>Certain Relationships and Related Transactions, and Director Independence</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3">
              <w:r>
                <w:rPr>
                  <w:rFonts w:ascii="Arial" w:cs="Arial" w:eastAsia="Arial" w:hAnsi="Arial"/>
                  <w:sz w:val="18"/>
                  <w:szCs w:val="18"/>
                  <w:color w:val="auto"/>
                  <w:w w:val="82"/>
                </w:rPr>
                <w:t>Item 14.</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3">
              <w:r>
                <w:rPr>
                  <w:rFonts w:ascii="Arial" w:cs="Arial" w:eastAsia="Arial" w:hAnsi="Arial"/>
                  <w:sz w:val="18"/>
                  <w:szCs w:val="18"/>
                  <w:color w:val="auto"/>
                </w:rPr>
                <w:t>Principal Accountant Fees and Services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tcBorders>
              <w:bottom w:val="single" w:sz="8" w:color="auto"/>
            </w:tcBorders>
            <w:gridSpan w:val="4"/>
          </w:tcPr>
          <w:p>
            <w:pPr>
              <w:spacing w:after="0"/>
              <w:rPr>
                <w:rFonts w:ascii="Arial" w:cs="Arial" w:eastAsia="Arial" w:hAnsi="Arial"/>
                <w:sz w:val="18"/>
                <w:szCs w:val="18"/>
                <w:b w:val="1"/>
                <w:bCs w:val="1"/>
                <w:color w:val="auto"/>
                <w:w w:val="98"/>
              </w:rPr>
            </w:pPr>
            <w:hyperlink w:anchor="page44">
              <w:r>
                <w:rPr>
                  <w:rFonts w:ascii="Arial" w:cs="Arial" w:eastAsia="Arial" w:hAnsi="Arial"/>
                  <w:sz w:val="18"/>
                  <w:szCs w:val="18"/>
                  <w:b w:val="1"/>
                  <w:bCs w:val="1"/>
                  <w:color w:val="auto"/>
                  <w:w w:val="98"/>
                </w:rPr>
                <w:t>PART IV</w:t>
              </w:r>
            </w:hyperlink>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80" w:type="dxa"/>
            <w:vAlign w:val="bottom"/>
            <w:gridSpan w:val="2"/>
          </w:tcPr>
          <w:p>
            <w:pPr>
              <w:spacing w:after="0"/>
              <w:rPr>
                <w:rFonts w:ascii="Arial" w:cs="Arial" w:eastAsia="Arial" w:hAnsi="Arial"/>
                <w:sz w:val="18"/>
                <w:szCs w:val="18"/>
                <w:color w:val="auto"/>
                <w:w w:val="82"/>
              </w:rPr>
            </w:pPr>
            <w:hyperlink w:anchor="page44">
              <w:r>
                <w:rPr>
                  <w:rFonts w:ascii="Arial" w:cs="Arial" w:eastAsia="Arial" w:hAnsi="Arial"/>
                  <w:sz w:val="18"/>
                  <w:szCs w:val="18"/>
                  <w:color w:val="auto"/>
                  <w:w w:val="82"/>
                </w:rPr>
                <w:t>Item 15.</w:t>
              </w:r>
            </w:hyperlink>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4">
              <w:r>
                <w:rPr>
                  <w:rFonts w:ascii="Arial" w:cs="Arial" w:eastAsia="Arial" w:hAnsi="Arial"/>
                  <w:sz w:val="18"/>
                  <w:szCs w:val="18"/>
                  <w:color w:val="auto"/>
                </w:rPr>
                <w:t>Exhibits, Financial Statement Schedules</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60" w:type="dxa"/>
            <w:vAlign w:val="bottom"/>
            <w:gridSpan w:val="5"/>
            <w:shd w:val="clear" w:color="auto" w:fill="000000"/>
          </w:tcPr>
          <w:p>
            <w:pPr>
              <w:spacing w:after="0" w:line="20" w:lineRule="exact"/>
              <w:rPr>
                <w:sz w:val="1"/>
                <w:szCs w:val="1"/>
                <w:color w:val="auto"/>
              </w:rPr>
            </w:pPr>
          </w:p>
        </w:tc>
        <w:tc>
          <w:tcPr>
            <w:tcW w:w="64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gridSpan w:val="2"/>
          </w:tcPr>
          <w:p>
            <w:pPr>
              <w:spacing w:after="0"/>
              <w:rPr>
                <w:sz w:val="20"/>
                <w:szCs w:val="20"/>
                <w:color w:val="auto"/>
              </w:rPr>
            </w:pPr>
            <w:r>
              <w:rPr>
                <w:rFonts w:ascii="Arial" w:cs="Arial" w:eastAsia="Arial" w:hAnsi="Arial"/>
                <w:sz w:val="18"/>
                <w:szCs w:val="18"/>
                <w:color w:val="auto"/>
                <w:w w:val="82"/>
              </w:rPr>
              <w:t>Item 16.</w:t>
            </w:r>
          </w:p>
        </w:tc>
        <w:tc>
          <w:tcPr>
            <w:tcW w:w="580" w:type="dxa"/>
            <w:vAlign w:val="bottom"/>
            <w:gridSpan w:val="4"/>
          </w:tcPr>
          <w:p>
            <w:pPr>
              <w:spacing w:after="0"/>
              <w:rPr>
                <w:sz w:val="24"/>
                <w:szCs w:val="24"/>
                <w:color w:val="auto"/>
              </w:rPr>
            </w:pPr>
          </w:p>
        </w:tc>
        <w:tc>
          <w:tcPr>
            <w:tcW w:w="9420" w:type="dxa"/>
            <w:vAlign w:val="bottom"/>
            <w:gridSpan w:val="19"/>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Form 10-K Summary</w:t>
              </w:r>
            </w:hyperlink>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6"/>
          </w:tcPr>
          <w:p>
            <w:pPr>
              <w:spacing w:after="0"/>
              <w:rPr>
                <w:rFonts w:ascii="Arial" w:cs="Arial" w:eastAsia="Arial" w:hAnsi="Arial"/>
                <w:sz w:val="18"/>
                <w:szCs w:val="18"/>
                <w:b w:val="1"/>
                <w:bCs w:val="1"/>
                <w:color w:val="auto"/>
                <w:w w:val="96"/>
              </w:rPr>
            </w:pPr>
            <w:hyperlink w:anchor="page49">
              <w:r>
                <w:rPr>
                  <w:rFonts w:ascii="Arial" w:cs="Arial" w:eastAsia="Arial" w:hAnsi="Arial"/>
                  <w:sz w:val="18"/>
                  <w:szCs w:val="18"/>
                  <w:b w:val="1"/>
                  <w:bCs w:val="1"/>
                  <w:color w:val="auto"/>
                  <w:w w:val="96"/>
                </w:rPr>
                <w:t>SIGNATURES</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references to “we,” “us,” “our,” "the Company," or “Cross Country” in this Report on Form 10-K means Cross Country Healthcare, Inc., its subsidiaries and affiliates.</w:t>
      </w:r>
    </w:p>
    <w:p>
      <w:pPr>
        <w:sectPr>
          <w:pgSz w:w="11900" w:h="16838" w:orient="portrait"/>
          <w:cols w:equalWidth="0" w:num="1">
            <w:col w:w="11420"/>
          </w:cols>
          <w:pgMar w:left="240" w:top="769" w:right="239" w:bottom="437"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2020.</w:t>
      </w:r>
    </w:p>
    <w:p>
      <w:pPr>
        <w:spacing w:after="0" w:line="18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10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Cross Country Healthcare, Inc. (NASDAQ: CCRN) is a leader in providing total talent management, including strategic workforce solutions, contingent staffing, permanent placement and other consultative services for healthcare clients. We recruit and place highly qualified healthcare professionals in virtually every specialty and area of expertise.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office locations, we are able to place clinicians on travel and per diem assignments, local short-term contracts and permanent positions. By utilizing our various solutions, clients are able to better plan their personnel needs, talent acquisition and management processes, strategically flex and balance their workforce, access quality healthcare personnel, and provide continuity of care for improved patient outcomes.</w:t>
      </w:r>
    </w:p>
    <w:p>
      <w:pPr>
        <w:spacing w:after="0" w:line="3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2019, we executed multiple initiatives to enhance our position as a leading, consultative, and strategic partner in the healthcare industry. Some of our key focus areas included personalizing the candidate experience, delivering a superior client experience, infusing technology-enablement to drive efficiencies and increased productivity, and continuing our commitment to clinical excellence.</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2019, we moved to a more cohesive brand strategy centered around “Cross Country” and we simplified our organizational structure to streamline our processes and create more efficiencies - all to align our services to better meet the needs of our clients and healthcare professionals.</w:t>
      </w:r>
    </w:p>
    <w:p>
      <w:pPr>
        <w:spacing w:after="0" w:line="4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Through a combination of our national reach and industry leading local presence in key markets, we are able to place clinical and non-clinical professionals across a diverse customer base. We continue to assess our in-market presence and strategically position ourselves locally based upon the needs of our client base, to gain access to quality local talent, and the ability to be active within the communities our clients serve. We believe a strategic in-market footprint provides a unique value proposition to clients as we are able to offer them a high-touch, consultative based approach to understanding the market at the local level. As candidate engagement continues to evolve, including expanding technology capabilities and increased reliance on mobile use, we continue to strategically assess certain of our branch locations and the value of creating regional hubs. In September 2019, Staffing Industry Analysts reported that Cross Country Healthcare was the second largest per diem staffing company in the U.S. The acquisitions of New Mediscan II, LLC, Mediscan Diagnostic Services, LLC, and Mediscan Nursing Staffing, LLC (collectively Mediscan) in 2015, Advantage RN, LLC (Advantage) in 2017, and American Personnel, Inc. (AP Staffing) in 2018 expanded our recruiting capabilities and supply of nursing and allied professionals who desire to be engaged on a travel, per diem and/or permanent basis throughout the course of their careers.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9" w:right="239" w:bottom="1440" w:gutter="0" w:footer="0" w:header="0"/>
        </w:sectPr>
      </w:pPr>
    </w:p>
    <w:bookmarkStart w:id="4" w:name="page5"/>
    <w:bookmarkEnd w:id="4"/>
    <w:p>
      <w:pPr>
        <w:ind w:right="20"/>
        <w:spacing w:after="0" w:line="279" w:lineRule="auto"/>
        <w:rPr>
          <w:sz w:val="20"/>
          <w:szCs w:val="20"/>
          <w:color w:val="auto"/>
        </w:rPr>
      </w:pPr>
      <w:r>
        <w:rPr>
          <w:rFonts w:ascii="Arial" w:cs="Arial" w:eastAsia="Arial" w:hAnsi="Arial"/>
          <w:sz w:val="17"/>
          <w:szCs w:val="17"/>
          <w:color w:val="auto"/>
        </w:rPr>
        <w:t>Late in 2018, we began a project to replace the applicant tracking system of our Nurse and Allied Staffing business to improve our candidate experience and be more efficient. In the fourth quarter of 2019 we successfully launched our first iteration in a smaller business unit of our Nurse and Allied Staffing business, and we are on schedule to launch this product across the broader division in 2020. This technology is designed to modernize the way we operate and improve the productivity and effectiveness of our delivery teams while improving the experience of our candidates.</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have made continuous investments in expanding our technology capabilities both on the candidate engagement and client facing fronts. As part of our growth strategy, we will continue to optimize technologies by developing, evaluating, implementing, and integrating technologies. We are making investments in enhanced technologies including programmatic advertising, recruitment and candidate nurturing tools, market analytics, mobile applications and self-serve capabilities, social media, and other technology which we believe will enhance our recruiting capabilities.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our strategy will allow us to improve shareholder value by deepening our relationship with current customers and healthcare professionals, expanding the number and types of new customers we serve, growing the supply and types of specialties of our healthcare professionals, improving our operating leverage through growth and cost containment, and strengthening and broadening our market presence. This will require our continued focus on: (i) providing our workforce solutions offerings to new clients; (ii) expanding the services we provide to our current clients; (iii) further diversifying our customer base; (iv) improving our capture rate at current MSP customers; (v) accessing more candidates; and (vi) continuing to modernize our technologies and processes to optimize our relationships with our healthcare professionals and clients.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successfully execute our business strategy, we will rely on our experienced and focused executive and operational teams. Our executive team has extensive experience in the staffing, workforce solutions, technology services, and healthcare industries. We also foster a culture of performance, talented leadership and collegiality that promotes the achievement of both company and personal goals. As a multi-year Best of Staffing® Award winner, the Company is committed to excellence in its delivery of services and was the first public company to earn The Joint Commission Gold Seal of Approval® for Health Care Staffing Services Certification with Distinction. Additionally, our President and CEO, as well as our Executive Vice President of Operations, have been named to the Staffing Industry Analysts’ Staffing 100 List of the most notable leaders in the industry, and two other executives were recently included on Staffing Industry Analysts’ Global Power 150 - Women in Staffing List that recognizes the 100 most influential women in the Americas and 50 additional women internationally.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growth strategy integrates corporate social responsibility. During 2019, the Company partnered with a local nursing college and donated funds to this institution to support the education of nurses, a key part of the Company's business. This investment in a community based institution serves to improve the long-term supply of nurses, and enhances the Company’s reputational value to healthcare professionals, the community and its customers. During the year, the Company also engaged in other investments in its community, such as its participation in Light the Night benefiting the Leukemia and Lymphoma Society, providing sponsorships for various healthcare research and funding initiatives, as well as working as a team on other fundraising efforts for charities such as March of Dimes, American Red Cross, Humane Society, Make a Wish Foundation, and Ronald McDonald House. Our employees are at the heart of our success as a business and these investments allow us to attract and develop an increasingly engaged and diverse workforce. These investments contribute to the sustainability of our business by enhancing our culture, our brand, and our reputation among our employees, our healthcare professionals and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provide our services on a national level or through any one of our 59 local branches throughout the United States or through a combination of both.</w:t>
      </w:r>
    </w:p>
    <w:p>
      <w:pPr>
        <w:spacing w:after="0" w:line="1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solutions are geared towards assisting our clients in maintaining high quality outcomes by addressing their healthcare workforce needs. We are increasingly being called upon by our clients to provide more creative and strategic talent sourcing strategies across their continuum of care. Over the past several years, our workforce solutions have evolved into a total talent management relationship as our clients continue to focus on improving their total labor management to address complex financial, compliance, and other challenges in the healthcare industry. As part of the evolution of our services, we continue to consider the following: (i) solving the immediate and future needs of our customers and expanding our relationships with them; (ii) enhancing our network of healthcare professionals, improving their experience, and deepening our relationship with them; (iii) expanding our service offerings to reduce sensitivity to economic cycles; (iv) expanding our expertise with various healthcare solutions in various geographic areas of the U.S.; (v) continuing to diversify our client base to enhance our long-</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89" w:right="239" w:bottom="1440" w:gutter="0" w:footer="0" w:header="0"/>
        </w:sectPr>
      </w:pPr>
    </w:p>
    <w:bookmarkStart w:id="5" w:name="page6"/>
    <w:bookmarkEnd w:id="5"/>
    <w:p>
      <w:pPr>
        <w:ind w:right="140"/>
        <w:spacing w:after="0" w:line="277" w:lineRule="auto"/>
        <w:rPr>
          <w:sz w:val="20"/>
          <w:szCs w:val="20"/>
          <w:color w:val="auto"/>
        </w:rPr>
      </w:pPr>
      <w:r>
        <w:rPr>
          <w:rFonts w:ascii="Arial" w:cs="Arial" w:eastAsia="Arial" w:hAnsi="Arial"/>
          <w:sz w:val="18"/>
          <w:szCs w:val="18"/>
          <w:color w:val="auto"/>
        </w:rPr>
        <w:t>term business prospects; and (vi) enhancing and expanding our technology capabilities to deliver efficient and automated services to both our customers and healthcare clients. Today, our workforce solutions include:</w:t>
      </w:r>
    </w:p>
    <w:p>
      <w:pPr>
        <w:spacing w:after="0" w:line="85" w:lineRule="exact"/>
        <w:rPr>
          <w:sz w:val="20"/>
          <w:szCs w:val="20"/>
          <w:color w:val="auto"/>
        </w:rPr>
      </w:pPr>
    </w:p>
    <w:p>
      <w:pPr>
        <w:ind w:left="1300" w:right="80" w:hanging="644"/>
        <w:spacing w:after="0" w:line="269"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Managed Service Programs (MSPs). </w:t>
      </w:r>
      <w:r>
        <w:rPr>
          <w:rFonts w:ascii="Arial" w:cs="Arial" w:eastAsia="Arial" w:hAnsi="Arial"/>
          <w:sz w:val="17"/>
          <w:szCs w:val="17"/>
          <w:color w:val="auto"/>
        </w:rPr>
        <w:t>Healthcare organizations continue to adopt centralized, outsourced models for managing contingent</w:t>
      </w:r>
      <w:r>
        <w:rPr>
          <w:rFonts w:ascii="Arial" w:cs="Arial" w:eastAsia="Arial" w:hAnsi="Arial"/>
          <w:sz w:val="17"/>
          <w:szCs w:val="17"/>
          <w:b w:val="1"/>
          <w:bCs w:val="1"/>
          <w:color w:val="auto"/>
        </w:rPr>
        <w:t xml:space="preserve"> </w:t>
      </w:r>
      <w:r>
        <w:rPr>
          <w:rFonts w:ascii="Arial" w:cs="Arial" w:eastAsia="Arial" w:hAnsi="Arial"/>
          <w:sz w:val="17"/>
          <w:szCs w:val="17"/>
          <w:color w:val="auto"/>
        </w:rPr>
        <w:t>labor for both clinical and non-clinical needs. We have been a market leader in this area since launching our first MSP in 2003, an account we continue to serve today. Over the past 16 years, we have grown our relationships, matured the generational models of MSPs, and today service more than 70 clients across more than 700 facilities, with estimated spend under management of approximately $450 million annually. The benefits to our clients not only include reduced costs and increased visibility into their labor needs and usage, but they gain access and insight from our industry expertise on a broad range of topics.</w:t>
      </w:r>
    </w:p>
    <w:p>
      <w:pPr>
        <w:ind w:left="1300" w:right="120"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Optimal Workforce Solutions (OWS). </w:t>
      </w:r>
      <w:r>
        <w:rPr>
          <w:rFonts w:ascii="Arial" w:cs="Arial" w:eastAsia="Arial" w:hAnsi="Arial"/>
          <w:sz w:val="18"/>
          <w:szCs w:val="18"/>
          <w:color w:val="auto"/>
        </w:rPr>
        <w:t>We provide fully outsourced services to large hospital systems managing healthcare professionals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specific departments and/or divisions on their behalf.</w:t>
      </w:r>
    </w:p>
    <w:p>
      <w:pPr>
        <w:jc w:val="both"/>
        <w:ind w:left="1300" w:right="20" w:hanging="644"/>
        <w:spacing w:after="0" w:line="25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Internal Resource Pool Consulting &amp; Development (IRP). </w:t>
      </w:r>
      <w:r>
        <w:rPr>
          <w:rFonts w:ascii="Arial" w:cs="Arial" w:eastAsia="Arial" w:hAnsi="Arial"/>
          <w:sz w:val="18"/>
          <w:szCs w:val="18"/>
          <w:color w:val="auto"/>
        </w:rPr>
        <w:t>We strategically partner with our clients to design and deploy, administer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 an IRP or to optimize an existing IRP to create efficiencies, patient care, and cost effectiveness by balancing their workforce mix to meet their current needs.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Recruitment Process Outsourcing (RPO). </w:t>
      </w:r>
      <w:r>
        <w:rPr>
          <w:rFonts w:ascii="Arial" w:cs="Arial" w:eastAsia="Arial" w:hAnsi="Arial"/>
          <w:sz w:val="16"/>
          <w:szCs w:val="16"/>
          <w:color w:val="auto"/>
        </w:rPr>
        <w:t>Our RPO services are delivered to healthcare organizations throughout the country and serve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creative, cost and operationally efficient hiring support and labor optimization, which leads to improvements in quality of care.</w:t>
      </w:r>
    </w:p>
    <w:p>
      <w:pPr>
        <w:spacing w:after="0" w:line="1" w:lineRule="exact"/>
        <w:rPr>
          <w:rFonts w:ascii="Arial" w:cs="Arial" w:eastAsia="Arial" w:hAnsi="Arial"/>
          <w:sz w:val="16"/>
          <w:szCs w:val="16"/>
          <w:color w:val="auto"/>
        </w:rPr>
      </w:pPr>
    </w:p>
    <w:p>
      <w:pPr>
        <w:jc w:val="both"/>
        <w:ind w:left="1300" w:hanging="644"/>
        <w:spacing w:after="0" w:line="277"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Electronic Medical Record Transition Staffing (EMR). </w:t>
      </w:r>
      <w:r>
        <w:rPr>
          <w:rFonts w:ascii="Arial" w:cs="Arial" w:eastAsia="Arial" w:hAnsi="Arial"/>
          <w:sz w:val="17"/>
          <w:szCs w:val="17"/>
          <w:color w:val="auto"/>
        </w:rPr>
        <w:t>As healthcare facilities continue to enhance and optimize their electronic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record technology, we provide comprehensive project management, a deployment of a full staffing plan and ultimately an organized volume of quality healthcare professionals during the process so that our clients may continue to deliver quality care.</w:t>
      </w:r>
    </w:p>
    <w:p>
      <w:pPr>
        <w:spacing w:after="0" w:line="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business consists of three business segments: (i) Nurse and Allied Staffing; (ii) Physician Staffing; and (iii) Search. Fees for our services are paid directly by our clients and in certain instances by supplier partners and, as a result, we have no direct exposure to Medicare or Medicaid reimbursements. For additional financial information concerning our business segments, see Note 17 - Segment Data to the consolidated financial statements. Through our business segments, we provide our healthcare clients with a wide range of workforce solutions as described above and staffing services as set forth below.</w:t>
      </w:r>
    </w:p>
    <w:p>
      <w:pPr>
        <w:spacing w:after="0" w:line="150" w:lineRule="exact"/>
        <w:rPr>
          <w:sz w:val="20"/>
          <w:szCs w:val="20"/>
          <w:color w:val="auto"/>
        </w:rPr>
      </w:pPr>
    </w:p>
    <w:p>
      <w:pPr>
        <w:ind w:left="660" w:right="40" w:hanging="328"/>
        <w:spacing w:after="0" w:line="261"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Nursing and Allied Staffing. </w:t>
      </w:r>
      <w:r>
        <w:rPr>
          <w:rFonts w:ascii="Arial" w:cs="Arial" w:eastAsia="Arial" w:hAnsi="Arial"/>
          <w:sz w:val="16"/>
          <w:szCs w:val="16"/>
          <w:color w:val="auto"/>
        </w:rPr>
        <w:t>The Nurse and Allied Staffing segment provides workforce solutions and traditional staffing, including temporary and</w:t>
      </w:r>
      <w:r>
        <w:rPr>
          <w:rFonts w:ascii="Arial" w:cs="Arial" w:eastAsia="Arial" w:hAnsi="Arial"/>
          <w:sz w:val="16"/>
          <w:szCs w:val="16"/>
          <w:b w:val="1"/>
          <w:bCs w:val="1"/>
          <w:color w:val="auto"/>
        </w:rPr>
        <w:t xml:space="preserve"> </w:t>
      </w:r>
      <w:r>
        <w:rPr>
          <w:rFonts w:ascii="Arial" w:cs="Arial" w:eastAsia="Arial" w:hAnsi="Arial"/>
          <w:sz w:val="16"/>
          <w:szCs w:val="16"/>
          <w:color w:val="auto"/>
        </w:rPr>
        <w:t>permanent placement of travel nurses and allied professionals, as well as per diem and contract nurses and allied personnel. We also staff healthcare personnel and substitute teachers in public and charter schools. We provide flexible workforce solutions to our healthcare clients through diversified offerings designed to meet their unique needs, including: MSP, OWS, RPO, IRP, EMR and consulting services. We market our services to hospitals and other customers, as well as reach out to our healthcare professionals through our Cross Country Nurses</w:t>
      </w:r>
      <w:r>
        <w:rPr>
          <w:rFonts w:ascii="Arial" w:cs="Arial" w:eastAsia="Arial" w:hAnsi="Arial"/>
          <w:sz w:val="22"/>
          <w:szCs w:val="22"/>
          <w:color w:val="auto"/>
          <w:vertAlign w:val="superscript"/>
        </w:rPr>
        <w:t>®</w:t>
      </w:r>
      <w:r>
        <w:rPr>
          <w:rFonts w:ascii="Arial" w:cs="Arial" w:eastAsia="Arial" w:hAnsi="Arial"/>
          <w:sz w:val="16"/>
          <w:szCs w:val="16"/>
          <w:color w:val="auto"/>
        </w:rPr>
        <w:t>, Cross Country Allied</w:t>
      </w:r>
      <w:r>
        <w:rPr>
          <w:rFonts w:ascii="Arial" w:cs="Arial" w:eastAsia="Arial" w:hAnsi="Arial"/>
          <w:sz w:val="22"/>
          <w:szCs w:val="22"/>
          <w:color w:val="auto"/>
          <w:vertAlign w:val="superscript"/>
        </w:rPr>
        <w:t>®</w:t>
      </w:r>
      <w:r>
        <w:rPr>
          <w:rFonts w:ascii="Arial" w:cs="Arial" w:eastAsia="Arial" w:hAnsi="Arial"/>
          <w:sz w:val="16"/>
          <w:szCs w:val="16"/>
          <w:color w:val="auto"/>
        </w:rPr>
        <w:t>, Cross Country Medical Staffing Network</w:t>
      </w:r>
      <w:r>
        <w:rPr>
          <w:rFonts w:ascii="Arial" w:cs="Arial" w:eastAsia="Arial" w:hAnsi="Arial"/>
          <w:sz w:val="22"/>
          <w:szCs w:val="22"/>
          <w:color w:val="auto"/>
          <w:vertAlign w:val="superscript"/>
        </w:rPr>
        <w:t>®</w:t>
      </w:r>
      <w:r>
        <w:rPr>
          <w:rFonts w:ascii="Arial" w:cs="Arial" w:eastAsia="Arial" w:hAnsi="Arial"/>
          <w:sz w:val="16"/>
          <w:szCs w:val="16"/>
          <w:color w:val="auto"/>
        </w:rPr>
        <w:t>, Cross Country Workforce Solutions</w:t>
      </w:r>
      <w:r>
        <w:rPr>
          <w:rFonts w:ascii="Arial" w:cs="Arial" w:eastAsia="Arial" w:hAnsi="Arial"/>
          <w:sz w:val="22"/>
          <w:szCs w:val="22"/>
          <w:color w:val="auto"/>
          <w:vertAlign w:val="superscript"/>
        </w:rPr>
        <w:t>®</w:t>
      </w:r>
      <w:r>
        <w:rPr>
          <w:rFonts w:ascii="Arial" w:cs="Arial" w:eastAsia="Arial" w:hAnsi="Arial"/>
          <w:sz w:val="16"/>
          <w:szCs w:val="16"/>
          <w:color w:val="auto"/>
        </w:rPr>
        <w:t>, and Cross Country Education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Our Nurse and Allied Staffing revenue and contribution income is set forth in Note 18 - Segment Data to the consolidated financial statements.</w:t>
      </w:r>
    </w:p>
    <w:p>
      <w:pPr>
        <w:spacing w:after="0" w:line="101" w:lineRule="exact"/>
        <w:rPr>
          <w:rFonts w:ascii="Arial" w:cs="Arial" w:eastAsia="Arial" w:hAnsi="Arial"/>
          <w:sz w:val="16"/>
          <w:szCs w:val="16"/>
          <w:b w:val="1"/>
          <w:bCs w:val="1"/>
          <w:color w:val="auto"/>
        </w:rPr>
      </w:pPr>
    </w:p>
    <w:p>
      <w:pPr>
        <w:ind w:left="660" w:right="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A majority of our revenue is generated from staffing registered nurses on long-term contract assignments (typically 13 weeks in length) at hospitals and health systems using various brands. Additionally, we offer a short-term staffing solution of registered nurses, licensed practical nurses, certified nurse assistants, advanced practitioners, pharmacists, and more than 100 specialties of allied professionals on local per diem and short-term assignments in a variety of clinical and non-clinical settings through our national network of local branch offices. We also provide travel allied professionals on long-term contract assignments to hospitals, public and charter schools, and skilled nursing facilities.</w:t>
      </w:r>
    </w:p>
    <w:p>
      <w:pPr>
        <w:spacing w:after="0" w:line="87" w:lineRule="exact"/>
        <w:rPr>
          <w:rFonts w:ascii="Arial" w:cs="Arial" w:eastAsia="Arial" w:hAnsi="Arial"/>
          <w:sz w:val="16"/>
          <w:szCs w:val="16"/>
          <w:b w:val="1"/>
          <w:bCs w:val="1"/>
          <w:color w:val="auto"/>
        </w:rPr>
      </w:pPr>
    </w:p>
    <w:p>
      <w:pPr>
        <w:ind w:left="660" w:hanging="328"/>
        <w:spacing w:after="0" w:line="27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Physician Staffing. </w:t>
      </w:r>
      <w:r>
        <w:rPr>
          <w:rFonts w:ascii="Arial" w:cs="Arial" w:eastAsia="Arial" w:hAnsi="Arial"/>
          <w:sz w:val="16"/>
          <w:szCs w:val="16"/>
          <w:color w:val="auto"/>
        </w:rPr>
        <w:t>We provide Physician Staffing service in many specialties, certified registered nurse anesthetists (CRNAs), nurse practitioners</w:t>
      </w:r>
      <w:r>
        <w:rPr>
          <w:rFonts w:ascii="Arial" w:cs="Arial" w:eastAsia="Arial" w:hAnsi="Arial"/>
          <w:sz w:val="16"/>
          <w:szCs w:val="16"/>
          <w:b w:val="1"/>
          <w:bCs w:val="1"/>
          <w:color w:val="auto"/>
        </w:rPr>
        <w:t xml:space="preserve"> </w:t>
      </w:r>
      <w:r>
        <w:rPr>
          <w:rFonts w:ascii="Arial" w:cs="Arial" w:eastAsia="Arial" w:hAnsi="Arial"/>
          <w:sz w:val="16"/>
          <w:szCs w:val="16"/>
          <w:color w:val="auto"/>
        </w:rPr>
        <w:t>(NPs), and physician assistants (PAs) under our Cross Country Locums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as independent contractors on temporary assignments throughout the United States at various healthcare facilities, such as acute and non-acute care facilities, medical group practices, government facilities, and managed care organizations. We recruit these professionals nationally and place them on assignments varying in length from several days up to one year. Our Physician Staffing revenue and contribution income is set forth in Note 17 - Segment Data to the consolidated financial statements.</w:t>
      </w:r>
    </w:p>
    <w:p>
      <w:pPr>
        <w:spacing w:after="0" w:line="94" w:lineRule="exact"/>
        <w:rPr>
          <w:rFonts w:ascii="Arial" w:cs="Arial" w:eastAsia="Arial" w:hAnsi="Arial"/>
          <w:sz w:val="16"/>
          <w:szCs w:val="16"/>
          <w:b w:val="1"/>
          <w:bCs w:val="1"/>
          <w:color w:val="auto"/>
        </w:rPr>
      </w:pPr>
    </w:p>
    <w:p>
      <w:pPr>
        <w:ind w:left="660" w:right="200" w:hanging="328"/>
        <w:spacing w:after="0" w:line="308"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Search. </w:t>
      </w:r>
      <w:r>
        <w:rPr>
          <w:rFonts w:ascii="Arial" w:cs="Arial" w:eastAsia="Arial" w:hAnsi="Arial"/>
          <w:sz w:val="16"/>
          <w:szCs w:val="16"/>
          <w:color w:val="auto"/>
        </w:rPr>
        <w:t>We serve as a direct-hire talent acquisition partner to healthcare organizations and academic institutions throughout the nation providing a</w:t>
      </w:r>
      <w:r>
        <w:rPr>
          <w:rFonts w:ascii="Arial" w:cs="Arial" w:eastAsia="Arial" w:hAnsi="Arial"/>
          <w:sz w:val="16"/>
          <w:szCs w:val="16"/>
          <w:b w:val="1"/>
          <w:bCs w:val="1"/>
          <w:color w:val="auto"/>
        </w:rPr>
        <w:t xml:space="preserve"> </w:t>
      </w:r>
      <w:r>
        <w:rPr>
          <w:rFonts w:ascii="Arial" w:cs="Arial" w:eastAsia="Arial" w:hAnsi="Arial"/>
          <w:sz w:val="16"/>
          <w:szCs w:val="16"/>
          <w:color w:val="auto"/>
        </w:rPr>
        <w:t>full suite of prescriptive talent management solutions, including flexible talent delivery models such as retained, outsourced, and contingent. The revenue and contribution income of our Search segment is set forth in Note 18 - Segment Data to the consolidated financial statements. Our Cejka Search by Cross Country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recruits executive leadership talent for healthcare and academic institutions throughout the country</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73" w:right="259" w:bottom="1440" w:gutter="0" w:footer="0" w:header="0"/>
        </w:sectPr>
      </w:pPr>
    </w:p>
    <w:bookmarkStart w:id="6" w:name="page7"/>
    <w:bookmarkEnd w:id="6"/>
    <w:p>
      <w:pPr>
        <w:jc w:val="both"/>
        <w:ind w:left="660" w:right="40"/>
        <w:spacing w:after="0" w:line="267" w:lineRule="auto"/>
        <w:rPr>
          <w:sz w:val="20"/>
          <w:szCs w:val="20"/>
          <w:color w:val="auto"/>
        </w:rPr>
      </w:pPr>
      <w:r>
        <w:rPr>
          <w:rFonts w:ascii="Arial" w:cs="Arial" w:eastAsia="Arial" w:hAnsi="Arial"/>
          <w:sz w:val="16"/>
          <w:szCs w:val="16"/>
          <w:color w:val="auto"/>
        </w:rPr>
        <w:t>through its team of experienced recruitment professionals, the advanced use of recruitment technology, and a commitment to service excellence. Our Cross Country Search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delivers tailored and flexible retained, contingent, and outsourced solutions by employing a team of highly specialized and tenured professionals that leverage subject matter expertise, leading recruitment technologies, and a consultative approach to talent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recruitment and retention of a sufficient number of qualified healthcare professionals to work temporary assignments on our behalf is critical to the success of our business. Healthcare professionals choose temporary assignments for a variety of reasons that include seeking flexible work opportunities, exploring diverse practice settings, building skills and experience by working at prestigious healthcare facilities, working through life and career transitions, and as a means of access into a permanent staff position all while practicing in the most appreciated and highly altruistic trade.</w:t>
      </w:r>
    </w:p>
    <w:p>
      <w:pPr>
        <w:spacing w:after="0" w:line="167" w:lineRule="exact"/>
        <w:rPr>
          <w:sz w:val="20"/>
          <w:szCs w:val="20"/>
          <w:color w:val="auto"/>
        </w:rPr>
      </w:pPr>
    </w:p>
    <w:p>
      <w:pPr>
        <w:ind w:left="660" w:right="100" w:hanging="328"/>
        <w:spacing w:after="0" w:line="274"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Our Healthcare Professionals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company is well positioned to attract candidates, as nurses and allied professionals routinely seek a wide range</w:t>
      </w:r>
      <w:r>
        <w:rPr>
          <w:rFonts w:ascii="Arial" w:cs="Arial" w:eastAsia="Arial" w:hAnsi="Arial"/>
          <w:sz w:val="17"/>
          <w:szCs w:val="17"/>
          <w:b w:val="1"/>
          <w:bCs w:val="1"/>
          <w:color w:val="auto"/>
        </w:rPr>
        <w:t xml:space="preserve"> </w:t>
      </w:r>
      <w:r>
        <w:rPr>
          <w:rFonts w:ascii="Arial" w:cs="Arial" w:eastAsia="Arial" w:hAnsi="Arial"/>
          <w:sz w:val="17"/>
          <w:szCs w:val="17"/>
          <w:color w:val="auto"/>
        </w:rPr>
        <w:t>of diverse assignments in attractive locations, with competitive compensation and benefit packages, scheduling options, as well as a high level of service. In addition, we believe nurses and allied professionals are confident we will have new assignments for them as they complete their current assignment. Each of our nurse and allied healthcare professionals is employed by us and is typically paid hourly wages and any other benefits they are entitled to receive during the assignment period. In addition, our competitive benefits generally include professional liability insurance, a 401(k) plan, health insurance, reimbursed travel, per diem allowances, and housing.</w:t>
      </w:r>
    </w:p>
    <w:p>
      <w:pPr>
        <w:spacing w:after="0" w:line="96" w:lineRule="exact"/>
        <w:rPr>
          <w:rFonts w:ascii="Arial" w:cs="Arial" w:eastAsia="Arial" w:hAnsi="Arial"/>
          <w:sz w:val="17"/>
          <w:szCs w:val="17"/>
          <w:b w:val="1"/>
          <w:bCs w:val="1"/>
          <w:color w:val="auto"/>
        </w:rPr>
      </w:pPr>
    </w:p>
    <w:p>
      <w:pPr>
        <w:ind w:left="660" w:right="12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Recruiters are an essential element of our Nurse and Allied Staffing business, and are responsible for establishing and maintaining key relationships with candidates for the duration of their assignments with us. Recruiters match the supply of qualified candidates with the demand for open orders needed by our clients. While word-of-mouth and referrals continue as our leading channel of access to candidates, we also market our brands through strategic sourcing initiatives including programmatic strategic sourcing and extensive utilization of social media, which has become an increasingly important component of our recruitment efforts. We maintain engaging and intuitive websites to allow potential applicants to obtain information about our Company and assignment opportunities, as well as to apply and engage online.</w:t>
      </w:r>
    </w:p>
    <w:p>
      <w:pPr>
        <w:spacing w:after="0" w:line="97" w:lineRule="exact"/>
        <w:rPr>
          <w:rFonts w:ascii="Arial" w:cs="Arial" w:eastAsia="Arial" w:hAnsi="Arial"/>
          <w:sz w:val="17"/>
          <w:szCs w:val="17"/>
          <w:b w:val="1"/>
          <w:bCs w:val="1"/>
          <w:color w:val="auto"/>
        </w:rPr>
      </w:pPr>
    </w:p>
    <w:p>
      <w:pPr>
        <w:ind w:left="660" w:right="10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Cross Country Locums recruits and contracts with physicians and advanced practice professionals to provide medical services for its healthcare customers. Each physician or advanced practice professional is an independent contractor and enters into an agreement with Cross Country Locums to provide medical services at a particular healthcare facility or physician practice group based on terms and conditions specified by that customer. Physicians and advanced practice professionals are engaged to provide medical services for a healthcare customer ranging from a few days up to a year. We believe physicians are attracted to us because we offer a wide variety of assignments, competitive fees, medical malpractice insurance, and a high level of service to them. Cross Country Locums relies on word-of-mouth and referrals, but also markets online through programmatic sourcing strategies and through extensive social media campaigns.</w:t>
      </w:r>
    </w:p>
    <w:p>
      <w:pPr>
        <w:spacing w:after="0" w:line="92" w:lineRule="exact"/>
        <w:rPr>
          <w:rFonts w:ascii="Arial" w:cs="Arial" w:eastAsia="Arial" w:hAnsi="Arial"/>
          <w:sz w:val="17"/>
          <w:szCs w:val="17"/>
          <w:b w:val="1"/>
          <w:bCs w:val="1"/>
          <w:color w:val="auto"/>
        </w:rPr>
      </w:pPr>
    </w:p>
    <w:p>
      <w:pPr>
        <w:jc w:val="both"/>
        <w:ind w:left="660" w:right="220" w:hanging="328"/>
        <w:spacing w:after="0" w:line="314"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Sales and Marketing</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take an enterprise sales approach in marketing our full capabilities across the continuum of care to hospitals, healthcare</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schools, and other organizations across the United States addressing their total talent management needs. We provide flexible workforce solutions to the healthcare and school markets customizing delivery of diversified offerings meeting the special needs of each client.</w:t>
      </w:r>
    </w:p>
    <w:p>
      <w:pPr>
        <w:spacing w:after="0" w:line="146" w:lineRule="exact"/>
        <w:rPr>
          <w:rFonts w:ascii="Arial" w:cs="Arial" w:eastAsia="Arial" w:hAnsi="Arial"/>
          <w:sz w:val="16"/>
          <w:szCs w:val="16"/>
          <w:b w:val="1"/>
          <w:bCs w:val="1"/>
          <w:color w:val="auto"/>
        </w:rPr>
      </w:pPr>
    </w:p>
    <w:p>
      <w:pPr>
        <w:ind w:left="660"/>
        <w:spacing w:after="0" w:line="205" w:lineRule="auto"/>
        <w:rPr>
          <w:rFonts w:ascii="Arial" w:cs="Arial" w:eastAsia="Arial" w:hAnsi="Arial"/>
          <w:sz w:val="16"/>
          <w:szCs w:val="16"/>
          <w:b w:val="1"/>
          <w:bCs w:val="1"/>
          <w:color w:val="auto"/>
        </w:rPr>
      </w:pPr>
      <w:r>
        <w:rPr>
          <w:rFonts w:ascii="Arial" w:cs="Arial" w:eastAsia="Arial" w:hAnsi="Arial"/>
          <w:sz w:val="18"/>
          <w:szCs w:val="18"/>
          <w:color w:val="auto"/>
        </w:rPr>
        <w:t>Our traditional staffing channels include temporary and permanent placement of travel nurses and allied professionals, local nurses and allied staffing, advanced practitioners, and physicians through the delivery brands including Cross Country Nurses</w:t>
      </w:r>
      <w:r>
        <w:rPr>
          <w:rFonts w:ascii="Arial" w:cs="Arial" w:eastAsia="Arial" w:hAnsi="Arial"/>
          <w:sz w:val="25"/>
          <w:szCs w:val="25"/>
          <w:color w:val="auto"/>
          <w:vertAlign w:val="superscript"/>
        </w:rPr>
        <w:t>®</w:t>
      </w:r>
      <w:r>
        <w:rPr>
          <w:rFonts w:ascii="Arial" w:cs="Arial" w:eastAsia="Arial" w:hAnsi="Arial"/>
          <w:sz w:val="18"/>
          <w:szCs w:val="18"/>
          <w:color w:val="auto"/>
        </w:rPr>
        <w:t>, Cross Country Allied</w:t>
      </w:r>
      <w:r>
        <w:rPr>
          <w:rFonts w:ascii="Arial" w:cs="Arial" w:eastAsia="Arial" w:hAnsi="Arial"/>
          <w:sz w:val="25"/>
          <w:szCs w:val="25"/>
          <w:color w:val="auto"/>
          <w:vertAlign w:val="superscript"/>
        </w:rPr>
        <w:t>®</w:t>
      </w:r>
      <w:r>
        <w:rPr>
          <w:rFonts w:ascii="Arial" w:cs="Arial" w:eastAsia="Arial" w:hAnsi="Arial"/>
          <w:sz w:val="18"/>
          <w:szCs w:val="18"/>
          <w:color w:val="auto"/>
        </w:rPr>
        <w:t>, Cross Country Medical Staffing Network</w:t>
      </w:r>
      <w:r>
        <w:rPr>
          <w:rFonts w:ascii="Arial" w:cs="Arial" w:eastAsia="Arial" w:hAnsi="Arial"/>
          <w:sz w:val="25"/>
          <w:szCs w:val="25"/>
          <w:color w:val="auto"/>
          <w:vertAlign w:val="superscript"/>
        </w:rPr>
        <w:t>®</w:t>
      </w:r>
      <w:r>
        <w:rPr>
          <w:rFonts w:ascii="Arial" w:cs="Arial" w:eastAsia="Arial" w:hAnsi="Arial"/>
          <w:sz w:val="18"/>
          <w:szCs w:val="18"/>
          <w:color w:val="auto"/>
        </w:rPr>
        <w:t>, Cross Country Search</w:t>
      </w:r>
      <w:r>
        <w:rPr>
          <w:rFonts w:ascii="Arial" w:cs="Arial" w:eastAsia="Arial" w:hAnsi="Arial"/>
          <w:sz w:val="25"/>
          <w:szCs w:val="25"/>
          <w:color w:val="auto"/>
          <w:vertAlign w:val="superscript"/>
        </w:rPr>
        <w:t>®</w:t>
      </w:r>
      <w:r>
        <w:rPr>
          <w:rFonts w:ascii="Arial" w:cs="Arial" w:eastAsia="Arial" w:hAnsi="Arial"/>
          <w:sz w:val="18"/>
          <w:szCs w:val="18"/>
          <w:color w:val="auto"/>
        </w:rPr>
        <w:t>, Cross Country Workforce Solutions</w:t>
      </w:r>
      <w:r>
        <w:rPr>
          <w:rFonts w:ascii="Arial" w:cs="Arial" w:eastAsia="Arial" w:hAnsi="Arial"/>
          <w:sz w:val="25"/>
          <w:szCs w:val="25"/>
          <w:color w:val="auto"/>
          <w:vertAlign w:val="superscript"/>
        </w:rPr>
        <w:t>®</w:t>
      </w:r>
      <w:r>
        <w:rPr>
          <w:rFonts w:ascii="Arial" w:cs="Arial" w:eastAsia="Arial" w:hAnsi="Arial"/>
          <w:sz w:val="18"/>
          <w:szCs w:val="18"/>
          <w:color w:val="auto"/>
        </w:rPr>
        <w:t>, and Cross Country Education</w:t>
      </w:r>
      <w:r>
        <w:rPr>
          <w:rFonts w:ascii="Arial" w:cs="Arial" w:eastAsia="Arial" w:hAnsi="Arial"/>
          <w:sz w:val="25"/>
          <w:szCs w:val="25"/>
          <w:color w:val="auto"/>
          <w:vertAlign w:val="superscript"/>
        </w:rPr>
        <w:t>®</w:t>
      </w:r>
      <w:r>
        <w:rPr>
          <w:rFonts w:ascii="Arial" w:cs="Arial" w:eastAsia="Arial" w:hAnsi="Arial"/>
          <w:sz w:val="18"/>
          <w:szCs w:val="18"/>
          <w:color w:val="auto"/>
        </w:rPr>
        <w:t>. Our recruiters use our extensive databases of clinicians and healthcare professionals and their expertise in their given specialties to qualify and place candidates in satisfying their professional interests.</w:t>
      </w:r>
    </w:p>
    <w:p>
      <w:pPr>
        <w:spacing w:after="0" w:line="125" w:lineRule="exact"/>
        <w:rPr>
          <w:rFonts w:ascii="Arial" w:cs="Arial" w:eastAsia="Arial" w:hAnsi="Arial"/>
          <w:sz w:val="16"/>
          <w:szCs w:val="16"/>
          <w:b w:val="1"/>
          <w:bCs w:val="1"/>
          <w:color w:val="auto"/>
        </w:rPr>
      </w:pPr>
    </w:p>
    <w:p>
      <w:pPr>
        <w:ind w:left="660" w:right="560"/>
        <w:spacing w:after="0" w:line="216" w:lineRule="auto"/>
        <w:rPr>
          <w:rFonts w:ascii="Arial" w:cs="Arial" w:eastAsia="Arial" w:hAnsi="Arial"/>
          <w:sz w:val="16"/>
          <w:szCs w:val="16"/>
          <w:b w:val="1"/>
          <w:bCs w:val="1"/>
          <w:color w:val="auto"/>
        </w:rPr>
      </w:pPr>
      <w:r>
        <w:rPr>
          <w:rFonts w:ascii="Arial" w:cs="Arial" w:eastAsia="Arial" w:hAnsi="Arial"/>
          <w:sz w:val="18"/>
          <w:szCs w:val="18"/>
          <w:color w:val="auto"/>
        </w:rPr>
        <w:t>Cejka Search by Cross Country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markets retained and contingent search services to healthcare clients primarily through industry professional organizations, direct marketing, its website, and by word-of-mouth.</w:t>
      </w:r>
    </w:p>
    <w:p>
      <w:pPr>
        <w:spacing w:after="0" w:line="200" w:lineRule="exact"/>
        <w:rPr>
          <w:rFonts w:ascii="Arial" w:cs="Arial" w:eastAsia="Arial" w:hAnsi="Arial"/>
          <w:sz w:val="16"/>
          <w:szCs w:val="16"/>
          <w:b w:val="1"/>
          <w:bCs w:val="1"/>
          <w:color w:val="auto"/>
        </w:rPr>
      </w:pPr>
    </w:p>
    <w:p>
      <w:pPr>
        <w:spacing w:after="0" w:line="269" w:lineRule="exact"/>
        <w:rPr>
          <w:rFonts w:ascii="Arial" w:cs="Arial" w:eastAsia="Arial" w:hAnsi="Arial"/>
          <w:sz w:val="16"/>
          <w:szCs w:val="16"/>
          <w:b w:val="1"/>
          <w:bCs w:val="1"/>
          <w:color w:val="auto"/>
        </w:rPr>
      </w:pPr>
    </w:p>
    <w:p>
      <w:pPr>
        <w:ind w:left="660" w:right="820" w:hanging="328"/>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Credentialing and Quality Management. </w:t>
      </w:r>
      <w:r>
        <w:rPr>
          <w:rFonts w:ascii="Arial" w:cs="Arial" w:eastAsia="Arial" w:hAnsi="Arial"/>
          <w:sz w:val="18"/>
          <w:szCs w:val="18"/>
          <w:color w:val="auto"/>
        </w:rPr>
        <w:t>We screen all of our candidates prior to placement through our credentialing departments. Our</w:t>
      </w:r>
      <w:r>
        <w:rPr>
          <w:rFonts w:ascii="Arial" w:cs="Arial" w:eastAsia="Arial" w:hAnsi="Arial"/>
          <w:sz w:val="18"/>
          <w:szCs w:val="18"/>
          <w:b w:val="1"/>
          <w:bCs w:val="1"/>
          <w:color w:val="auto"/>
        </w:rPr>
        <w:t xml:space="preserve"> </w:t>
      </w:r>
      <w:r>
        <w:rPr>
          <w:rFonts w:ascii="Arial" w:cs="Arial" w:eastAsia="Arial" w:hAnsi="Arial"/>
          <w:sz w:val="18"/>
          <w:szCs w:val="18"/>
          <w:color w:val="auto"/>
        </w:rPr>
        <w:t>credentialing processes are designed to ensure that our professionals have the requisite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73" w:right="239" w:bottom="1440" w:gutter="0" w:footer="0" w:header="0"/>
        </w:sectPr>
      </w:pPr>
    </w:p>
    <w:bookmarkStart w:id="7" w:name="page8"/>
    <w:bookmarkEnd w:id="7"/>
    <w:p>
      <w:pPr>
        <w:ind w:left="328" w:right="100"/>
        <w:spacing w:after="0" w:line="297" w:lineRule="auto"/>
        <w:rPr>
          <w:sz w:val="20"/>
          <w:szCs w:val="20"/>
          <w:color w:val="auto"/>
        </w:rPr>
      </w:pPr>
      <w:r>
        <w:rPr>
          <w:rFonts w:ascii="Arial" w:cs="Arial" w:eastAsia="Arial" w:hAnsi="Arial"/>
          <w:sz w:val="16"/>
          <w:szCs w:val="16"/>
          <w:color w:val="auto"/>
        </w:rPr>
        <w:t>skillsets required by our customers, as well as the aptitude to meet the day-to-day requirements and challenges they would typically encounter on assignments where they are placed. The credentialing of our nurse and allied healthcare professionals is designed to align with the guidelines of The Joint Commission, a national accrediting body, to ensure quality care. Our Cross Country University division, accredited by the American Nurse Credentialing Center, offers training, assessment, and professional development to further ensure the quality of the personnel we place on assignment. Our physician credentialing entity, Credent, is also certified by the National Committee for Quality Assurance (NCQA).</w:t>
      </w:r>
    </w:p>
    <w:p>
      <w:pPr>
        <w:spacing w:after="0" w:line="154" w:lineRule="exact"/>
        <w:rPr>
          <w:sz w:val="20"/>
          <w:szCs w:val="20"/>
          <w:color w:val="auto"/>
        </w:rPr>
      </w:pPr>
    </w:p>
    <w:p>
      <w:pPr>
        <w:ind w:left="328" w:hanging="328"/>
        <w:spacing w:after="0" w:line="274" w:lineRule="auto"/>
        <w:tabs>
          <w:tab w:leader="none" w:pos="32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Services. </w:t>
      </w:r>
      <w:r>
        <w:rPr>
          <w:rFonts w:ascii="Arial" w:cs="Arial" w:eastAsia="Arial" w:hAnsi="Arial"/>
          <w:sz w:val="17"/>
          <w:szCs w:val="17"/>
          <w:color w:val="auto"/>
        </w:rPr>
        <w:t>We negotiate payment for services with our clients based on market conditions and needs. We generally bill our nurse and</w:t>
      </w:r>
      <w:r>
        <w:rPr>
          <w:rFonts w:ascii="Arial" w:cs="Arial" w:eastAsia="Arial" w:hAnsi="Arial"/>
          <w:sz w:val="17"/>
          <w:szCs w:val="17"/>
          <w:b w:val="1"/>
          <w:bCs w:val="1"/>
          <w:color w:val="auto"/>
        </w:rPr>
        <w:t xml:space="preserve"> </w:t>
      </w:r>
      <w:r>
        <w:rPr>
          <w:rFonts w:ascii="Arial" w:cs="Arial" w:eastAsia="Arial" w:hAnsi="Arial"/>
          <w:sz w:val="17"/>
          <w:szCs w:val="17"/>
          <w:color w:val="auto"/>
        </w:rPr>
        <w:t>allied employees at an hourly rate which includes all employer costs, including payroll, withholding taxes, benefits, professional liability insurance, meals and incidentals, and other requirements, as well as any travel and housing arrangements, where applicable. Our shared service center processes hours worked by field employees in the time and attendance systems, which in turn generate the billable transactions to our clients. Hours worked by independent contractor physicians are reported to our Cross Country Locums office. For our Search businesses, we typically bill our clients a candidate acquisition fee and we are reimbursed for certain marketing expenses.</w:t>
      </w:r>
    </w:p>
    <w:p>
      <w:pPr>
        <w:spacing w:after="0" w:line="173" w:lineRule="exact"/>
        <w:rPr>
          <w:rFonts w:ascii="Arial" w:cs="Arial" w:eastAsia="Arial" w:hAnsi="Arial"/>
          <w:sz w:val="17"/>
          <w:szCs w:val="17"/>
          <w:b w:val="1"/>
          <w:bCs w:val="1"/>
          <w:color w:val="auto"/>
        </w:rPr>
      </w:pPr>
    </w:p>
    <w:p>
      <w:pPr>
        <w:ind w:left="328" w:right="60" w:hanging="328"/>
        <w:spacing w:after="0" w:line="272" w:lineRule="auto"/>
        <w:tabs>
          <w:tab w:leader="none" w:pos="32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Operations. </w:t>
      </w:r>
      <w:r>
        <w:rPr>
          <w:rFonts w:ascii="Arial" w:cs="Arial" w:eastAsia="Arial" w:hAnsi="Arial"/>
          <w:sz w:val="17"/>
          <w:szCs w:val="17"/>
          <w:color w:val="auto"/>
        </w:rPr>
        <w:t>Our Nurse and Allied and Physician Staffing businesses are operated through a relatively centralized business model servicing all</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needs of our healthcare professional employees, physicians, and client healthcare facilities primarily through operation centers located in Boca Raton, Florida; Newtown Square, Pennsylvania; West Chester, Ohio; Woodland Hills, California; and Berkeley Lake, Georgia. In addition to the key sales and recruitment activities, certain of these centers also perform support activities such as coordinating housing, payroll processing, benefits administration, billing and collections, travel reimbursement processing, customer service, and risk management. Search primarily operates its business from its headquarters locations in Creve Coeur, Missouri and Boston, Massachusetts, other than support services that are provided from our Boca Raton, Florida headquarters, such as accounting, payroll, billing, legal, and information systems support. On December 31, 2019, we had 59 office locations.</w:t>
      </w:r>
    </w:p>
    <w:p>
      <w:pPr>
        <w:spacing w:after="0" w:line="172" w:lineRule="exact"/>
        <w:rPr>
          <w:rFonts w:ascii="Arial" w:cs="Arial" w:eastAsia="Arial" w:hAnsi="Arial"/>
          <w:sz w:val="17"/>
          <w:szCs w:val="17"/>
          <w:b w:val="1"/>
          <w:bCs w:val="1"/>
          <w:color w:val="auto"/>
        </w:rPr>
      </w:pPr>
    </w:p>
    <w:p>
      <w:pPr>
        <w:ind w:left="328" w:right="20" w:hanging="328"/>
        <w:spacing w:after="0" w:line="254" w:lineRule="auto"/>
        <w:tabs>
          <w:tab w:leader="none" w:pos="32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Systems. </w:t>
      </w:r>
      <w:r>
        <w:rPr>
          <w:rFonts w:ascii="Arial" w:cs="Arial" w:eastAsia="Arial" w:hAnsi="Arial"/>
          <w:sz w:val="18"/>
          <w:szCs w:val="18"/>
          <w:color w:val="auto"/>
        </w:rPr>
        <w:t>Various information systems are utilized to run our customer relationship management, recruitment, and placement functions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different brands. Some of these sophisticated applications are proprietary and are hosted in Tier 1 hosting facilities while other systems are Software as a Service (SaaS) based and hosted by our vendor partners. Our systems maintain detailed information about our client required skillsets and status which assist us in enabling fulfillment and assignment renewals. Our databases contain an extensive pool of existing and potential customers and all related recruitment and sales activity. Our financial and human resource systems are managed on leading enterprise resource planning software suites that manage certain aspects of accounts payable, accounts receivable, general ledger, billing, and human capital management. All of our systems are managed by our onshore and offshore Information Technology team. We continue to focus on cybersecurity issues and have engaged two vendors to assist us in monitoring and managing our systems and devices and detecting cyber threats and stopping breaches.</w:t>
      </w:r>
    </w:p>
    <w:p>
      <w:pPr>
        <w:spacing w:after="0" w:line="108" w:lineRule="exact"/>
        <w:rPr>
          <w:rFonts w:ascii="Arial" w:cs="Arial" w:eastAsia="Arial" w:hAnsi="Arial"/>
          <w:sz w:val="18"/>
          <w:szCs w:val="18"/>
          <w:b w:val="1"/>
          <w:bCs w:val="1"/>
          <w:color w:val="auto"/>
        </w:rPr>
      </w:pPr>
    </w:p>
    <w:p>
      <w:pPr>
        <w:ind w:left="328" w:right="140" w:hanging="328"/>
        <w:spacing w:after="0" w:line="298" w:lineRule="auto"/>
        <w:tabs>
          <w:tab w:leader="none" w:pos="32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Risk Management, Insurance, and Benefits. </w:t>
      </w:r>
      <w:r>
        <w:rPr>
          <w:rFonts w:ascii="Arial" w:cs="Arial" w:eastAsia="Arial" w:hAnsi="Arial"/>
          <w:sz w:val="16"/>
          <w:szCs w:val="16"/>
          <w:color w:val="auto"/>
        </w:rPr>
        <w:t>We have developed a risk management program that requires prompt notification of incidents by</w:t>
      </w:r>
      <w:r>
        <w:rPr>
          <w:rFonts w:ascii="Arial" w:cs="Arial" w:eastAsia="Arial" w:hAnsi="Arial"/>
          <w:sz w:val="16"/>
          <w:szCs w:val="16"/>
          <w:b w:val="1"/>
          <w:bCs w:val="1"/>
          <w:color w:val="auto"/>
        </w:rPr>
        <w:t xml:space="preserve"> </w:t>
      </w:r>
      <w:r>
        <w:rPr>
          <w:rFonts w:ascii="Arial" w:cs="Arial" w:eastAsia="Arial" w:hAnsi="Arial"/>
          <w:sz w:val="16"/>
          <w:szCs w:val="16"/>
          <w:color w:val="auto"/>
        </w:rPr>
        <w:t>clients, clinicians, and independent contractors, educational training to our employees, loss analysis, and prompt reporting procedures to reduce our risk of exposure. While we cannot predict the future, we continuously review facts and incidents associated with professional liability and workers’ compensation claims in order to identify trends and reduce our risk of loss in the future where possible. We consider assessments provided by our clients and we work with clinicians and experts from our insurance carriers to determine employment eligibility and potential exposure.</w:t>
      </w:r>
    </w:p>
    <w:p>
      <w:pPr>
        <w:spacing w:after="0" w:line="77" w:lineRule="exact"/>
        <w:rPr>
          <w:rFonts w:ascii="Arial" w:cs="Arial" w:eastAsia="Arial" w:hAnsi="Arial"/>
          <w:sz w:val="16"/>
          <w:szCs w:val="16"/>
          <w:b w:val="1"/>
          <w:bCs w:val="1"/>
          <w:color w:val="auto"/>
        </w:rPr>
      </w:pPr>
    </w:p>
    <w:p>
      <w:pPr>
        <w:ind w:left="328" w:right="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We provide workers’ compensation insurance coverage, professional liability coverage, and healthcare benefits for our eligible employed temporary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We also estimate on a quarterly basis the healthcare claims that have occurred but have not been reported based on our historical claim submission patterns. The ultimate cost of workers’ compensation, professional liability, and health insurance claims will depend on actual amounts incurred to settle those claims and may differ from the amounts reserved for such claims.</w:t>
      </w:r>
    </w:p>
    <w:p>
      <w:pPr>
        <w:spacing w:after="0" w:line="83" w:lineRule="exact"/>
        <w:rPr>
          <w:rFonts w:ascii="Arial" w:cs="Arial" w:eastAsia="Arial" w:hAnsi="Arial"/>
          <w:sz w:val="16"/>
          <w:szCs w:val="16"/>
          <w:b w:val="1"/>
          <w:bCs w:val="1"/>
          <w:color w:val="auto"/>
        </w:rPr>
      </w:pPr>
    </w:p>
    <w:p>
      <w:pPr>
        <w:ind w:left="328" w:right="1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maintains a number of insurance policies including general liability, workers’ compensation, fidelity, employment practices liability, fiduciary, directors and officers, cyber, property, and professional liability policies. These policies provide coverage subject to their terms, conditions, limits of liability, and deductibles, for certain</w:t>
      </w:r>
    </w:p>
    <w:p>
      <w:pPr>
        <w:spacing w:after="0" w:line="31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8"/>
          </w:cols>
          <w:pgMar w:left="572" w:top="773" w:right="239" w:bottom="1440" w:gutter="0" w:footer="0" w:header="0"/>
        </w:sectPr>
      </w:pPr>
    </w:p>
    <w:bookmarkStart w:id="8" w:name="page9"/>
    <w:bookmarkEnd w:id="8"/>
    <w:p>
      <w:pPr>
        <w:ind w:left="660" w:right="60"/>
        <w:spacing w:after="0" w:line="277" w:lineRule="auto"/>
        <w:rPr>
          <w:sz w:val="20"/>
          <w:szCs w:val="20"/>
          <w:color w:val="auto"/>
        </w:rPr>
      </w:pPr>
      <w:r>
        <w:rPr>
          <w:rFonts w:ascii="Arial" w:cs="Arial" w:eastAsia="Arial" w:hAnsi="Arial"/>
          <w:sz w:val="18"/>
          <w:szCs w:val="18"/>
          <w:color w:val="auto"/>
        </w:rPr>
        <w:t>liabilities that may arise from our operations. There can be no assurance that any of the above policies will be adequate for our needs, or that we will maintain all such policies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Geographic Markets and Client Base</w:t>
      </w:r>
    </w:p>
    <w:p>
      <w:pPr>
        <w:spacing w:after="0" w:line="1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2019, 2018, and 2017, all of our revenue was generated in the United States, and all of our long-lived assets were located in the United States and India. On a company-wide basis, we have approximately 5,300 active contracts with healthcare and education clients, and we provide our staffing services and workforce solutions in all 50 states. During 2019, the largest percentage of our revenue was concentrated in California, New York, and Florida. We provide services to public and private acute care hospitals, outpatient clinics, ambulatory care facilities, single and multi-specialty physician practices, rehabilitation facilities, urgent care centers, public and charter schools, correctional facilities, government facilities, retailers, and many other healthcare providers. In 2019, 2018, and 2017 no client accounted for more than 5% of our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compete in the U.S. temporary healthcare staffing and workforce solutions markets. Staffing Industry Analysts September 2019 report estimates the healthcare staffing markets in which we operate had an aggregate market size of $17.5 billion in 2019 of which $5.6 billion was travel nursing, $3.7 billion was per diem nursing, $4.2 billion was allied health, and $4.0 billion was locum tenens and advanced practitioners. The demand for our services is impacted by many factors, however, we believe the most significant are the following:</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Industry Demand Drivers</w:t>
      </w:r>
    </w:p>
    <w:p>
      <w:pPr>
        <w:spacing w:after="0" w:line="144" w:lineRule="exact"/>
        <w:rPr>
          <w:sz w:val="20"/>
          <w:szCs w:val="20"/>
          <w:color w:val="auto"/>
        </w:rPr>
      </w:pPr>
    </w:p>
    <w:p>
      <w:pPr>
        <w:ind w:left="580" w:right="320"/>
        <w:spacing w:after="0" w:line="255" w:lineRule="auto"/>
        <w:rPr>
          <w:sz w:val="20"/>
          <w:szCs w:val="20"/>
          <w:color w:val="auto"/>
        </w:rPr>
      </w:pPr>
      <w:r>
        <w:rPr>
          <w:rFonts w:ascii="Arial" w:cs="Arial" w:eastAsia="Arial" w:hAnsi="Arial"/>
          <w:sz w:val="18"/>
          <w:szCs w:val="18"/>
          <w:b w:val="1"/>
          <w:bCs w:val="1"/>
          <w:color w:val="auto"/>
        </w:rPr>
        <w:t xml:space="preserve">Economic Backdrop. </w:t>
      </w:r>
      <w:r>
        <w:rPr>
          <w:rFonts w:ascii="Arial" w:cs="Arial" w:eastAsia="Arial" w:hAnsi="Arial"/>
          <w:sz w:val="18"/>
          <w:szCs w:val="18"/>
          <w:color w:val="auto"/>
        </w:rPr>
        <w:t>The U.S. economy had a strong year in 2019, and according to the U.S. Bureau of Labor Statistics the job market showed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signs of continued growth with unemployment at 3.5% as of December 2019. According to the U.S. Bureau of Labor Statistics, employment of registered nurses is projected to grow 12% from 2018 to 2028, much faster than the average for all occupations. This growth is predicated on an anticipated increase in home health care, outpatient care centers and long-term care facilities due to the financial pressure on hospitals to discharge patients quickly; increased demand due to the aging population; and the rise of various chronic conditions, such as diabetes, obesity, arthritis and dementia. A growing U.S. economy coupled with a low unemployment rate typically results in an increase in demand for our services.</w:t>
      </w:r>
    </w:p>
    <w:p>
      <w:pPr>
        <w:spacing w:after="0" w:line="108"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b w:val="1"/>
          <w:bCs w:val="1"/>
          <w:color w:val="auto"/>
        </w:rPr>
        <w:t xml:space="preserve">Increased Need for Healthcare and Special Education Services in Schools. </w:t>
      </w:r>
      <w:r>
        <w:rPr>
          <w:rFonts w:ascii="Arial" w:cs="Arial" w:eastAsia="Arial" w:hAnsi="Arial"/>
          <w:sz w:val="18"/>
          <w:szCs w:val="18"/>
          <w:color w:val="auto"/>
        </w:rPr>
        <w:t>The Individuals with Disabilities Education Act (IDEA), enacted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1975, mandates that children and youth ages 3-21 with disabilities be provided a free and appropriate public school education. According to the U.S. Department of Education, National Center for Education Statistic Report titled “The Condition of Education" (May 2019), </w:t>
      </w:r>
      <w:r>
        <w:rPr>
          <w:rFonts w:ascii="Arial" w:cs="Arial" w:eastAsia="Arial" w:hAnsi="Arial"/>
          <w:sz w:val="18"/>
          <w:szCs w:val="18"/>
          <w:color w:val="222222"/>
        </w:rPr>
        <w:t>in 2017-18, the number of</w:t>
      </w:r>
      <w:r>
        <w:rPr>
          <w:rFonts w:ascii="Arial" w:cs="Arial" w:eastAsia="Arial" w:hAnsi="Arial"/>
          <w:sz w:val="18"/>
          <w:szCs w:val="18"/>
          <w:color w:val="auto"/>
        </w:rPr>
        <w:t xml:space="preserve"> </w:t>
      </w:r>
      <w:r>
        <w:rPr>
          <w:rFonts w:ascii="Arial" w:cs="Arial" w:eastAsia="Arial" w:hAnsi="Arial"/>
          <w:sz w:val="18"/>
          <w:szCs w:val="18"/>
          <w:color w:val="222222"/>
        </w:rPr>
        <w:t xml:space="preserve">students ages 3-21 who received special education services under the Individuals with Disabilities Education Act (IDEA) was 7.0 million, or 14% of all public school students. </w:t>
      </w:r>
      <w:r>
        <w:rPr>
          <w:rFonts w:ascii="Arial" w:cs="Arial" w:eastAsia="Arial" w:hAnsi="Arial"/>
          <w:sz w:val="18"/>
          <w:szCs w:val="18"/>
          <w:color w:val="000000"/>
        </w:rPr>
        <w:t>The IDEA requires that these children and young adults receive care from speech language pathologists, physical</w:t>
      </w:r>
      <w:r>
        <w:rPr>
          <w:rFonts w:ascii="Arial" w:cs="Arial" w:eastAsia="Arial" w:hAnsi="Arial"/>
          <w:sz w:val="18"/>
          <w:szCs w:val="18"/>
          <w:color w:val="222222"/>
        </w:rPr>
        <w:t xml:space="preserve"> </w:t>
      </w:r>
      <w:r>
        <w:rPr>
          <w:rFonts w:ascii="Arial" w:cs="Arial" w:eastAsia="Arial" w:hAnsi="Arial"/>
          <w:sz w:val="18"/>
          <w:szCs w:val="18"/>
          <w:color w:val="000000"/>
        </w:rPr>
        <w:t>therapists, occupational therapists, nurses and other healthcare professionals while at school. Based on the foregoing, we believe the demand for consulting and healthcare staffing services for public schools and charter schools will continue to be strong for agencies that can provide consulting services, healthcare personnel, technical assistance on policies, implementation, and training related to children and youth with special needs in school settings.</w:t>
      </w:r>
    </w:p>
    <w:p>
      <w:pPr>
        <w:spacing w:after="0" w:line="108" w:lineRule="exact"/>
        <w:rPr>
          <w:sz w:val="20"/>
          <w:szCs w:val="20"/>
          <w:color w:val="auto"/>
        </w:rPr>
      </w:pPr>
    </w:p>
    <w:p>
      <w:pPr>
        <w:ind w:left="580" w:right="100"/>
        <w:spacing w:after="0" w:line="274" w:lineRule="auto"/>
        <w:rPr>
          <w:sz w:val="20"/>
          <w:szCs w:val="20"/>
          <w:color w:val="auto"/>
        </w:rPr>
      </w:pPr>
      <w:r>
        <w:rPr>
          <w:rFonts w:ascii="Arial" w:cs="Arial" w:eastAsia="Arial" w:hAnsi="Arial"/>
          <w:sz w:val="17"/>
          <w:szCs w:val="17"/>
          <w:b w:val="1"/>
          <w:bCs w:val="1"/>
          <w:color w:val="auto"/>
        </w:rPr>
        <w:t xml:space="preserve">Creation of Healthcare Jobs Outpacing Other Industries and Occupations. </w:t>
      </w:r>
      <w:r>
        <w:rPr>
          <w:rFonts w:ascii="Arial" w:cs="Arial" w:eastAsia="Arial" w:hAnsi="Arial"/>
          <w:sz w:val="17"/>
          <w:szCs w:val="17"/>
          <w:color w:val="auto"/>
        </w:rPr>
        <w:t>Healthcare represented nearly one in five jobs created in 2019</w:t>
      </w:r>
      <w:r>
        <w:rPr>
          <w:rFonts w:ascii="Arial" w:cs="Arial" w:eastAsia="Arial" w:hAnsi="Arial"/>
          <w:sz w:val="17"/>
          <w:szCs w:val="17"/>
          <w:b w:val="1"/>
          <w:bCs w:val="1"/>
          <w:color w:val="auto"/>
        </w:rPr>
        <w:t xml:space="preserve"> </w:t>
      </w:r>
      <w:r>
        <w:rPr>
          <w:rFonts w:ascii="Arial" w:cs="Arial" w:eastAsia="Arial" w:hAnsi="Arial"/>
          <w:sz w:val="17"/>
          <w:szCs w:val="17"/>
          <w:color w:val="auto"/>
        </w:rPr>
        <w:t>(HealthleadersMedia.com, January 10, 2020). According to the most recent Bureau of Labor Statistics 10-year projections, overall, employment is expected to grow 5.2%, far outpaced by employment in the healthcare and social assistance industry (17%), with healthcare practitioners and technical occupations projected to grow 11.9%, physician assistants growing at 31%, and nurse practitioners at 28%. Of the 30 fastest growing occupations, 18 are healthcare related. We expect the creation of additional jobs in the healthcare market will increase demand for our services as our temporary staff are typically hired to replace healthcare workers taking vacation and leaves of absence.</w:t>
      </w:r>
    </w:p>
    <w:p>
      <w:pPr>
        <w:spacing w:after="0" w:line="93" w:lineRule="exact"/>
        <w:rPr>
          <w:sz w:val="20"/>
          <w:szCs w:val="20"/>
          <w:color w:val="auto"/>
        </w:rPr>
      </w:pPr>
    </w:p>
    <w:p>
      <w:pPr>
        <w:ind w:left="580"/>
        <w:spacing w:after="0" w:line="258" w:lineRule="auto"/>
        <w:rPr>
          <w:sz w:val="20"/>
          <w:szCs w:val="20"/>
          <w:color w:val="auto"/>
        </w:rPr>
      </w:pPr>
      <w:r>
        <w:rPr>
          <w:rFonts w:ascii="Arial" w:cs="Arial" w:eastAsia="Arial" w:hAnsi="Arial"/>
          <w:sz w:val="18"/>
          <w:szCs w:val="18"/>
          <w:b w:val="1"/>
          <w:bCs w:val="1"/>
          <w:color w:val="auto"/>
        </w:rPr>
        <w:t xml:space="preserve">Outpatient/Ambulatory Settings Services Outpace Inpatient Services. </w:t>
      </w:r>
      <w:r>
        <w:rPr>
          <w:rFonts w:ascii="Arial" w:cs="Arial" w:eastAsia="Arial" w:hAnsi="Arial"/>
          <w:sz w:val="18"/>
          <w:szCs w:val="18"/>
          <w:color w:val="auto"/>
        </w:rPr>
        <w:t>According to the U.S. Census Bureau, the ambulatory healthcare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sector added 17,000 jobs in December 2019, while hospitals added 6,300 jobs in the same. We believe certain government initiatives previously taken, such as Medicare reimbursement incentives for reduced readmissions, have had a direct correlation to the shift from inpatient services to outpatient/ambulatory settings and job growth in that area. We believe this growth will have a positive impact on demand for healthcare staffing services in outpatient/ambulatory settings.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3" w:right="239" w:bottom="1440" w:gutter="0" w:footer="0" w:header="0"/>
        </w:sectPr>
      </w:pPr>
    </w:p>
    <w:bookmarkStart w:id="9" w:name="page10"/>
    <w:bookmarkEnd w:id="9"/>
    <w:p>
      <w:pPr>
        <w:ind w:left="580" w:right="60"/>
        <w:spacing w:after="0" w:line="258" w:lineRule="auto"/>
        <w:rPr>
          <w:sz w:val="20"/>
          <w:szCs w:val="20"/>
          <w:color w:val="auto"/>
        </w:rPr>
      </w:pPr>
      <w:r>
        <w:rPr>
          <w:rFonts w:ascii="Arial" w:cs="Arial" w:eastAsia="Arial" w:hAnsi="Arial"/>
          <w:sz w:val="18"/>
          <w:szCs w:val="18"/>
          <w:b w:val="1"/>
          <w:bCs w:val="1"/>
          <w:color w:val="auto"/>
        </w:rPr>
        <w:t xml:space="preserve">Hospitals Seeking Efficiencies Through Various Workforce Solutions. </w:t>
      </w:r>
      <w:r>
        <w:rPr>
          <w:rFonts w:ascii="Arial" w:cs="Arial" w:eastAsia="Arial" w:hAnsi="Arial"/>
          <w:sz w:val="18"/>
          <w:szCs w:val="18"/>
          <w:color w:val="auto"/>
        </w:rPr>
        <w:t>Hospitals continue to face pressure to keep costs down. In addition,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shift away from volume-based pricing to value-based pricing has continued. We believe these dynamics continue to put pressure on hospitals to find innovative solutions in order to better manage their workforce, which accounts for a large portion of their expenses. As a result, we believe healthcare facilities and providers will continue to utilize workforce solutions, such as MSP, RPO, IRP, and other talent management tools to help them solve these problems and maintain their quality of care.</w:t>
      </w:r>
    </w:p>
    <w:p>
      <w:pPr>
        <w:spacing w:after="0" w:line="103" w:lineRule="exact"/>
        <w:rPr>
          <w:sz w:val="20"/>
          <w:szCs w:val="20"/>
          <w:color w:val="auto"/>
        </w:rPr>
      </w:pPr>
    </w:p>
    <w:p>
      <w:pPr>
        <w:ind w:left="580" w:right="40"/>
        <w:spacing w:after="0" w:line="298" w:lineRule="auto"/>
        <w:rPr>
          <w:sz w:val="20"/>
          <w:szCs w:val="20"/>
          <w:color w:val="auto"/>
        </w:rPr>
      </w:pPr>
      <w:r>
        <w:rPr>
          <w:rFonts w:ascii="Arial" w:cs="Arial" w:eastAsia="Arial" w:hAnsi="Arial"/>
          <w:sz w:val="16"/>
          <w:szCs w:val="16"/>
          <w:b w:val="1"/>
          <w:bCs w:val="1"/>
          <w:color w:val="auto"/>
        </w:rPr>
        <w:t>Macro Drivers of Demand</w:t>
      </w:r>
      <w:r>
        <w:rPr>
          <w:rFonts w:ascii="Arial" w:cs="Arial" w:eastAsia="Arial" w:hAnsi="Arial"/>
          <w:sz w:val="16"/>
          <w:szCs w:val="16"/>
          <w:color w:val="auto"/>
        </w:rPr>
        <w:t>. The Affordable Care Act (ACA) increased the number of insured patients over the past several years, especially in states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expanded Medicaid. Also, as a result of lower unemployment rates, more employees have insurance through their employer and are seeking elective and other healthcare services. In addition, two other long-term macro drivers of our business, a growing and aging U.S. population, should continue to drive demand for our services. According to the U.S. Census Bureau, the number of persons aged 65 and over is expected to increase to 98 million in 2060, which is important because the utilization of healthcare services is generally higher among older people.</w:t>
      </w:r>
    </w:p>
    <w:p>
      <w:pPr>
        <w:spacing w:after="0" w:line="73" w:lineRule="exact"/>
        <w:rPr>
          <w:sz w:val="20"/>
          <w:szCs w:val="20"/>
          <w:color w:val="auto"/>
        </w:rPr>
      </w:pPr>
    </w:p>
    <w:p>
      <w:pPr>
        <w:ind w:left="580" w:right="20"/>
        <w:spacing w:after="0" w:line="269" w:lineRule="auto"/>
        <w:rPr>
          <w:sz w:val="20"/>
          <w:szCs w:val="20"/>
          <w:color w:val="auto"/>
        </w:rPr>
      </w:pPr>
      <w:r>
        <w:rPr>
          <w:rFonts w:ascii="Arial" w:cs="Arial" w:eastAsia="Arial" w:hAnsi="Arial"/>
          <w:sz w:val="17"/>
          <w:szCs w:val="17"/>
          <w:b w:val="1"/>
          <w:bCs w:val="1"/>
          <w:color w:val="auto"/>
        </w:rPr>
        <w:t xml:space="preserve">Supply of Nurses. </w:t>
      </w:r>
      <w:r>
        <w:rPr>
          <w:rFonts w:ascii="Arial" w:cs="Arial" w:eastAsia="Arial" w:hAnsi="Arial"/>
          <w:sz w:val="17"/>
          <w:szCs w:val="17"/>
          <w:color w:val="auto"/>
        </w:rPr>
        <w:t>According to the Bureau of Labor Statistics’ Employment Projections 2016-2026, Registered Nursing (RN) is listed among the top</w:t>
      </w:r>
      <w:r>
        <w:rPr>
          <w:rFonts w:ascii="Arial" w:cs="Arial" w:eastAsia="Arial" w:hAnsi="Arial"/>
          <w:sz w:val="17"/>
          <w:szCs w:val="17"/>
          <w:b w:val="1"/>
          <w:bCs w:val="1"/>
          <w:color w:val="auto"/>
        </w:rPr>
        <w:t xml:space="preserve"> </w:t>
      </w:r>
      <w:r>
        <w:rPr>
          <w:rFonts w:ascii="Arial" w:cs="Arial" w:eastAsia="Arial" w:hAnsi="Arial"/>
          <w:sz w:val="17"/>
          <w:szCs w:val="17"/>
          <w:color w:val="auto"/>
        </w:rPr>
        <w:t>occupations in terms of job growth through 2026. The RN workforce is expected to grow from 2.9 million in 2016 to 3.4 million in 2026, an increase of 438,100 or 15%. The Bureau also projects the need for an additional 203,700 new RNs each year through 2026 to fill newly created positions and to replace retiring nurses. While demand for nurses is expected to grow, there are differing views over the projected growth of supply to support the demand. According to Modern Healthcare, August 17, 2019, certain states are projected to have a shortage while other states are projected to have a surplus by 2030 highlighting an inequitable distribution of the nursing workforce across the U.S. There is also a variation in the types of specialty nurses in demand, which is also regional in nature. Other factors influencing demand are the expected retirement of RNs and the shortage of instructors. It is projected that a million nurses are expected to retire between 2017 and 2030. According to the American Association of Colleges of Nursing, more than 75,000 qualified applicants to bachelor and graduate nursing programs were turned away last year due to factors such as insufficient faculty, clinical sites, or classroom space, and clinical preceptors, as well as budget constraints. We believe these geographic and specialty related shortages should have a positive effect on demand for our services as temporary nurse staffing orders typically increase when nurse vacancy rates rise.</w:t>
      </w:r>
    </w:p>
    <w:p>
      <w:pPr>
        <w:spacing w:after="0" w:line="99" w:lineRule="exact"/>
        <w:rPr>
          <w:sz w:val="20"/>
          <w:szCs w:val="20"/>
          <w:color w:val="auto"/>
        </w:rPr>
      </w:pPr>
    </w:p>
    <w:p>
      <w:pPr>
        <w:ind w:left="580" w:right="120"/>
        <w:spacing w:after="0" w:line="256" w:lineRule="auto"/>
        <w:rPr>
          <w:sz w:val="20"/>
          <w:szCs w:val="20"/>
          <w:color w:val="auto"/>
        </w:rPr>
      </w:pPr>
      <w:r>
        <w:rPr>
          <w:rFonts w:ascii="Arial" w:cs="Arial" w:eastAsia="Arial" w:hAnsi="Arial"/>
          <w:sz w:val="18"/>
          <w:szCs w:val="18"/>
          <w:b w:val="1"/>
          <w:bCs w:val="1"/>
          <w:color w:val="auto"/>
        </w:rPr>
        <w:t xml:space="preserve">Physician Shortage. </w:t>
      </w:r>
      <w:r>
        <w:rPr>
          <w:rFonts w:ascii="Arial" w:cs="Arial" w:eastAsia="Arial" w:hAnsi="Arial"/>
          <w:sz w:val="18"/>
          <w:szCs w:val="18"/>
          <w:color w:val="auto"/>
        </w:rPr>
        <w:t>According to the Association of American Medical Colleges (AAMC) projections from 2017 to 2032, the United States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face a shortage of physicians. The projections show a shortage ranging between 46,900 and 121,900 by 2032 as demand for physicians continues to outpace supply, according to AAMC, with a significant shortage showing among many surgical specialties. In addition, according to the Association of American Medical Colleges (AAMC) in 2017, 44.1% of physicians in the U.S. are age 55 or older and nearing retirement and, while the number of applicants to U.S. medical schools is increasing, it is not expected to keep pace with expected future demand. This is a significant factor in the demand for locum tenens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workforce solutions and healthcare staffing industries are highly competitive. We compete on a national, regional, and local basis in both industries for healthcare clients and healthcare professionals. We are one of the largest providers in the U.S. of workforce solutions in the healthcare industry and nurse and allied healthcare staffing. In both of these industries, we compete with a few national competitors together with numerous smaller, regional, and local companies, particularly in the per diem business.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competitive factors in attracting, retaining, and expanding business with healthcare clients nationally include: (i) understanding the client’s work environment; (ii) offering a comprehensive suite of services to assist the client in assessing its personnel needs and partnering with clients to design various customizable alternative solutions; (iii) the timely filling of clients' needs; (iv) price; (v) customer service; (vi) quality assurance and screening capabilities; (vii) risk management policies; (viii) insurance coverage; and (ix) general industry reputation.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we benefit competitively from the breadth and expertise of value-added workforce solutions that we offer. We also have the ability to meet a national shift towards a more integrated delivery of healthcare through our extensive branch network which allows us to assist hospitals and health systems turning to lower-cost, more accessible alternatives, such as outpatient or ambulatory care centers. By offering travel, per diem, and permanent placement of a variety of healthcare professionals, we are able to offer many different types of personnel to hospitals and health systems at their main campuses and their ambulatory and outpatient facilities. In addition, our joint venture with a large health system's staffing subsidiary provides us with insight into the challenges facing many of our hospital clients generally and this provides us with the opportunity to better serve all of our clients by designing and implementing workforce solutions to meet their needs.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9" w:right="239" w:bottom="1440" w:gutter="0" w:footer="0" w:header="0"/>
        </w:sectPr>
      </w:pPr>
    </w:p>
    <w:bookmarkStart w:id="10" w:name="page11"/>
    <w:bookmarkEnd w:id="10"/>
    <w:p>
      <w:pPr>
        <w:spacing w:after="0" w:line="312" w:lineRule="auto"/>
        <w:rPr>
          <w:sz w:val="20"/>
          <w:szCs w:val="20"/>
          <w:color w:val="auto"/>
        </w:rPr>
      </w:pPr>
      <w:r>
        <w:rPr>
          <w:rFonts w:ascii="Arial" w:cs="Arial" w:eastAsia="Arial" w:hAnsi="Arial"/>
          <w:sz w:val="16"/>
          <w:szCs w:val="16"/>
          <w:color w:val="auto"/>
        </w:rPr>
        <w:t>The principal competitive factors in attracting qualified healthcare professionals for temporary employment include: (i) a large national pool of desirable assignments; (ii) pay and benefits; (iii) speed of placements; (iv) customer service; (v) quality of accommodations; and (vi) overall industry reputation. We focus on retaining healthcare professionals by providing high-quality customer service, long-term benefits (to employees), and medical malpractice insurance.</w:t>
      </w:r>
    </w:p>
    <w:p>
      <w:pPr>
        <w:spacing w:after="0" w:line="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a candidate attraction standpoint, we have an extensive client base with hospitals and healthcare facilities, and other healthcare providers, throughout the U.S. As a result, we have a diverse choice of assignments for our healthcare professionals to choose from. Healthcare professionals apply with us through our differentiated nursing, locum tenens, and allied healthcare recruitment brands. Our local branch network also provides us access to local healthcare professionals who are uniquely qualified to provide care in ambulatory and outpatient settings. We believe our access to such a large and diverse group of healthcare professionals makes us more attractive to healthcare institutions and facilities seeking healthcare staffing and workforce solutions in the current dynamic marketplace.</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believe we are one of only two large full-service healthcare staffing providers with a national footprint; one of the top five providers of physician staffing services in the U.S.; and one of the top providers of retained and contingent physician and healthcare executive search services in the healthcare marketplace. Some of our competitors in the workforce solutions, healthcare staffing, and search businesses include: AMN Healthcare Services, Inc., CHG Healthcare Services, Jackson Healthcare, Aya Healthcare, HealthTrust Workforce Solutions, Medical Solutions, Aureus Medical, and Witt Kiefer.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staffing businesses of our Cross Country Staffing, Medical Staffing Network, Mediscan, Advantage, and AP Staffing brands are certified by The Joint Commission under its Health Care Staffing Services Certification Program. In addition, Credent Verification and Licensing Services, a subsidiary of MDA, is certified by the NCQA. These were the brand names we operated under in 2019 prior to transitioning to each of our new brand names.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business is subject to regulation by numerous governmental authorities in the jurisdictions in which we operate.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federal and state laws and regulations applicable to our business,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As of December 31, 2019, we had approximately 1,700 corporate employees. During 2019, we employed an average of 7,113 full-time equivalent field employees in Nurse and Allied Staffing which does not include our Physician Staffing independent contractors, all of whom are not employees. We are subject to a collective bargaining agreement covering approximately 440 of our employees at OWS, LLC with Local 1199 of the Service Employees International Union. We consider our relationship with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Arial" w:cs="Arial" w:eastAsia="Arial" w:hAnsi="Arial"/>
          <w:sz w:val="18"/>
          <w:szCs w:val="18"/>
          <w:u w:val="single" w:color="auto"/>
          <w:color w:val="auto"/>
        </w:rPr>
        <w:t>www.crosscountryhealthcare.com</w:t>
      </w:r>
      <w:r>
        <w:rPr>
          <w:rFonts w:ascii="Arial" w:cs="Arial" w:eastAsia="Arial" w:hAnsi="Arial"/>
          <w:sz w:val="18"/>
          <w:szCs w:val="18"/>
          <w:color w:val="auto"/>
        </w:rPr>
        <w:t>. The information found on our website is not part of this Annual Report on Form 10-K or any other report we file with or furnish to the SEC.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7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20"/>
        <w:spacing w:after="0" w:line="276" w:lineRule="auto"/>
        <w:rPr>
          <w:sz w:val="20"/>
          <w:szCs w:val="20"/>
          <w:color w:val="auto"/>
        </w:rPr>
      </w:pPr>
      <w:r>
        <w:rPr>
          <w:rFonts w:ascii="Arial" w:cs="Arial" w:eastAsia="Arial" w:hAnsi="Arial"/>
          <w:sz w:val="17"/>
          <w:szCs w:val="17"/>
          <w:i w:val="1"/>
          <w:iCs w:val="1"/>
          <w:color w:val="auto"/>
        </w:rPr>
        <w:t>The following risk factors could materially and adversely affect our future operating results and could cause actual results to differ materially from those predicted in the forward-looking statements we make about our business. Our risks are identified primarily through dialogue with our leaders, including a formal Enterprise Risk assessment, industry trends, our experience, and consideration of the current external market and financial environment. These risk factors are considered in our overall strategy and execution of operations. Factors we currently consider immaterial and factors we currently do not know may also materially adversely affect our business or our consolidated results, financial condition,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by our clients may adversely affect the profitability of our business.</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Among other things, changes in the economy, a decrease or stagnation in the general level of in-patient admissions or out-patient services at our clients’ facilities, uncertainty regarding or changes to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may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addition, if hospitals continue to consolidate in an effort to enhance their market positions, improve operational efficiency, and create organizations capable of managing population health, demand for our services could decrease. Decreases in demand for our services may also affect our ability to provide attractive assignments to our healthcare professionals.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14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arrangements with hospitals, healthcare facilities and physician group clients are generally terminable upon 30 to 90 days’ notice. We may have fixed costs, including housing costs, associated with terminated arrangements that we will be obligated to pay post-termination, thus negatively impacting our profitability. In addition, the loss of one or more of our large clients could materially affect our profitability.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enough quality healthcare professionals to meet our clients’ demands.</w:t>
      </w:r>
    </w:p>
    <w:p>
      <w:pPr>
        <w:spacing w:after="0" w:line="14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We rely on word-of-mouth referrals, as well as social and digital media to attract qualified healthcare professionals. If our social and digital media strategy is not successful, our ability to attract qualified healthcare professionals could be negatively impacted.</w:t>
      </w:r>
    </w:p>
    <w:p>
      <w:pPr>
        <w:spacing w:after="0" w:line="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with a shortage of certain qualified healthcare professionals in many areas of the United States, competition for these professionals remains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 At this time, we still do not have enough nurses, allied professionals and physicians to meet all of our clients’ demands for these staffing services. This shortage of healthcare professionals generally and the competition for their services may limit our ability to increase the number of healthcare professionals that we successfully recruit, decreasing our ability to grow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healthcare facility clients increase the use of intermediaries it could impact our profitability.</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continue to see an increase in the use of intermediaries by our clients. These intermediaries typically enter into contracts with our clients and then subcontract with us and other agencies to provide staffing services, thus interfering to some extent in our relationship with our clients. Each of these intermediaries charges an administrative fee. In instances where we do not win new MSP opportunities or where other vendors win this MSP or VMS business with our current customers, the number of professionals we have on assignment at those clients could decrease. If we are unable to negotiate hourly rates with intermediaries for the services we provide at these clients which are sufficient to cover administrative fees charged by those intermediaries, it could impact our profitability. If hospitals fail to pay the intermediaries for our services or those intermediaries become insolvent or fail to pay us for our services, it could impact our bad debt expense and thus our overall</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69" w:right="259" w:bottom="1440" w:gutter="0" w:footer="0" w:header="0"/>
        </w:sectPr>
      </w:pPr>
    </w:p>
    <w:bookmarkStart w:id="12" w:name="page13"/>
    <w:bookmarkEnd w:id="12"/>
    <w:p>
      <w:pPr>
        <w:ind w:right="60"/>
        <w:spacing w:after="0" w:line="308" w:lineRule="auto"/>
        <w:rPr>
          <w:sz w:val="20"/>
          <w:szCs w:val="20"/>
          <w:color w:val="auto"/>
        </w:rPr>
      </w:pPr>
      <w:r>
        <w:rPr>
          <w:rFonts w:ascii="Arial" w:cs="Arial" w:eastAsia="Arial" w:hAnsi="Arial"/>
          <w:sz w:val="17"/>
          <w:szCs w:val="17"/>
          <w:color w:val="auto"/>
        </w:rPr>
        <w:t>profitability. We also provide comprehensive MSP and other workforce solutions directly to certain of our clients. While such contracts typically improve our market share at these facilities, they could result in less diversification of our customer base, increased liability, and reduced margins.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costs of providing services may rise faster than we are able to adjust our bill rates and pay rates and, as a result, our margins could decline.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Costs of providing our services could change more quickly than we are able to renegotiate bill rates in our active contracts and pay rates with our thousands of healthcare professionals. For example, we offer housing subsidies to our healthcare professionals or provide actual housing to our healthcare professionals. At any given time, we have over a thousand apartments on lease throughout the U.S. because we provide housing for certain of our healthcare professionals when they are on an assignment with us. The cost of subsidizing housing or renting apartments and furniture for these healthcare professionals may increase faster than we are able to renegotiate our rates with our customers, and this may have a negative impact on our profitability. In addition, an increase in other incremental costs beyond our control, such as insurance could negatively affect our financial results. The costs related to obtaining and maintaining professional and general liability insurance, health insurance and workers’ compensation insurance for healthcare providers has generally been increasing. This could have an adverse impact on our financial condition unless we are able to pass these costs through to our clients or renegotiate pay rates with our healthcare providers.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labor costs could be adversely affected by a shortage of experienced healthcare professionals and labor union activity.</w:t>
      </w:r>
    </w:p>
    <w:p>
      <w:pPr>
        <w:spacing w:after="0" w:line="14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operations are dependent on our ability to recruit and staff quality healthcare professionals. We compete with other healthcare staffing companies in recruiting and retaining qualified personnel. We may be required to enhance wages and benefits to our employees, which could negatively impact our profitability. Labor union activity is another factor that could adversely affect our labor costs or otherwise adversely impact us. To the extent a significant portion of our employee base unionizes, our labor costs could increase significantly.</w:t>
      </w:r>
    </w:p>
    <w:p>
      <w:pPr>
        <w:spacing w:after="0" w:line="10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our labor costs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management, nurses and other medical support personnel, or in controlling labor costs, this could have an adverse effect on our results of operations.</w:t>
      </w:r>
    </w:p>
    <w:p>
      <w:pPr>
        <w:spacing w:after="0" w:line="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face challenges competing in the marketplace if we are unable to anticipate and quickly respond to changing marketplace conditions, such as alternative modes of healthcare delivery, reimbursement, and client needs.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Patient delivery settings continue to evolve, giving rise to alternative modes of healthcare delivery, such as retail medicine, telemedicine and home health.</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success is dependent upon our ability to develop innovative workforce solutions and quickly adapt to changing marketplace conditions and client needs, including making modifications to our technologies and evolving our technology platform that may differentiate our services and abilities from those of our competitors. The markets in which we compete are highly competitive and our competitors may respond more quickly to new or emerging client needs and marketplace conditions. The development of new service lines and business models using advanced technology solutions requires us to be at the forefront of emerging trends in the healthcare industry. We may face challenges competing in the marketplace if we are unable to quickly adapt our business model and successfully implement innovative services and solutions to address these changes.</w:t>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continually evaluate opportunities to acquire companies that would complement or enhance our business. These acquisition opportunities involve numerous risks, including potential loss of key employees or clients of acquired companies; difficulties integrating acquired personnel and distinct cultures into our business; difficulties integrating acquired companies into our operating, financial planning and financial reporting systems; diversion of management attention from existing operations; and assumptions of liabilities and exposure to unforeseen liabilities of acquired companies, including liabilities for their failure to comply with healthcare and tax regulations. 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temporary healthcare staffing industry is regulated in many states. For example, in some states, firms such as our nurse staffing companies must be registered to establish and advertise as a nurse-staffing agency or must qualify for an exemption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73" w:right="239" w:bottom="1440" w:gutter="0" w:footer="0" w:header="0"/>
        </w:sectPr>
      </w:pPr>
    </w:p>
    <w:bookmarkStart w:id="13" w:name="page14"/>
    <w:bookmarkEnd w:id="13"/>
    <w:p>
      <w:pPr>
        <w:ind w:right="200"/>
        <w:spacing w:after="0" w:line="276" w:lineRule="auto"/>
        <w:rPr>
          <w:sz w:val="20"/>
          <w:szCs w:val="20"/>
          <w:color w:val="auto"/>
        </w:rPr>
      </w:pPr>
      <w:r>
        <w:rPr>
          <w:rFonts w:ascii="Arial" w:cs="Arial" w:eastAsia="Arial" w:hAnsi="Arial"/>
          <w:sz w:val="17"/>
          <w:szCs w:val="17"/>
          <w:color w:val="auto"/>
        </w:rPr>
        <w:t>from registration in those states. If we were to lose any required state licenses, we could be required to cease operating in those states. The introduction of new regulatory provisions could also substantially raise the costs associated with hiring temporary employees. For example, some states could impose sales taxes or increase sales tax rates on temporary healthcare staffing services. These increased costs may not be able to be passed on to clients. In addition, if government regulations were implemented that limited the amount we could charge for our services, our profitability could be adversely affected. We continuously monitor changes in regulations and legislation for potential impacts on our business.</w:t>
      </w:r>
    </w:p>
    <w:p>
      <w:pPr>
        <w:spacing w:after="0" w:line="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healthcare industry is highly regulated. Any material changes in the political, economic or regulatory environment that affect the purchasing policies, practices and operations of healthcare organizations, or that lead to consolidation in the healthcare industry, could reduce the funds available to purchase our services or otherwise require us to modify our offerings.</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provide our services to hospitals and health systems which pay us directly. Accordingly, Medicare, Medicaid and insurance reimbursement policy changes generally do not directly impact us. However, indirectly, our business, financial condition and results of operations depend upon conditions affecting the healthcare industry generally and hospitals and health systems particularly. The healthcare industry is highly regulated by federal and state authorities and is subject to changing political, economic and regulatory influences. Factors such as changes in reimbursement policies for healthcare expenses, consolidation in the healthcare industry, regulation, litigation and general economic conditions could affect the purchasing practices, operations and the financial health of our customers which could have a negative impact on our business. In addition, insurance companies and managed care organizations seek to control costs by requiring healthcare providers, such as hospitals, to discount their services in exchange for exclusive or preferred participation in their benefit plans. While not affecting us directly, future federal and state legislation or evolving commercial reimbursement trends may further reduce or change conditions for our clients’ reimbursement. Such limitations on reimbursement could reduce our clients’ cash flows, hampering the pricing we can charge clients and their ability to pay us. Reimbursement changes in government programs, particularly Medicare and Medicaid, can and do indirectly affect the demand and the prices paid for our services. The impact of any other legislation to repeal or amend or replace the ACA is uncertain and could adversely affect our business and financial condition.</w:t>
      </w:r>
    </w:p>
    <w:p>
      <w:pPr>
        <w:spacing w:after="0" w:line="9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operate our business in a regulated industry and modifications, inaccurate interpretations or violations of any applicable statutory or regulatory requirements may result in material costs or penalties as well as litigation and could reduce our revenue and earnings per share.</w:t>
      </w:r>
    </w:p>
    <w:p>
      <w:pPr>
        <w:spacing w:after="0" w:line="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etc.) and the operations of our business generally (e.g., federal, state and local tax laws). If we do not comply with the laws and regulations that are applicable to our business, we could incur civil and/or criminal penalties as well as litigation or be subject to equitable remedies.</w:t>
      </w:r>
    </w:p>
    <w:p>
      <w:pPr>
        <w:spacing w:after="0" w:line="10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litigation, which could result in substantial judgment or settlement costs; significant legal actions could subject us to substantial uninsured liabilities.</w:t>
      </w:r>
    </w:p>
    <w:p>
      <w:pPr>
        <w:spacing w:after="0" w:line="8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party to various litigation, claims, investigations, and other proceedings. These matters primarily relate to employee-related matters that include individual and collective claims, professional liability, tax, and payroll practices.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are performed at least quarterly and are based on the information available to management at the time and involve a significant amount of management judgment. Based on the new information considered in our reviews, we adjust our loss contingency accruals and our disclosures. We may not have sufficient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w:t>
      </w:r>
    </w:p>
    <w:p>
      <w:pPr>
        <w:spacing w:after="0" w:line="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recent years, healthcare providers have become subject to an increasing number of legal actions alleging malpractice, vicarious liability, violation of certain consumer protection acts, negligent hiring, negligent credentialing, or related legal theories. We may be subject to liability in such cases even if our Company's contribution to the alleged injury was minimal or related to one of our subcontractors or its employees. Many of these actions involve large claims and significant defense costs. In addition, we may be subject to claims related to torts or crimes committed by our corporate employees or healthcare professionals that we place on assignment. In most instances, we are required to indemnify clients against some or all of these risks. A failure of any of our corporate employees or healthcare professional to observe our policies and guidelines, relevant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73" w:right="239" w:bottom="1440" w:gutter="0" w:footer="0" w:header="0"/>
        </w:sectPr>
      </w:pPr>
    </w:p>
    <w:bookmarkStart w:id="14" w:name="page15"/>
    <w:bookmarkEnd w:id="14"/>
    <w:p>
      <w:pPr>
        <w:ind w:right="480"/>
        <w:spacing w:after="0" w:line="277" w:lineRule="auto"/>
        <w:rPr>
          <w:sz w:val="20"/>
          <w:szCs w:val="20"/>
          <w:color w:val="auto"/>
        </w:rPr>
      </w:pPr>
      <w:r>
        <w:rPr>
          <w:rFonts w:ascii="Arial" w:cs="Arial" w:eastAsia="Arial" w:hAnsi="Arial"/>
          <w:sz w:val="18"/>
          <w:szCs w:val="18"/>
          <w:color w:val="auto"/>
        </w:rPr>
        <w:t>client policies and guidelines or applicable federal, state or local laws, rules and regulations could result in negative publicity, payment of fines or other damages.</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protect ourselves from the cost of these types of claims, we maintain professional malpractice liability insurance, employment practices liability insurance, and general liability insurance coverage with terms and in amounts with deductibles that we believe are appropriate for our operations. We are partially self-insured for our workers' compensation coverage, health insurance coverage, and professional liability coverage for our locum tenens providers. If we become subject to substantial uninsured workers' compensation, medical coverage or medical malpractice liabilities, whether directly or indirectly, our financial results may be adversely affected. In addition, our insurance coverage may not cover all claims against us or continue to be available to us at a reasonable cost. If we are unable to pay our self-insured retention portion, pay any uninsured portion, or maintain adequate insurance coverage, we may be exposed to substantial liabilities.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we may be unable to consummate a transaction that our stockholders consider favorable.</w:t>
      </w:r>
    </w:p>
    <w:p>
      <w:pPr>
        <w:spacing w:after="0" w:line="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limit or prohibit us from refinancing our credit agreements on terms favorable to us or at all when they become due.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issuable under our stock incentive plans are presently in effect and sales of this stock could cause our stock price to decline.</w:t>
      </w:r>
    </w:p>
    <w:p>
      <w:pPr>
        <w:spacing w:after="0" w:line="14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registered 6,100,000 shares of common stock for issuance under our 2014 Omnibus Incentive Plan, and 4,398,001 shares of common stock for our predecessor 1999 stock option plan, all of which have been registered. Shares of restricted stock outstanding as of February 24, 2020 were 989,109. In addition, a target of 364,557 performance stock award grants were outstanding as of February 24, 2020. Fully vested stock appreciation rights of 8,000 were issued and outstanding as of February 24, 2020. See Note 15 - Stockholders' Equity to our consolidated financial statements. Vested restricted stock and issuance of common stock related to our awards as well as common stock issued upon exercise of stock options, and stock appreciation rights under these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proper functioning of our information systems and applications hosted by our vendors.</w:t>
      </w:r>
    </w:p>
    <w:p>
      <w:pPr>
        <w:spacing w:after="0" w:line="14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dependent on the proper functioning of information systems used to operate our business, including those applications hosted by our vendors. Critical information systems used in daily operations identify and match staffing resources and client assignments and perform billing and accounts receivable functions. Additionally, we rely on our information systems in managing our accounting and financial reporting. These systems are subject to certain risks, including technological obsolescence. We are currently evaluating the technology platforms of our businesses, and replacing our legacy nurse and allied applicant tracking system. If our proprietary systems of Software as a Service applications fail, are not successfully implemented, or are otherwise unable to function in a manner that properly supports our business operations, or if these systems require significant costs to repair, maintain or further develop or update, we could experience business interruptions or delays that could materially and adversely affect our business and financial results.</w:t>
      </w:r>
    </w:p>
    <w:p>
      <w:pPr>
        <w:spacing w:after="0" w:line="8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73" w:right="259" w:bottom="1440" w:gutter="0" w:footer="0" w:header="0"/>
        </w:sectPr>
      </w:pPr>
    </w:p>
    <w:bookmarkStart w:id="15" w:name="page16"/>
    <w:bookmarkEnd w:id="15"/>
    <w:p>
      <w:pPr>
        <w:ind w:right="300"/>
        <w:spacing w:after="0" w:line="264" w:lineRule="auto"/>
        <w:rPr>
          <w:sz w:val="20"/>
          <w:szCs w:val="20"/>
          <w:color w:val="auto"/>
        </w:rPr>
      </w:pPr>
      <w:r>
        <w:rPr>
          <w:rFonts w:ascii="Arial" w:cs="Arial" w:eastAsia="Arial" w:hAnsi="Arial"/>
          <w:sz w:val="18"/>
          <w:szCs w:val="18"/>
          <w:color w:val="auto"/>
        </w:rPr>
        <w:t>critical information systems fail or are otherwise unavailable, these functions would have to be accomplished manually, which could impact our ability to, among other things, maintain billing and clinical records reliably, to bill for services efficiently and to maintain our accounting and financial reporting accurately.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for the execution of certain critical functions.</w:t>
      </w:r>
    </w:p>
    <w:p>
      <w:pPr>
        <w:spacing w:after="0" w:line="14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outsourced certain critical applications or business processes to external providers, including but not limited to background screenings of our employees. We exercise care in the selection and oversight of these providers. However, the failure or inability to perform on the part of one or more of these critical suppliers could cause significant disruptions and increased costs to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collection, use, and retention of personal information and personal health information create risks that may harm our business.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part of our business model, we collect, transmit and retain personal information of our employees and contract professionals and their dependents, including, without limitation, full names, social security numbers, addresses, birth dates, and payroll-related information. We use commercially available information security technologies to protect such information in digital format and have security and business controls to limit access to such information. In addition, we periodically perform penetration tests and respond to those findings. However, employees or third parties may be able to circumvent these measures and acquire or misuse such information, resulting in breaches of privacy, and errors in the storage, use or transmission of such information. Privacy breaches may require notification and other remedies, which can be costly, and which may have other serious adverse consequences for our business, including regulatory penalties and fines, claims for breach of contract, claims for damages, adverse publicity, reduced demand for our services by clients and/or healthcare professional candidates, harm to our reputation, and regulatory oversight by state or federal agencies. The possession and use of personal information and data in conducting our business subjects us to legislative and regulatory burdens. We may be required to incur significant expenses to comply with mandatory privacy and security standards and protocols imposed by law, regulation, industry standards, or contractual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risks and cyber incidents could adversely affect our business and disrupt operations.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have implemented systems and processes to focus on identification, prevention, mitigation and resolution. However, these measures cannot provide absolute security, and our systems may be vulnerable to cyber-security breaches such as viruses, hacking, and similar disruptions from unauthorized intrusions. In addition, we rely on third party service providers to perform certain services, such as payroll and tax services. Any failure of our systems or third party systems may compromise our sensitive information and/or personally identifiable information of our employees. While we have secured cyber insurance to potentially cover certain risks associated with cyber incidents, there can be no assurance the insurance will be sufficient to cover any such liability.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and fires, could cause us to suffer material financial losses.</w:t>
      </w:r>
    </w:p>
    <w:p>
      <w:pPr>
        <w:spacing w:after="0" w:line="14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Catastrophes can be caused by various events, including, but not limited to, hurricanes, fires, and other severe weather. The incidence and severity of catastrophes are inherently unpredictable. With our headquarters and shared services located in South Florida, we are more vulnerable to possible disruptions from hurricanes and the impacts resulting therefrom, such as tornadoes, flooding, fuel shortages, and disruption of internet, and telecommunications services. The extent of losses from a catastrophe is a function of both the total amount of insured exposure and the severity of the event. We do not maintain business interruption insurance for these events. We could suffer material financial losses as a result of disruptions from hurricanes, fires, and other catastrophes.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73" w:right="25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b w:val="1"/>
          <w:bCs w:val="1"/>
          <w:i w:val="1"/>
          <w:iCs w:val="1"/>
          <w:color w:val="auto"/>
        </w:rPr>
        <w:t>We have a level of indebtedness which may have an adverse effect on our business or limit our ability to take advantage of business, strategic or financing opportunities.</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indicated below, we have and will continue to have a significant amount of indebtedness relative to our equity. The following table sets forth our total principal amount of debt and stockholders’ equity.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352"/>
              <w:spacing w:after="0"/>
              <w:rPr>
                <w:sz w:val="20"/>
                <w:szCs w:val="20"/>
                <w:color w:val="auto"/>
              </w:rPr>
            </w:pPr>
            <w:r>
              <w:rPr>
                <w:rFonts w:ascii="Arial" w:cs="Arial" w:eastAsia="Arial" w:hAnsi="Arial"/>
                <w:sz w:val="18"/>
                <w:szCs w:val="18"/>
                <w:color w:val="auto"/>
                <w:w w:val="99"/>
              </w:rPr>
              <w:t>December 31, 2019</w:t>
            </w:r>
          </w:p>
        </w:tc>
      </w:tr>
      <w:tr>
        <w:trPr>
          <w:trHeight w:val="27"/>
        </w:trPr>
        <w:tc>
          <w:tcPr>
            <w:tcW w:w="9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92"/>
              <w:spacing w:after="0"/>
              <w:rPr>
                <w:sz w:val="20"/>
                <w:szCs w:val="20"/>
                <w:color w:val="auto"/>
              </w:rPr>
            </w:pPr>
            <w:r>
              <w:rPr>
                <w:rFonts w:ascii="Arial" w:cs="Arial" w:eastAsia="Arial" w:hAnsi="Arial"/>
                <w:sz w:val="16"/>
                <w:szCs w:val="16"/>
                <w:color w:val="auto"/>
                <w:w w:val="98"/>
              </w:rPr>
              <w:t>(amounts in thousands)</w:t>
            </w:r>
          </w:p>
        </w:tc>
      </w:tr>
      <w:tr>
        <w:trPr>
          <w:trHeight w:val="303"/>
        </w:trPr>
        <w:tc>
          <w:tcPr>
            <w:tcW w:w="9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70,974</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tcPr>
          <w:p>
            <w:pPr>
              <w:ind w:left="40"/>
              <w:spacing w:after="0"/>
              <w:rPr>
                <w:sz w:val="20"/>
                <w:szCs w:val="20"/>
                <w:color w:val="auto"/>
              </w:rPr>
            </w:pPr>
            <w:r>
              <w:rPr>
                <w:rFonts w:ascii="Arial" w:cs="Arial" w:eastAsia="Arial" w:hAnsi="Arial"/>
                <w:sz w:val="18"/>
                <w:szCs w:val="18"/>
                <w:color w:val="auto"/>
              </w:rPr>
              <w:t>Total Cross Country Healthcare, Inc.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162,632</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Our level of indebtedness increases the possibility that we may be unable to generate cash sufficient to pay the principal, interest or other amounts due on our indebtedness. Subject to certain restrictions under our existing indebtedness, we and our subsidiaries may also incur significant additional indebtedness in the future. This may have the effect of increasing our total leverage. As a consequence of our indebtedness; (i) demands on our cash resources may increase;</w:t>
      </w:r>
    </w:p>
    <w:p>
      <w:pPr>
        <w:jc w:val="both"/>
        <w:ind w:right="220" w:firstLine="8"/>
        <w:spacing w:after="0" w:line="254" w:lineRule="auto"/>
        <w:tabs>
          <w:tab w:leader="none" w:pos="26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restrictive covenants that limit our financial and operating flexibility. Our ability to generate profitability and maintain cash flow from operations could impact our compliance with these covenants; and (iii) we may choose to institute self-imposed limits on our indebtedness based on certain considerations including market interest rates, our relative leverage and our strategic plans. For example, as a result of our level of indebtedness and the uncertainties arising in the credit markets and the U.S. economy:</w:t>
      </w:r>
    </w:p>
    <w:p>
      <w:pPr>
        <w:spacing w:after="0" w:line="109"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more vulnerable to general adverse economic and industry conditions;</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have to pay higher interest rates upon refinancing or on our variable rate indebtedness if interest rates rise, thereby reducing our cash flows;</w:t>
      </w:r>
    </w:p>
    <w:p>
      <w:pPr>
        <w:spacing w:after="0" w:line="155" w:lineRule="exact"/>
        <w:rPr>
          <w:rFonts w:ascii="Arial" w:cs="Arial" w:eastAsia="Arial" w:hAnsi="Arial"/>
          <w:sz w:val="17"/>
          <w:szCs w:val="17"/>
          <w:color w:val="auto"/>
        </w:rPr>
      </w:pPr>
    </w:p>
    <w:p>
      <w:pPr>
        <w:ind w:left="180" w:right="24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find it more difficult to obtain additional financing to fund future working capital, capital expenditures, acquisitions, and other general corporate requirements that would be in our long-term interests;</w:t>
      </w:r>
    </w:p>
    <w:p>
      <w:pPr>
        <w:spacing w:after="0" w:line="89" w:lineRule="exact"/>
        <w:rPr>
          <w:rFonts w:ascii="Arial" w:cs="Arial" w:eastAsia="Arial" w:hAnsi="Arial"/>
          <w:sz w:val="18"/>
          <w:szCs w:val="18"/>
          <w:color w:val="auto"/>
        </w:rPr>
      </w:pPr>
    </w:p>
    <w:p>
      <w:pPr>
        <w:ind w:left="180" w:right="36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dedicate a substantial portion of our cash flow from operations to the payment of principal and interest on our debt, reducing the available cash flow to fund other investments;</w:t>
      </w:r>
    </w:p>
    <w:p>
      <w:pPr>
        <w:spacing w:after="0" w:line="89"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limited flexibility in planning for, or reacting to, changes in our business or in the industry;</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competitive disadvantage relative to other companies in our industry that are less leveraged;</w:t>
      </w:r>
    </w:p>
    <w:p>
      <w:pPr>
        <w:spacing w:after="0" w:line="144" w:lineRule="exact"/>
        <w:rPr>
          <w:rFonts w:ascii="Arial" w:cs="Arial" w:eastAsia="Arial" w:hAnsi="Arial"/>
          <w:sz w:val="18"/>
          <w:szCs w:val="18"/>
          <w:color w:val="auto"/>
        </w:rPr>
      </w:pPr>
    </w:p>
    <w:p>
      <w:pPr>
        <w:ind w:left="180" w:right="300" w:hanging="172"/>
        <w:spacing w:after="0" w:line="277"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sell debt or equity securities or sell some of our core assets, possibly on unfavorable terms, in order to meet payment obligations; and</w:t>
      </w:r>
    </w:p>
    <w:p>
      <w:pPr>
        <w:spacing w:after="0" w:line="89" w:lineRule="exact"/>
        <w:rPr>
          <w:rFonts w:ascii="Arial" w:cs="Arial" w:eastAsia="Arial" w:hAnsi="Arial"/>
          <w:sz w:val="18"/>
          <w:szCs w:val="18"/>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successfully raise capital to execute our mergers and acquisitions strategy.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These constraints could have a material adverse effect on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 rates under our ABL Credit Agreement may be impacted by the phase-out of the London Interbank Offered Rate (LIBOR).</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LIBOR is the basic rate of interest used in lending between banks on the London interbank market and is widely used as a reference for setting the interest rates on loans globally. We use LIBOR as a reference rate to calculate interest under our ABL Credit Agreement.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identified the Secured Overnight Financing Rate (SOFR) as the preferred alternative reference rate to U.S. dollar LIBOR and recommended a paced transition plan that involves the creation of a reference rate based on SOFR by the end of 2021. SOFR is a more generic measure than LIBOR and considers the cost of borrowing cash overnight, collateralized by U.S. Treasury securities. Given the inherent differences between LIBOR and SOFR or any other alternative benchmark rate that may be established, there are many uncertainties regarding a transition from LIBOR. Our ABL Credit Agreement contains a fallback provision providing for alternative rate calculations in the event LIBOR is unavailable, prior to any LIBOR rate transition. As a result of any changes in the benchmarking rate, the new rates we incur may not be as favorable to us as those in effect prior to any LIBOR phase-out, and we may incur higher interest payments.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73" w:right="239" w:bottom="1440" w:gutter="0" w:footer="0" w:header="0"/>
        </w:sectPr>
      </w:pPr>
    </w:p>
    <w:bookmarkStart w:id="17" w:name="page18"/>
    <w:bookmarkEnd w:id="17"/>
    <w:p>
      <w:pPr>
        <w:ind w:right="380"/>
        <w:spacing w:after="0" w:line="277" w:lineRule="auto"/>
        <w:rPr>
          <w:sz w:val="20"/>
          <w:szCs w:val="20"/>
          <w:color w:val="auto"/>
        </w:rPr>
      </w:pPr>
      <w:r>
        <w:rPr>
          <w:rFonts w:ascii="Arial" w:cs="Arial" w:eastAsia="Arial" w:hAnsi="Arial"/>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have sufficient liquidity to operate our business in the normal course. If, however, we were to make an acquisition or enter into a similar type of transaction, our liquidity needs may exceed our current capacity. In addition, our existing credit facilities currently contain financial covenants that require us to operate above a minimum fixed charge coverage ratio and below a consolidated leverage ratio. Deterioration in our operating results could result in our inability to comply with these covenants and would result in a default under our credit facility. If an event of default exists, our lenders could call the indebtedness and we may be unable to renegotiate or secure other financing.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risks associated with international operations.</w:t>
      </w:r>
    </w:p>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(i) fluctuations in currency exchange rates; (ii) changes in regulations; (iii) varying economic and political conditions; (iv) overlapping or differing tax structures; and (v) regulations (pertaining to, among other things, compensation and benefits, vacation, and the termination of employment). Our inability to effectively manage our international operations or our violation of a regulation could result in increased costs and adversely affect our results of operations.</w:t>
      </w:r>
    </w:p>
    <w:p>
      <w:pPr>
        <w:spacing w:after="0" w:line="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Due to inherent limitations, there can be no assurance that our system of disclosure and internal controls and procedures will be successful in preventing all errors and fraud, or in making all material information known in a timely manner to management.</w:t>
      </w:r>
    </w:p>
    <w:p>
      <w:pPr>
        <w:spacing w:after="0" w:line="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internal controls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acts of an individual, by collusion of two or more people, or by management override of the control.</w:t>
      </w:r>
    </w:p>
    <w:p>
      <w:pPr>
        <w:spacing w:after="0" w:line="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misstatements due to error or fraud may occur and not be detected.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in the value of our goodwill, trade names, or other intangible assets could negatively impact our net income and earnings per share.</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required to test goodwill and intangible assets with indefinite lives (such as trade names) annually, to determine if impairment has occurred. Long-lived assets and other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the fair value of the indefinite-lived intangible asset in the period the determination is made.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changes in our stock price and market capitalization. Changes in these factors, or changes in actual performance compared with estimates of our future performance, could affect the fair value of goodwill, trade names, or other intangible assets, which may result in an impairment charge. We cannot accurately predict the amount and timing of any impairment of assets. Should the value of goodwill or other intangible assets become impaired, there could be an adverse effect on us. At December 31, 2019, goodwill, trade names not subject to amortization, and other intangible assets represented 40% of our total assets. In 2019, 2018, and 2017, we recorded impairment charges of $14.5 million, $22.4 million, and $14.4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35" w:right="23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taxing authorities do not agree with our tax positions, if there are further legislative tax changes, or if we are unable to utilize our net operating losses.</w:t>
      </w:r>
    </w:p>
    <w:p>
      <w:pPr>
        <w:spacing w:after="0" w:line="8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are periodically subject to a number of tax examinations by taxing authorities in the states and countries where we do business. We also have significant deferred tax assets related to our net operating losses (NOLs) in U.S. federal and state taxing jurisdictions, which, generally, for U.S. federal and state tax purposes, carry forward for up to twenty years. Tax years generally remain subject to examination until three years after NOLs are used or expire. We expect that we will continue to be subject to tax examinations in the future. We recognize tax benefits of uncertain tax positions when we believe the positions are more likely than not of being sustained upon a challenge by the relevant tax authority. We believe our judgments in this area are reasonable and correct, but there is no guarantee that we will be successful if challenged by a taxing authority. If there are tax benefits, including, but not limited to, the use of NOLs, expense reimbursements, or other tax attributes, that are challenged successfully by a taxing authority, we may be required to pay additional taxes, interest, and penalties, or we may seek to enter into settlements with the taxing authorities, which could require significant payments or otherwise have a material adverse effect on our business, results of operations, and financial condition.</w:t>
      </w:r>
    </w:p>
    <w:p>
      <w:pPr>
        <w:spacing w:after="0" w:line="10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U.S. federal, state and local, as well as international, tax laws and regulations are extremely complex and subject to varying interpretations. Most recently, on December 22, 2017, the President signed the 2017 Tax Act into law. In the long-term, we anticipate that we will have an overall benefit from the reduction in the tax rate slightly offset by potential deductions disallowed under the current law. Although we are not aware of any provision in the 2017 Tax Act or any other pending tax legislation that would have a material adverse impact on our financial performance, the ultimate impact of the 2017 Tax Act may differ from our current assessment due to changes in interpretations and assumptions made by us as well as the issuance of any further regulations or guidance regarding the U.S. federal income tax code. At this time, it is unclear how many U.S. states will incorporate these federal law changes, or portions thereof, into their tax codes. There can be no assurance that the 2017 Tax Act or any other legislative changes will not negatively impact our operating results, financial condition, and future business operations.</w:t>
      </w:r>
    </w:p>
    <w:p>
      <w:pPr>
        <w:spacing w:after="0" w:line="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we may be limited in our ability to utilize our NOLs to offset future taxable income and thereby reduce our otherwise payable income taxes. Our ability to utilize our NOLs is also dependent, in part, upon us having sufficient future earnings to utilize our NOLs before they expire. If market conditions change materially and we determine that we will be unable to generate sufficient taxable income in the future to utilize our NOLs, we could be required to record an additional valuation allowance. We review the valuation allowances for our NOLs periodically and make adjustments from time to time, which can result in an increase or decrease to the net deferred tax asset related to our NOLs. If we are unable to use our NOLs or use of our NOLs is limited, we may have to make significant payments or reduce our deferred tax assets, which could have a material adverse effect on our business, results of operations and financial condition.</w:t>
      </w:r>
    </w:p>
    <w:p>
      <w:pPr>
        <w:spacing w:after="0" w:line="1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Federal or state taxing authorities could re-classify our locum tenens physicians, CRNAs, nurse practitioners, and other independent contractors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method for paying locum tenens physicians changes, it could negatively impact our profitability.</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Medicare Access and CHIP Reauthorization Act of 2015 created a new framework for rewarding physicians for providing higher quality care by establishing two tracks of payment: a merit-based incentive payment system, and Advanced Alternative Payment Models. If hospitals change the method for paying locum tenens physicians to meet their performance goals or other criteria for Medicaid or Medicare reimbursements, the profitability of our business could be adversely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the successful execution of our business strategy and our ability to build upon significant recent investments and acquisitions depends on the continued employment of key members of our senior management team. If we were to lose any key personnel, we may not be able to find an appropriate replacement on a timely basis and our results of operations could be negatively affected. Further, the loss of a significant number of employees or our inability to hire a sufficient number of qualified employees could have a material adverse effect on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73"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markets in which we operate or that otherwise impacts our clients could adversely affect our business.</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a pandemic, epidemic, or outbreak of an infectious disease, including the recent outbreak of respiratory illness caused by the 2019 Novel Coronavirus (COVID-19) or other public health crisis, were to affect our clients or our employees, (including the supply of healthcare professionals), our business could be adversely affected. Demand from our clients may be reduced as any such crisis could adversely impact our customers if patients cancel elective procedures or fail to seek needed medical care. Additionally, our employees and supply of healthcare professionals may be personally affected by an outbreak or limit their travel which could impact our ability to serve our clients or respond timely to their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of our operations are conducted through leased office space. As of December 31, 2019, we leased office space in 59 facilities located in 27 states throughout the United States. We continuously evaluate facility needs based on the extent of our service offerings, the rate of client growth or decline, the geographic distribution of our client base, changing market conditions, and our long-term goals. As of December 31, 2019, our material leased properties are described below:</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corporate headquarters is located in Boca Raton, Florida, with approximately 48,000 square feet of office space under lease through November 2025. Our corporate executive staff, legal, finance, risk management, internal audit, and information technology teams occupy approximately 26,000 square feet with the remainder of the space vacant and available for a sublease which we are currently seeking.</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additional office space in Boca Raton, Florida, with approximately 70,000 square feet of office space under lease through December 2025. Our Nurse and Allied executive staff and operations personnel as well as shared support functions of human resources, payroll and billing, sales, and marketing fully occupy this space.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Norcross, Georgia we have approximately 42,000 square feet of office space under lease through October 2024. Our Physician Staffing executive staff and operations personnel occupy approximately 31,000 square feet with the remainder of the space vacant and available for a sublease which we are currently seeking.</w:t>
      </w:r>
    </w:p>
    <w:p>
      <w:pPr>
        <w:spacing w:after="0" w:line="181"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In Creve Coeur, Missouri, we have approximately 27,000 square feet of office space under lease through August 2024. Our Search executive staff and operations personnel occupy approximately 19,000 square feet with the remainder vacant and available for a sublease which we are currently seeking.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From time to time, we are involved in various litigation, claims, investigations, and other proceedings that arise in the ordinary course of our business. These matters primarily relate to employee-related matters that include individual and collective claims, professional liability, tax, and payroll practices. We establish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our reviews, we adjust our loss contingency accruals and our disclosures as may be required. Actual outcomes or losses may differ materially from those estimated by our current assessments, including available insurance recoveries, which would impact our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our financial results. In the second quarter of 2019, we recorded $1.6 million in legal settlement charges related to the resolution of a medical malpractice lawsuit, as well as a 2019 California wage and hour class action settlement agreement. We believe the outcome of any outstanding loss contingencies as of December 31, 2019 will not have a material adverse effect on our business, financial condition, results of operations, or cash flows. In October 2019, we received a grand jury subpoena directed to Advantage On Call whose assets were purchased by Cross Country Healthcare, Inc. in 2017. The subpoena appears to relate to an investigation of home healthcare services and healthcare staffing services. We are cooperating with the investigation.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9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currently trades under the symbol “CCRN” on the NASDAQ Global Select Market (NASDAQ). Our common stock commenced trading on the NASDAQ National Market under the symbol “CCRN” on October 25, 2001.</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graph below compares the Company to the cumulative 5-year total return of holders of the Company's common stock with the cumulative total returns of the NASDAQ Composite index and the Dow Jones U.S. Business Training &amp; Employment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9" w:right="239" w:bottom="1440" w:gutter="0" w:footer="0" w:header="0"/>
        </w:sectPr>
      </w:pPr>
    </w:p>
    <w:bookmarkStart w:id="21" w:name="page22"/>
    <w:bookmarkEnd w:id="21"/>
    <w:p>
      <w:pPr>
        <w:ind w:right="160"/>
        <w:spacing w:after="0" w:line="277" w:lineRule="auto"/>
        <w:rPr>
          <w:sz w:val="20"/>
          <w:szCs w:val="20"/>
          <w:color w:val="auto"/>
        </w:rPr>
      </w:pPr>
      <w:r>
        <w:rPr>
          <w:rFonts w:ascii="Arial" w:cs="Arial" w:eastAsia="Arial" w:hAnsi="Arial"/>
          <w:sz w:val="18"/>
          <w:szCs w:val="18"/>
          <w:color w:val="auto"/>
        </w:rPr>
        <w:t>Agencies index. The graph assumes that the value of the investment in the Company's common stock and in each of the indexes (including reinvestment of dividends) was $100 on December 31, 2014 and tracks it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117475</wp:posOffset>
            </wp:positionV>
            <wp:extent cx="5848985" cy="424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February 24, 2020, there were 122 stockholders of record of our common stock. In addition, there were 3,940 beneficial owners of our common stock held by brokers or other institutions on behalf of stockholders.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never paid or declared cash dividends on our common stock. Covenants in our credit agreement limit our ability to repurchase our common stock and declare and pay cash dividends on our common stock. On February 28, 2008, our Board of Directors authorized our most recent stock repurchase program whereby we may purchase up to 1.5 million of our common shares, subject to the terms of our current credit agreement. The shares may be repurchased from time-to-time in the open market and the repurchase program may be discontinued at any time at our discretion. During the year ended December 31, 2018, the Company repurchased and retired 432,439 shares of its Common Stock at an average market price of $11.54 per share. At December 31, 2019, we had 510,004 shares of common stock left remaining to repurchase under this authorization, subject to the limitations of our credit agreement as described in Note 15 - Stockholders' Equity to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selected consolidated financial data as of December 31, 2019 and 2018 and for the years ended December 31, 2019, 2018, and 2017 are derived from the audited consolidated financial statements of Cross Country Healthcare, Inc., included elsewhere in this Report. The selected consolidated financial data as of December 31, 2017, 2016, and 2015 and for the years ended December 31, 2016 and 2015 are derived from the consolidated financial statements of Cross Country Healthcare, Inc., that have been audited but not included in this Report on Form 10-K.</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773" w:right="319" w:bottom="1440" w:gutter="0" w:footer="0" w:header="0"/>
        </w:sectPr>
      </w:pPr>
    </w:p>
    <w:bookmarkStart w:id="22" w:name="page23"/>
    <w:bookmarkEnd w:id="22"/>
    <w:p>
      <w:pPr>
        <w:jc w:val="both"/>
        <w:ind w:right="80"/>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5"/>
          </w:tcPr>
          <w:p>
            <w:pPr>
              <w:jc w:val="right"/>
              <w:ind w:right="159"/>
              <w:spacing w:after="0"/>
              <w:rPr>
                <w:sz w:val="20"/>
                <w:szCs w:val="20"/>
                <w:color w:val="auto"/>
              </w:rPr>
            </w:pPr>
            <w:r>
              <w:rPr>
                <w:rFonts w:ascii="Arial" w:cs="Arial" w:eastAsia="Arial" w:hAnsi="Arial"/>
                <w:sz w:val="16"/>
                <w:szCs w:val="16"/>
                <w:b w:val="1"/>
                <w:bCs w:val="1"/>
                <w:color w:val="auto"/>
                <w:w w:val="90"/>
              </w:rPr>
              <w:t>(Amounts in thousands, except per share data)</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822,224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816,484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865,048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833,537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767,421</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(15,711)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(12,880)</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(55,943)</w:t>
            </w: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(15,717)</w:t>
            </w:r>
          </w:p>
        </w:tc>
        <w:tc>
          <w:tcPr>
            <w:tcW w:w="3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38,802</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8,731</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4,954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(57,713)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(16,951)</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37,513</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4,418</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Per Share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(loss) income per share attributable to common shareholders - 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0.14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(loss) income per share attributable to common shareholders - 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0.15</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35,815</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35,657</w:t>
            </w:r>
          </w:p>
        </w:tc>
        <w:tc>
          <w:tcPr>
            <w:tcW w:w="3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35,018</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32,132</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31,514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35,815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35,657</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36,166</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36,246</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32,162</w:t>
            </w:r>
          </w:p>
        </w:tc>
      </w:tr>
      <w:tr>
        <w:trPr>
          <w:trHeight w:val="32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Operating Data:</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16,019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25,537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20,630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2,453</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382,374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427,003</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467,687</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388,378</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365,595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Total debt at par</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70,974</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83,876</w:t>
            </w:r>
          </w:p>
        </w:tc>
        <w:tc>
          <w:tcPr>
            <w:tcW w:w="3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64,523</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63,094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163,500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218,198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237,719</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151,802</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141,344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5,542</w:t>
            </w:r>
          </w:p>
        </w:tc>
        <w:tc>
          <w:tcPr>
            <w:tcW w:w="2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20,997</w:t>
            </w:r>
          </w:p>
        </w:tc>
        <w:tc>
          <w:tcPr>
            <w:tcW w:w="3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45,508</w:t>
            </w:r>
          </w:p>
        </w:tc>
        <w:tc>
          <w:tcPr>
            <w:tcW w:w="3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30,145</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18,235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and presentation of our consolidated data:</w:t>
      </w:r>
    </w:p>
    <w:p>
      <w:pPr>
        <w:spacing w:after="0" w:line="225" w:lineRule="exact"/>
        <w:rPr>
          <w:sz w:val="20"/>
          <w:szCs w:val="20"/>
          <w:color w:val="auto"/>
        </w:rPr>
      </w:pPr>
    </w:p>
    <w:p>
      <w:pPr>
        <w:ind w:left="82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net (loss) income for the years ended December 31, 2019, 2018, 2017, 2016, and 2015 includes amounts attributable to noncontrolling interest of $1.8 million, $1.2 million, $1.3 million, $0.8 million, and $0.5 million, respectively. See Note 1 - Organization and Basis of Presentation to our consolidated financial statements.</w:t>
      </w:r>
    </w:p>
    <w:p>
      <w:pPr>
        <w:spacing w:after="0" w:line="181" w:lineRule="exact"/>
        <w:rPr>
          <w:rFonts w:ascii="Arial" w:cs="Arial" w:eastAsia="Arial" w:hAnsi="Arial"/>
          <w:sz w:val="18"/>
          <w:szCs w:val="18"/>
          <w:color w:val="auto"/>
        </w:rPr>
      </w:pPr>
    </w:p>
    <w:p>
      <w:pPr>
        <w:ind w:left="820" w:right="140" w:hanging="326"/>
        <w:spacing w:after="0" w:line="25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AP Staffing effective December 1, 2018, all of the assets of Advantage effective July 1, 2017, and all of the membership interests of Mediscan on October 30, 2015. The results of these acquired companies' operations have been included in our consolidated statements of operations since their respective effective dates of acquisition. For the years ended December 31, 2019, 2018, 2017, 2016, and 2015, we recognized $0.3 million, $0.5 million, $2.0 million, $0.1 million, and $0.9 million, respectively, of acquisition and integration costs. See Note 4 - Acquisitions to our consolidated financial statements.</w:t>
      </w:r>
    </w:p>
    <w:p>
      <w:pPr>
        <w:spacing w:after="0" w:line="188" w:lineRule="exact"/>
        <w:rPr>
          <w:rFonts w:ascii="Arial" w:cs="Arial" w:eastAsia="Arial" w:hAnsi="Arial"/>
          <w:sz w:val="18"/>
          <w:szCs w:val="18"/>
          <w:color w:val="auto"/>
        </w:rPr>
      </w:pPr>
    </w:p>
    <w:p>
      <w:pPr>
        <w:ind w:left="820" w:right="220" w:hanging="326"/>
        <w:spacing w:after="0" w:line="279"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years ended December 31, 2019, 2018, 2017, and 2016 include a $0.1 million acquisition-related contingent consideration benefit, and $2.6 million, less than $0.1 million, and $0.8 million, respectively, of acquisition-related contingent consideration expense primarily due to valuation and accretion adjustments related to the contingent consideration liabilities of the US Resources Healthcare, LLC (USR) and Mediscan acquisitions. See Note 4 - Acquisitions and Note 11 - Fair Value Measurements to our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89" w:right="239" w:bottom="1440" w:gutter="0" w:footer="0" w:header="0"/>
        </w:sectPr>
      </w:pPr>
    </w:p>
    <w:bookmarkStart w:id="23" w:name="page24"/>
    <w:bookmarkEnd w:id="23"/>
    <w:p>
      <w:pPr>
        <w:ind w:left="820" w:right="2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expensed applicant tracking system costs related to our project to replace our legacy system supporting our travel nurse staffing business of $2.0 million and $0.7 million, respectively, for the years ended December 31, 2019 and 2018.</w:t>
      </w:r>
    </w:p>
    <w:p>
      <w:pPr>
        <w:spacing w:after="0" w:line="170" w:lineRule="exact"/>
        <w:rPr>
          <w:rFonts w:ascii="Arial" w:cs="Arial" w:eastAsia="Arial" w:hAnsi="Arial"/>
          <w:sz w:val="18"/>
          <w:szCs w:val="18"/>
          <w:color w:val="auto"/>
        </w:rPr>
      </w:pPr>
    </w:p>
    <w:p>
      <w:pPr>
        <w:jc w:val="both"/>
        <w:ind w:left="820" w:right="220" w:hanging="326"/>
        <w:spacing w:after="0" w:line="256"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incurred restructuring costs in the years ended December 31, 2019, 2018, 2017, 2016, and 2015, for $3.6 million, $2.8 million, $1.0 million, $0.8 million, and $1.3 million, respectively. Restructuring costs are primarily comprised of employee termination costs, lease-related exit costs, and reorganization costs as part of our planned</w:t>
      </w:r>
    </w:p>
    <w:p>
      <w:pPr>
        <w:ind w:left="1460"/>
        <w:spacing w:after="0"/>
        <w:rPr>
          <w:rFonts w:ascii="Arial" w:cs="Arial" w:eastAsia="Arial" w:hAnsi="Arial"/>
          <w:sz w:val="18"/>
          <w:szCs w:val="18"/>
          <w:color w:val="auto"/>
        </w:rPr>
      </w:pPr>
      <w:r>
        <w:rPr>
          <w:rFonts w:ascii="Arial" w:cs="Arial" w:eastAsia="Arial" w:hAnsi="Arial"/>
          <w:sz w:val="18"/>
          <w:szCs w:val="18"/>
          <w:color w:val="auto"/>
        </w:rPr>
        <w:t>costs savings initiatives.</w:t>
      </w:r>
    </w:p>
    <w:p>
      <w:pPr>
        <w:spacing w:after="0" w:line="183" w:lineRule="exact"/>
        <w:rPr>
          <w:rFonts w:ascii="Arial" w:cs="Arial" w:eastAsia="Arial" w:hAnsi="Arial"/>
          <w:sz w:val="18"/>
          <w:szCs w:val="18"/>
          <w:color w:val="auto"/>
        </w:rPr>
      </w:pPr>
    </w:p>
    <w:p>
      <w:pPr>
        <w:ind w:left="820" w:right="48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incurred legal settlement charges of $1.6 million in the year ended December 31, 2019, related to the resolution of a medical malpractice lawsuit as well as a California wage and hour class action settlement.</w:t>
      </w:r>
    </w:p>
    <w:p>
      <w:pPr>
        <w:spacing w:after="0" w:line="170" w:lineRule="exact"/>
        <w:rPr>
          <w:rFonts w:ascii="Arial" w:cs="Arial" w:eastAsia="Arial" w:hAnsi="Arial"/>
          <w:sz w:val="18"/>
          <w:szCs w:val="18"/>
          <w:color w:val="auto"/>
        </w:rPr>
      </w:pPr>
    </w:p>
    <w:p>
      <w:pPr>
        <w:jc w:val="both"/>
        <w:ind w:left="820" w:right="40" w:hanging="326"/>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Pre-tax non-cash impairment charges of $16.3 million, $22.4 million, $14.4 million, $24.3 million, and $2.1 million, respectively, were incurred in the years ended December 31, 2019, 2018, 2017, 2016, and 2015. See Note 5 - Goodwill, Trade Names, and Other Intangible Assets and Note 10 - Leases to our consolidated financial statements.</w:t>
      </w:r>
    </w:p>
    <w:p>
      <w:pPr>
        <w:spacing w:after="0" w:line="181" w:lineRule="exact"/>
        <w:rPr>
          <w:rFonts w:ascii="Arial" w:cs="Arial" w:eastAsia="Arial" w:hAnsi="Arial"/>
          <w:sz w:val="18"/>
          <w:szCs w:val="18"/>
          <w:color w:val="auto"/>
        </w:rPr>
      </w:pPr>
    </w:p>
    <w:p>
      <w:pPr>
        <w:ind w:left="820" w:right="80" w:hanging="326"/>
        <w:spacing w:after="0" w:line="27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year ended December 31, 2019 includes the impact of a loss on derivative of $1.3 million, which represents the amount paid to terminate an interest rate hedge related to our term loan that was refinanced in October 2019. The years ended December 31, 2017 and 2016 include the impact of a gain on derivative liability of $1.6 million and $5.8 million, while the year ended December 31, 2015 includes the impact of a loss on derivative liability of $9.9 million. The derivative liability related to the Convertible Notes issued in conjunction with a 2014 acquisition, which were paid in full on March 17, 2017. See Note 9 - Derivatives to our consolidated financial statements.</w:t>
      </w:r>
    </w:p>
    <w:p>
      <w:pPr>
        <w:spacing w:after="0" w:line="172" w:lineRule="exact"/>
        <w:rPr>
          <w:rFonts w:ascii="Arial" w:cs="Arial" w:eastAsia="Arial" w:hAnsi="Arial"/>
          <w:sz w:val="17"/>
          <w:szCs w:val="17"/>
          <w:color w:val="auto"/>
        </w:rPr>
      </w:pPr>
    </w:p>
    <w:p>
      <w:pPr>
        <w:ind w:left="820" w:right="160" w:hanging="326"/>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incurred a loss on sale of business of $2.2 million (an after-tax gain of $1.3 million), in the year ended December 31, 2015, related to the sale of our education seminars business, Cross Country Education, LLC on August 31, 2015.</w:t>
      </w:r>
    </w:p>
    <w:p>
      <w:pPr>
        <w:spacing w:after="0" w:line="170" w:lineRule="exact"/>
        <w:rPr>
          <w:rFonts w:ascii="Arial" w:cs="Arial" w:eastAsia="Arial" w:hAnsi="Arial"/>
          <w:sz w:val="18"/>
          <w:szCs w:val="18"/>
          <w:color w:val="auto"/>
        </w:rPr>
      </w:pPr>
    </w:p>
    <w:p>
      <w:pPr>
        <w:ind w:left="820" w:right="100" w:hanging="326"/>
        <w:spacing w:after="0" w:line="279"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years ended December 31, 2019, 2018, 2017, and 2016, include losses on early extinguishment of debt of $2.0 million, $0.1 million, $5.0 million, and $1.6 million, respectively, related to reductions in borrowing capacity on our then existing revolver in 2019, optional prepayments on the Amended Term Loan in 2019 and 2018, extinguishment fees, and the write-off of unamortized loan fees and net debt discount and issuance costs related to the prior credit agreements. See Note 8 - Debt to our consolidated financial statements.</w:t>
      </w:r>
    </w:p>
    <w:p>
      <w:pPr>
        <w:spacing w:after="0" w:line="171" w:lineRule="exact"/>
        <w:rPr>
          <w:rFonts w:ascii="Arial" w:cs="Arial" w:eastAsia="Arial" w:hAnsi="Arial"/>
          <w:sz w:val="17"/>
          <w:szCs w:val="17"/>
          <w:color w:val="auto"/>
        </w:rPr>
      </w:pPr>
    </w:p>
    <w:p>
      <w:pPr>
        <w:ind w:left="820" w:right="40" w:hanging="326"/>
        <w:spacing w:after="0" w:line="25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 expense for the year ended December 31, 2019 includes $35.8 million of expense related to the establishment of valuation allowances on our deferred tax assets. Income tax benefit for the years ended December 31, 2018 and 2017 included benefits of $6.0 million and $12.1 million, respectively, related to the non-cash impairment charges. The income tax benefit for the year ended December 31, 2017 was primarily the result of reducing federal and certain state valuation allowances on our deferred tax assets totaling $45.4 million, offset by an $8.0 million reduction in our net deferred tax assets (relating to the impact from the 2017 Tax Act signed into legislation on December 22, 2017). For the year ended December 31, 2018, we completed our 2017 federal and state income tax returns and recorded a discrete tax benefit associated with adjusting our net deferred tax asset. A valuation allowance was maintained and reflected in the years ended December 31, 2015 through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1. Business, Item 6. Selected Financial Data, Item 1A. Risk Factors, Forward-Looking Statements and Item 15. Consolidated Financial Statements and the accompanying notes and other data, all of which appear elsewhere in this Annual Report on Form 10-K.</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below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or Operations” in the Company’s Annual Report on Form 10-K for the fiscal year ended December 31, 2018 filed with the SEC on 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provide total talent management services, including strategic workforce solutions, contingent staffing, permanent placement and other consultative services for healthcare clients. We recruit and place highly qualified healthcare professionals in virtually every specialty and area of expertise. Our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 Through our national staffing teams and network of office locations, we offer our workforce solutions and we are able to place clinicians on travel and per diem assignments, local short-term contracts and permanent positions. Our workforce solutions include MSP, EMR transition staffing, RPO, IRP, and other outsourcing and consultative services as described in Item 1. Business. By utilizing our various solutions, clients are able to better plan their personnel needs, talent acquisition and management processes, strategically flex and balance their workforce, access quality healthcare personnel, and provide continuity of care for improved patient outcomes.</w:t>
      </w:r>
    </w:p>
    <w:p>
      <w:pPr>
        <w:spacing w:after="0" w:line="10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We manage and segment our business based on the nature of our services we offer to our customers. As a result,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report three business segments – Nurse and Allied Staffing, Physician Staffing, and Search.</w:t>
      </w:r>
    </w:p>
    <w:p>
      <w:pPr>
        <w:spacing w:after="0" w:line="147" w:lineRule="exact"/>
        <w:rPr>
          <w:sz w:val="20"/>
          <w:szCs w:val="20"/>
          <w:color w:val="auto"/>
        </w:rPr>
      </w:pPr>
    </w:p>
    <w:p>
      <w:pPr>
        <w:ind w:left="660" w:hanging="328"/>
        <w:spacing w:after="0" w:line="27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For the year ended December 31, 2019, Nurse and Allied Staffing represented approximately 89% of our total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The Nurse and Allied Staffing segment provides workforce solutions and traditional staffing, including temporary and permanent placement of travel nurses and allied professionals, as well as per diem and contract nurses and allied personnel. We also staff healthcare personnel and substitute teachers in public and charter schools. We provide flexible workforce solutions to our healthcare clients through diversified offerings designed to meet their unique needs, including: MSP, OWS, EMR, IRP and consulting services.</w:t>
      </w:r>
    </w:p>
    <w:p>
      <w:pPr>
        <w:spacing w:after="0" w:line="172"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For the year ended December 31, 2019, Physician Staffing represented approximately 9% of our total revenue.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provides physicians in many specialties, as well as CRNAs, NPs, and PAs as independent contractors on temporary assignments throughout the U.S.</w:t>
      </w:r>
    </w:p>
    <w:p>
      <w:pPr>
        <w:spacing w:after="0" w:line="181"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Search </w:t>
      </w:r>
      <w:r>
        <w:rPr>
          <w:rFonts w:ascii="Arial" w:cs="Arial" w:eastAsia="Arial" w:hAnsi="Arial"/>
          <w:sz w:val="18"/>
          <w:szCs w:val="18"/>
          <w:color w:val="auto"/>
        </w:rPr>
        <w:t>– For the year ended December 31, 2019, Search represented approximately 2% of our total revenue. Search is comprised of retained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search services for physicians, healthcare executives, and other healthcare professionals, as well as recruitment process outsourcing, within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the year ended December 31, 2019, revenue from services increased 0.7% to $822.2 million, driven by growth in our largest segment Nurse and Allied Staffing, partly offset by declines in Physician Staffing and Search. The year-over-year increase in Nurse and Allied Staffing was primarily due to continued strong growth in travel allied and education, while the decrease in Physician Staffing was primarily due to a decline in the volume of days filled. Direct operating expenses rose faster than revenue, as we experienced higher compensation costs predominantly in Nurse and Allied Staffing, which drove a lower bill-pay spread.</w:t>
      </w:r>
    </w:p>
    <w:p>
      <w:pPr>
        <w:spacing w:after="0" w:line="10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2019, the following initiatives were reflected in our financial results more fully described in Results of Operations and in the Notes to the Financial Statements:</w:t>
      </w:r>
    </w:p>
    <w:p>
      <w:pPr>
        <w:spacing w:after="0" w:line="89" w:lineRule="exact"/>
        <w:rPr>
          <w:sz w:val="20"/>
          <w:szCs w:val="20"/>
          <w:color w:val="auto"/>
        </w:rPr>
      </w:pPr>
    </w:p>
    <w:p>
      <w:pPr>
        <w:jc w:val="both"/>
        <w:ind w:left="660" w:right="12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consolidated and refreshed our brand by consolidating from 20 disparate brands to one core brand: Cross Country Healthcare to strengthen our go-to-market approach and be better positioned to deliver the full depth and breadth of our services to clients and professionals. This resulted in the acceleration of amortization of intangible assets related to trade names as well as impairment charges.</w:t>
      </w:r>
    </w:p>
    <w:p>
      <w:pPr>
        <w:ind w:left="660" w:right="20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part of our efforts to reduce costs, we incurred restructuring charges in 2019 pertaining to severance, rationalization of our office locations, and other reorganizational costs. We reinvested the majority of these cost savings in revenue generating positions to drive organic revenue growth.</w:t>
      </w:r>
    </w:p>
    <w:p>
      <w:pPr>
        <w:spacing w:after="0" w:line="1" w:lineRule="exact"/>
        <w:rPr>
          <w:rFonts w:ascii="Arial" w:cs="Arial" w:eastAsia="Arial" w:hAnsi="Arial"/>
          <w:sz w:val="16"/>
          <w:szCs w:val="16"/>
          <w:color w:val="auto"/>
        </w:rPr>
      </w:pPr>
    </w:p>
    <w:p>
      <w:pPr>
        <w:ind w:left="660" w:right="28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refinanced our debt into a more flexible, cost effective $120.0 million senior secured asset-based credit facility (ABL) in the fourth quarter of 2019. As a result, we repaid and terminated the prior senior credit facility, as well as terminated a related interest rate swap.</w:t>
      </w:r>
    </w:p>
    <w:p>
      <w:pPr>
        <w:ind w:left="660" w:right="1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 to invest in a project to replace the applicant tracking system of our travel nurse and allied operations to improve candidate experience and be more efficient.</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year ended December 31, 2019 net loss attributable to common shareholders was $57.7 million, or $1.61 per diluted share. Also contributing to this net loss were legal settlement charges of $1.6 million related to the resolution of certain matters and income tax expense of $35.8 million related to the establishment of a valuation allowance on our deferred tax assets.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69" w:right="259" w:bottom="1440" w:gutter="0" w:footer="0" w:header="0"/>
        </w:sectPr>
      </w:pPr>
    </w:p>
    <w:bookmarkStart w:id="25" w:name="page26"/>
    <w:bookmarkEnd w:id="25"/>
    <w:p>
      <w:pPr>
        <w:jc w:val="both"/>
        <w:ind w:right="20"/>
        <w:spacing w:after="0" w:line="286" w:lineRule="auto"/>
        <w:rPr>
          <w:sz w:val="20"/>
          <w:szCs w:val="20"/>
          <w:color w:val="auto"/>
        </w:rPr>
      </w:pPr>
      <w:r>
        <w:rPr>
          <w:rFonts w:ascii="Arial" w:cs="Arial" w:eastAsia="Arial" w:hAnsi="Arial"/>
          <w:sz w:val="17"/>
          <w:szCs w:val="17"/>
          <w:color w:val="auto"/>
        </w:rPr>
        <w:t>For the year ended December 31, 2019, we generated cash flow from operating activities of $5.5 million impacted by the previously mentioned initiatives. At December 31, 2019, we had $1.0 million in cash and cash equivalents, with $71.0 million of borrowings drawn under our ABL, and $19.9 million of undrawn letters of credit outstanding, leaving $29.1 million available for borrowing. See Note 8 - Debt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Segment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Business Segment</w:t>
            </w:r>
          </w:p>
        </w:tc>
        <w:tc>
          <w:tcPr>
            <w:tcW w:w="7820" w:type="dxa"/>
            <w:vAlign w:val="bottom"/>
          </w:tcPr>
          <w:p>
            <w:pPr>
              <w:ind w:left="15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Nurse and Allied Staffing</w:t>
            </w:r>
          </w:p>
        </w:tc>
        <w:tc>
          <w:tcPr>
            <w:tcW w:w="7820" w:type="dxa"/>
            <w:vAlign w:val="bottom"/>
          </w:tcPr>
          <w:p>
            <w:pPr>
              <w:ind w:left="1500"/>
              <w:spacing w:after="0"/>
              <w:rPr>
                <w:sz w:val="20"/>
                <w:szCs w:val="20"/>
                <w:color w:val="auto"/>
              </w:rPr>
            </w:pPr>
            <w:r>
              <w:rPr>
                <w:rFonts w:ascii="Arial" w:cs="Arial" w:eastAsia="Arial" w:hAnsi="Arial"/>
                <w:sz w:val="18"/>
                <w:szCs w:val="18"/>
                <w:color w:val="auto"/>
                <w:w w:val="91"/>
              </w:rPr>
              <w:t>FTEs represent the average number of Nurse and Allied Staffing contract personnel on</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a full-time equivalent basis.</w:t>
            </w:r>
          </w:p>
        </w:tc>
      </w:tr>
      <w:tr>
        <w:trPr>
          <w:trHeight w:val="256"/>
        </w:trPr>
        <w:tc>
          <w:tcPr>
            <w:tcW w:w="3500" w:type="dxa"/>
            <w:vAlign w:val="bottom"/>
          </w:tcPr>
          <w:p>
            <w:pPr>
              <w:spacing w:after="0"/>
              <w:rPr>
                <w:sz w:val="22"/>
                <w:szCs w:val="22"/>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w w:val="99"/>
              </w:rPr>
              <w:t>Average revenue per FTE per day is calculated by dividing the Nurse and Allied</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w w:val="96"/>
              </w:rPr>
              <w:t>Staffing revenue per FTE by the number of days worked in the respective periods.</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Nurse and Allied Staffing revenue also includes revenue from the permanent</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placement of nurses.</w:t>
            </w:r>
          </w:p>
        </w:tc>
      </w:tr>
      <w:tr>
        <w:trPr>
          <w:trHeight w:val="526"/>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Physician Staffing</w:t>
            </w:r>
          </w:p>
        </w:tc>
        <w:tc>
          <w:tcPr>
            <w:tcW w:w="7820" w:type="dxa"/>
            <w:vAlign w:val="bottom"/>
          </w:tcPr>
          <w:p>
            <w:pPr>
              <w:ind w:left="1500"/>
              <w:spacing w:after="0"/>
              <w:rPr>
                <w:sz w:val="20"/>
                <w:szCs w:val="20"/>
                <w:color w:val="auto"/>
              </w:rPr>
            </w:pPr>
            <w:r>
              <w:rPr>
                <w:rFonts w:ascii="Arial" w:cs="Arial" w:eastAsia="Arial" w:hAnsi="Arial"/>
                <w:sz w:val="18"/>
                <w:szCs w:val="18"/>
                <w:color w:val="auto"/>
              </w:rPr>
              <w:t>Days filled is calculated by dividing the total hours invoiced during</w:t>
            </w:r>
          </w:p>
        </w:tc>
      </w:tr>
      <w:tr>
        <w:trPr>
          <w:trHeight w:val="216"/>
        </w:trPr>
        <w:tc>
          <w:tcPr>
            <w:tcW w:w="3500" w:type="dxa"/>
            <w:vAlign w:val="bottom"/>
          </w:tcPr>
          <w:p>
            <w:pPr>
              <w:spacing w:after="0"/>
              <w:rPr>
                <w:sz w:val="18"/>
                <w:szCs w:val="18"/>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the period, including an estimate for the impact of accrued revenue,</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by 8 hours.</w:t>
            </w:r>
          </w:p>
        </w:tc>
      </w:tr>
      <w:tr>
        <w:trPr>
          <w:trHeight w:val="472"/>
        </w:trPr>
        <w:tc>
          <w:tcPr>
            <w:tcW w:w="3500" w:type="dxa"/>
            <w:vAlign w:val="bottom"/>
          </w:tcPr>
          <w:p>
            <w:pPr>
              <w:spacing w:after="0"/>
              <w:rPr>
                <w:sz w:val="24"/>
                <w:szCs w:val="24"/>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Revenue per day filled is calculated by dividing revenue as reported</w:t>
            </w:r>
          </w:p>
        </w:tc>
      </w:tr>
      <w:tr>
        <w:trPr>
          <w:trHeight w:val="230"/>
        </w:trPr>
        <w:tc>
          <w:tcPr>
            <w:tcW w:w="3500" w:type="dxa"/>
            <w:vAlign w:val="bottom"/>
          </w:tcPr>
          <w:p>
            <w:pPr>
              <w:spacing w:after="0"/>
              <w:rPr>
                <w:sz w:val="20"/>
                <w:szCs w:val="20"/>
                <w:color w:val="auto"/>
              </w:rPr>
            </w:pPr>
          </w:p>
        </w:tc>
        <w:tc>
          <w:tcPr>
            <w:tcW w:w="7820" w:type="dxa"/>
            <w:vAlign w:val="bottom"/>
          </w:tcPr>
          <w:p>
            <w:pPr>
              <w:ind w:left="1500"/>
              <w:spacing w:after="0"/>
              <w:rPr>
                <w:sz w:val="20"/>
                <w:szCs w:val="20"/>
                <w:color w:val="auto"/>
              </w:rPr>
            </w:pPr>
            <w:r>
              <w:rPr>
                <w:rFonts w:ascii="Arial" w:cs="Arial" w:eastAsia="Arial" w:hAnsi="Arial"/>
                <w:sz w:val="18"/>
                <w:szCs w:val="18"/>
                <w:color w:val="auto"/>
              </w:rPr>
              <w:t>by days filled for the period presented.</w:t>
            </w:r>
          </w:p>
        </w:tc>
      </w:tr>
      <w:tr>
        <w:trPr>
          <w:trHeight w:val="675"/>
        </w:trPr>
        <w:tc>
          <w:tcPr>
            <w:tcW w:w="3500" w:type="dxa"/>
            <w:vAlign w:val="bottom"/>
          </w:tcPr>
          <w:p>
            <w:pPr>
              <w:spacing w:after="0"/>
              <w:rPr>
                <w:sz w:val="24"/>
                <w:szCs w:val="24"/>
                <w:color w:val="auto"/>
              </w:rPr>
            </w:pPr>
          </w:p>
        </w:tc>
        <w:tc>
          <w:tcPr>
            <w:tcW w:w="7820" w:type="dxa"/>
            <w:vAlign w:val="bottom"/>
          </w:tcPr>
          <w:p>
            <w:pPr>
              <w:ind w:left="206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77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329"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34290</wp:posOffset>
            </wp:positionV>
            <wp:extent cx="3713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ind w:left="6240"/>
              <w:spacing w:after="0"/>
              <w:rPr>
                <w:sz w:val="20"/>
                <w:szCs w:val="20"/>
                <w:color w:val="auto"/>
              </w:rPr>
            </w:pPr>
            <w:r>
              <w:rPr>
                <w:rFonts w:ascii="Arial" w:cs="Arial" w:eastAsia="Arial" w:hAnsi="Arial"/>
                <w:sz w:val="18"/>
                <w:szCs w:val="18"/>
                <w:b w:val="1"/>
                <w:bCs w:val="1"/>
                <w:color w:val="auto"/>
                <w:w w:val="99"/>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Direct operating expenses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73.6</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Bad debt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Acquisition and integration costs</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Restructuring costs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Impairment charges</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7"/>
        </w:trPr>
        <w:tc>
          <w:tcPr>
            <w:tcW w:w="5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operations</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(gain) on derivatives</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Loss on early extinguishment of debt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0.6</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1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4.5</w:t>
            </w:r>
          </w:p>
        </w:tc>
      </w:tr>
      <w:tr>
        <w:trPr>
          <w:trHeight w:val="27"/>
        </w:trPr>
        <w:tc>
          <w:tcPr>
            <w:tcW w:w="5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5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76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660" w:type="dxa"/>
            <w:vAlign w:val="bottom"/>
            <w:gridSpan w:val="8"/>
          </w:tcPr>
          <w:p>
            <w:pPr>
              <w:spacing w:after="0"/>
              <w:rPr>
                <w:sz w:val="20"/>
                <w:szCs w:val="20"/>
                <w:color w:val="auto"/>
              </w:rPr>
            </w:pPr>
            <w:r>
              <w:rPr>
                <w:rFonts w:ascii="Arial" w:cs="Arial" w:eastAsia="Arial" w:hAnsi="Arial"/>
                <w:sz w:val="18"/>
                <w:szCs w:val="18"/>
                <w:b w:val="1"/>
                <w:bCs w:val="1"/>
                <w:color w:val="auto"/>
                <w:w w:val="91"/>
              </w:rPr>
              <w:t>Comparison of Results for the Year Ended December 31, 2019 compared to the Year Ended December 31, 2018</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594"/>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1480" w:type="dxa"/>
            <w:vAlign w:val="bottom"/>
          </w:tcPr>
          <w:p>
            <w:pPr>
              <w:spacing w:after="0"/>
              <w:rPr>
                <w:sz w:val="24"/>
                <w:szCs w:val="24"/>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(Dollars in thousands)</w:t>
            </w:r>
          </w:p>
        </w:tc>
        <w:tc>
          <w:tcPr>
            <w:tcW w:w="148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618,215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606,921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11,294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29.5 %</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derivative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Consolidated net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(40,226)</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43.4 %</w:t>
            </w: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(40,762)</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Revenue from services increased $5.7 million, or 0.7%, to $822.2 million for the year ended December 31, 2019, as compared to $816.5 million for the year ended December 31, 2018. The increase was due primarily to growth in our Nurse and Allied Staffing segment, partially offset by declines in our Physician Staffing and Search segments.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related insurance expenses. Direct operating expenses increased $11.3 million, or 1.9%, to $618.2 million for the year ended December 31, 2019, as compared to $606.9 million for the year ended December 31, 2018. As a percentage of total revenue, direct operating expenses increased to 75.2% compared to 74.3% in the prior year period, primarily due to higher compensation in Nurse and Allied Staffing driving a lower bill-pay spread.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general and administrative expenses increased $1.7 million, or 1.0%, to $182.0 million for the year ended December 31, 2019, as compared to $180.2 million for the year ended December 31, 2018, primarily due to higher healthcare costs, consulting fees related to the replacement of our travel nurse legacy applicant tracking system, and candidate attraction-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9" w:right="239" w:bottom="1440" w:gutter="0" w:footer="0" w:header="0"/>
        </w:sectPr>
      </w:pPr>
    </w:p>
    <w:bookmarkStart w:id="28" w:name="page29"/>
    <w:bookmarkEnd w:id="28"/>
    <w:p>
      <w:pPr>
        <w:ind w:right="60"/>
        <w:spacing w:after="0" w:line="277" w:lineRule="auto"/>
        <w:rPr>
          <w:sz w:val="20"/>
          <w:szCs w:val="20"/>
          <w:color w:val="auto"/>
        </w:rPr>
      </w:pPr>
      <w:r>
        <w:rPr>
          <w:rFonts w:ascii="Arial" w:cs="Arial" w:eastAsia="Arial" w:hAnsi="Arial"/>
          <w:sz w:val="18"/>
          <w:szCs w:val="18"/>
          <w:color w:val="auto"/>
        </w:rPr>
        <w:t>related expenses, partially offset by our cost savings initiatives. As a percentage of total revenue, selling, general and administrative expenses were 22.1% for both of the years ended December 31, 2019 and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Depreciation and amortization expense in the year ended December 31, 2019 increased to $14.1 million as compared to $11.8 million for the year ended December 31, 2018, primarily due to accelerated amortization of trade names in our Nurse and Allied and Physician Staffing segments, associated with our rebranding initiatives, partially offset by lower depreciation expense related to fully amortized assets that have not been replaced. See Note 5 - Goodwill, Trade Names, and Other Intangible Assets to our consolidated financial statements. As a percentage of revenue, depreciation and amortization expense was 1.7% for the year ended December 31, 2019 and 1.4%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Acquisition-related contingent consideration for the year ended December 31, 2019 was a benefit of $0.1 million, reflecting accretion and valuation adjustments on our contingent purchase price liabilities for a previously acquired business in connection with the Mediscan acquisition. Acquisition-related contingent consideration for the year ended December 31, 2018 was $2.6 million and substantially related to the Mediscan acquisition. In the third quarter of 2018, we determined that the contingent consideration earnout for USR would not be achieved and the entire liability was reversed. See Note 4 - Acquisitions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years ended December 31, 2019 and 2018, we incurred acquisition and integration costs of $0.3 million and $0.5 million, respectively, related to prior acquisitions. The 2019 costs also included expenses incurred for potential transactions. See Note 4 - Acquisitions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Restructuring costs were primarily comprised of employee termination costs, lease-related exit costs, and reorganization costs as part of our planned costs savings initiatives. We recorded restructuring costs of $3.6 million for the year ended December 31, 2019 and $2.8 million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 charges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Legal settlement charges totaled $1.6 million for the year ended December 31, 2019 and related to the resolution of a medical malpractice lawsuit, as well as a California wage and hour class action settlement agreement. There were no similar charges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During the year ended December 31, 2019, in connection with our restructuring activities, we ceased using leased space which resulted in an evaluation of related long-lived assets pursuant to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The evaluation resulted in impairment charges related to our right-of-use assets of $1.2 million and $0.6 million of impairment related to property and equipment. In addition, as part of evolving our go-to-market strategy and subsequent rebranding initiatives, in the second quarter of 2019, we eliminated certain brands across all of our segments and, as a result, $14.5 million of indefinite-lived trade names related to Nurse and Allied Staffing were written off as impairment charges. During the year ended December 31, 2018, we recorded non-cash impairment charges of $22.4 million, relating to the Physician Staffing reporting unit. We reduced our long-range forecast for the Physician Staffing business segment in the fourth quarter. The lower than expected revenue was driven by lower booking volumes, partly due to the loss of customers. In addition, margins of the reporting unit were negatively impacted from investments in the business. As a result, we recorded non-cash impairment charges of $5.2 million related to trade names and $17.2 million related to goodwill. See Note 5 - Goodwill, Trade Names, and Other Intangible Assets and Note 11 - Fair Value Measurements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 totaled $5.3 million for the year ended December 31, 2019 and $5.7 million for the year ended December 31, 2018. The effective interest rate on our borrowings was 5.1% for both years ended December 31, 2019 and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7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Loss on derivative</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incurred a loss on derivative of $1.3 million for the year ended December 31, 2019 which was paid to terminate an interest rate hedge related to our term loan that was refinanced in October 2019. There were no similar charges for the year ended December 31, 2018. See Note 8 - Debt and Note 9 - Derivatives to our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14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Loss on early extinguishment of debt of $2.0 million for the year ended December 31, 2019 related to write-off and extinguishment costs of $1.5 million related to the refinancing of our debt in the fourth quarter of 2019, and the write-off of debt issuance costs of $0.5 million in the prior quarters related to optional prepayments on our term loan made in the first and second quarters as well as optional reductions in borrowing capacity under our prior revolving credit facility. Loss on early extinguishment of debt was not material for the year ended December 31, 2018 and related to the optional prepayments on our term loan. See Note 8 - Debt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expense (benefit)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expense totaled $31.7 million for the year ended December 31, 2019, compared to income tax benefit of $2.5 million for the year ended December 31, 2018. The effective tax rate was negative 131.1% and 13.6%, including the impact of discrete items, for the years ended December 31, 2019 and 2018, respectively. The effective tax rate in 2019 was impacted by the additional valuation allowance on deferred tax assets, impairment of indefinite-lived intangibles, and international and state taxes. The effective tax rate in 2018 was impacted by the non-deductibility of certain per diem expenses, the officers' compensation limitation, and international and state income taxes. Further, during the fourth quarter of 2018, we completed our 2017 federal and state income tax returns and recorded a discrete tax benefit associated with adjusting our net deferred tax asset. See Note 14 - Income Taxes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73"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Segment Results</w:t>
            </w:r>
          </w:p>
        </w:tc>
        <w:tc>
          <w:tcPr>
            <w:tcW w:w="4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9600" w:type="dxa"/>
            <w:vAlign w:val="bottom"/>
            <w:gridSpan w:val="8"/>
          </w:tcPr>
          <w:p>
            <w:pPr>
              <w:spacing w:after="0"/>
              <w:rPr>
                <w:sz w:val="20"/>
                <w:szCs w:val="20"/>
                <w:color w:val="auto"/>
              </w:rPr>
            </w:pPr>
            <w:r>
              <w:rPr>
                <w:rFonts w:ascii="Arial" w:cs="Arial" w:eastAsia="Arial" w:hAnsi="Arial"/>
                <w:sz w:val="18"/>
                <w:szCs w:val="18"/>
                <w:color w:val="auto"/>
                <w:w w:val="94"/>
              </w:rPr>
              <w:t>Information on operating segments and a reconciliation to (loss) income from operations for the periods indicated are as follows: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(amounts 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732,815</w:t>
            </w:r>
          </w:p>
        </w:tc>
        <w:tc>
          <w:tcPr>
            <w:tcW w:w="52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718,613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756,476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93,610</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14,804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14,962</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128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822,224</w:t>
            </w:r>
          </w:p>
        </w:tc>
        <w:tc>
          <w:tcPr>
            <w:tcW w:w="520" w:type="dxa"/>
            <w:vAlign w:val="bottom"/>
            <w:tcBorders>
              <w:bottom w:val="single" w:sz="8" w:color="CCEEFF"/>
            </w:tcBorders>
            <w:gridSpan w:val="2"/>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816,484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865,048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Nurse and Allied Staffing</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64,353</w:t>
            </w:r>
          </w:p>
        </w:tc>
        <w:tc>
          <w:tcPr>
            <w:tcW w:w="520" w:type="dxa"/>
            <w:vAlign w:val="bottom"/>
            <w:gridSpan w:val="2"/>
          </w:tcPr>
          <w:p>
            <w:pPr>
              <w:jc w:val="right"/>
              <w:ind w:right="214"/>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66,200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73,825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Search</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78,513</w:t>
            </w:r>
          </w:p>
        </w:tc>
      </w:tr>
      <w:tr>
        <w:trPr>
          <w:trHeight w:val="297"/>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overhead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39,190</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10,174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Legal settlement charges</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14,356</w:t>
            </w: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(Loss) income from operations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11,748</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2019, as part of our rebranding efforts, we moved our Recruitment Process Outsourcing (RPO) services to Search. As a result, for the years ended December 31, 2018 and 2017, $1.7 million and $1.8 million of revenue, respectively, and $0.2 million of contribution income and $0.2 million of contribution loss, respectively, were reclassified from Nurse and Allied Staffing to Search to conform to the current period presentation. See Note 18 - Segment Data.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Percent</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Nurse and Allied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FTEs</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7,113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7,154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Average Nurse and Allied Staffing revenue per FTE per day</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70"/>
        </w:trPr>
        <w:tc>
          <w:tcPr>
            <w:tcW w:w="4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03"/>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Physician Staffing statistical data:</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4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37"/>
        </w:trPr>
        <w:tc>
          <w:tcPr>
            <w:tcW w:w="5040" w:type="dxa"/>
            <w:vAlign w:val="bottom"/>
            <w:gridSpan w:val="4"/>
          </w:tcPr>
          <w:p>
            <w:pPr>
              <w:ind w:left="40"/>
              <w:spacing w:after="0"/>
              <w:rPr>
                <w:sz w:val="20"/>
                <w:szCs w:val="20"/>
                <w:color w:val="auto"/>
              </w:rPr>
            </w:pPr>
            <w:r>
              <w:rPr>
                <w:rFonts w:ascii="Arial" w:cs="Arial" w:eastAsia="Arial" w:hAnsi="Arial"/>
                <w:sz w:val="16"/>
                <w:szCs w:val="16"/>
                <w:color w:val="auto"/>
              </w:rPr>
              <w:t>Days filled</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44,381</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53,039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(8,658)</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33"/>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0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Revenue per day filled</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1,552</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33"/>
        </w:trPr>
        <w:tc>
          <w:tcPr>
            <w:tcW w:w="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Business Measurements under the Operating Metrics section of our Management's Discussion and Analysis.</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756"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Segment Comparison - Year Ended December 31, 2019 compared to the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Nurse and Allied Staffing</w:t>
      </w:r>
    </w:p>
    <w:p>
      <w:pPr>
        <w:spacing w:after="0" w:line="2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Revenue from Nurse and Allied Staffing increased $14.2 million, or 2.0% to $732.8 million for the year ended December 31, 2019, from $718.6 million for the year ended December 31, 2018. The year-over-year increase was primarily due to higher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average bill rates driven primarily by improved mix and favorable pricing, partly offset by lower volume.</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Contribution income from Nurse and Allied Staffing for the year ended December 31, 2019, decreased $1.8 million or 2.8%, to $64.4 million from $66.2 million in year ended December 31, 2018. As a percentage of segment revenue, contribution income margin decreased to 8.8% for the year ended December 31, 2019 from 9.2% for the year ended December 31, 2018, primarily due to a lower bill-pay spread.</w:t>
      </w:r>
    </w:p>
    <w:p>
      <w:pPr>
        <w:spacing w:after="0" w:line="18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year ended December 31, 2019 decreased 0.6% from the year ended December 31, 2018. Average Nurse and Allied Staffing revenue per FTE per day increased approximately 2.5% in the year ended December 31, 2019 compared to the year ended December 31, 2018, reflecting the higher average bill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Revenue from Physician Staffing decreased $7.7 million, or 9.4% to $74.6 million for the year ended December 31, 2019, compared to $82.3 million for the year ended December 31, 2018, primarily due to a lower number of days filled, partially offset by higher bill rates due to mix of business.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Contribution income from Physician Staffing for the year ended December 31, 2019, decreased $2.0 million or 42.0% to $2.8 million compared to $4.8 million in the year ended December 31, 2018. As a percentage of segment revenue, contribution income was 3.7% for the year ended December 31, 2019 and 5.8% for the year ended December 31, 2018, driven by lower revenue.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Physician Staffing days filled decreased 16.3% to 44,381 in the year ended December 31, 2019, compared to 53,039 in the year ended December 31, 2018, across a broad variety of specialties in both physician and advanced practices. Revenue per day filled was $1,681 for the year ended December 31, 2019 and $1,552 for the year ended December 31, 2018, due to a shift in the mix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Revenue from Search for the year ended December 31, 2019, decreased $0.8 million, or 4.9%, to $14.8 million from $15.6 million in the year ended December 31, 2018, due to declines in searches, partially offset by an increase in RPO revenue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segment reported a contribution loss of $0.8 million for the year ended December 31, 2019, as compared with contribution income of $0.8 million for the year ended December 31, 2018. The decrease was driven by both lower revenue and higher compensation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overhead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 Corporate overhead increased to $46.2 million for the year ended December 31, 2019, from $44.6 million for the year ended December 31, 2018, primarily due to higher consulting and other professional service fees, partly offset by the impact of our cost savings initiatives. The higher consulting fees are related to the project to replace our applicant tracking system for our travel nurse business. As a percentage of consolidated revenue, unallocated corporate overhead was 5.6% for the year ended December 31, 2019, and 5.5%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17 - Related Party Transactions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6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2019, we had $1.0 million in cash and cash equivalents, which was lower than prior periods due to refinancing into an ABL which can be borrowed and repaid on a daily basis. As of December 31, 2019, we had $71.0 million of outstanding borrowings. Working capital decreased by $11.6 million to $97.9 million as of December 31, 2019, compared to $109.5 million as of December 31, 2018, primarily due to the lower cash balance at year-end. As of December 31, 2019, our days' sales outstanding, net of amounts owed to subcontractors, was 58 days representing a 4 day improvement from December 31, 2018.</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from a combination of cash on hand, operating cash flows, and funds available through the ABL. See debt discussion which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Comparisons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cash provided by operating activities during the year ended December 31, 2019 was $5.5 million compared to $21.0 million during the year ended December 31, 2018. The primary drivers for the full year decline related to significant expenditures for items such as the termination of our interest rate swap and legal settlements, as well as higher costs for restructuring and costs pertaining to the new applicant tracking system, which totaled approximately $4.5 million. In addition, due to the timing of year end, we prefunded payroll by approximately $5.0 million. Lastly, while days’ sales outstanding improved for the year, the sequential revenue growth resulted in a net working capital investment of approximately $3.1 million.</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during the year ended December 31, 2019 was $2.9 million compared to $6.7 million in the year ended December 31, 2018. The primary use for cash pertained to capital expenditures in both periods, and for acquisition-related settlements in the prior year. Capital expenditures in the year ended December 31, 2019 were primarily related to the project to replace our applicant tracking system for our travel nurse business. We expect to continue to incur additional capital expenditures related to this project in 2020.</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Net cash used in financing activities during the year ended December 31, 2019 was $17.6 million, compared to $23.8 million during the year ended December 31, 2018. During the year ended December 31, 2019, we used proceeds from the ABL to repay our then outstanding borrowings of $75.4 million under our August 2017 Credit Facility and $1.3 million for the payment of fees, expenses, and accrued interest. In addition, we used cash to make optional debt prepayments on our Amended Term Loan of $12.5 million and $0.7 million to pay debt issuance costs in connection with the Second and Third Amendments to our August 2017 Credit Facility. We also used cash to pay $0.8 million for income taxes on share-based compensation, $1.6 million for noncontrolling shareholder payments, and $0.3 million of contingent consideration. During the year ended December 31, 2018, we repaid $16.1 million on our Amended Term Loan, including $10.0 million of optional prepayments, and paid $0.3 million in debt issuance costs in connection with the First Amendment to our Amended and Restated Credit Facility. We also repurchased and retired shares of our Common Stock for $5.0 million, and used cash to pay $0.9 million for shares withheld for taxes, $1.2 million for noncontrolling shareholder payments, and $0.3 million of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2019 ABL Credit Agreement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more fully described in Note 8 - Debt to our consolidated financial statements, effective October 25, 2019, our prior senior credit facility entered into in August 2017 was replaced by a $120.0 million ABL, which provides for a five-year senior secured revolving credit facility.</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Borrowings under the ABL generally bear interest at a variable rate based on either LIBOR or Base Rate plus an applicable margin, subject to monthly pricing adjustments, pursuant to a pricing matrix based on the Company’s excess availability under the revolving credit facility. As of December 31, 2019, the interest rate spreads and fees under the Loan Agreement were based on LIBOR plus 2.00% for the revolving portion of the borrowing base and LIBOR plus 4.00% on the Supplemental Availability. The Base Rate margins would have been 1.00% and 3.00%, respectively, for the revolving and Supplemental Availability, respectively. Availability under the ABL is subject to a borrowing base, which was $120.0 million at December 31,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69"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2019, with $71.0 million of borrowings drawn as well as $19.9 million of letters of credit outstanding, leaving $29.1 million available for borrowing.</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mentioned above, we refinanced our debt into a more flexible cost effective asset-based credit facility in the fourth quarter of 2019. In connection with the refinancing, we terminated the prior senior credit facility as well as a related interest rate swap, resulting in recognized losses on the early extinguishment of debt. Before the refinancing occurred we made optional early prepayments and entered into two amendments to our prior senior credit facility to maintain compliance and minimize interest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15 - Stockholders' Equity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116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8"/>
          </w:tcPr>
          <w:p>
            <w:pPr>
              <w:ind w:left="10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ABL Credit Facility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16,157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27,883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122,314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ABL Credit Facility, we are required to comply with certain financial covenants. Our inability to comply with the required covenants or other provisions could result in default under our credit facility. In the event of any such default and our inability to obtain a waiver of the default, all amounts outstanding under the ABL Credit Facility could be declared immediately due and payable. As of December 31, 2019, we were in compliance with the financial covenants and other covenants contained in the ABL Credit Agreement.</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on debt represents estimated payments due through maturity for our ABL, calculated using the December 31, 2019 applicable LIBOR and margin rate totaling 3.8% on the revolving portion of the borrowing base (76% of the ABL balance) and 5.8% on the Supplemental Availability (24% of the ABL balance) and assuming the principal balance remains the same. See Note 8 - Debt to our consolidated financial statements.</w:t>
      </w:r>
    </w:p>
    <w:p>
      <w:pPr>
        <w:ind w:left="340" w:right="6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contingent consideration represents the estimated payments due related to the assumed contingent purchase price liabilities of the Mediscan acquisition, excluding interest. Interest, once determined, will begin to accrue in the first quarter of 2020 and is payable along with the final payment due on January 31, 2022. See Note 4 - Acquisitions to our consolidated financial statements.</w:t>
      </w:r>
    </w:p>
    <w:p>
      <w:pPr>
        <w:spacing w:after="0" w:line="1"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 See Note 10 - Leases to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13 - Contingencies to our consolidated financial statements.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$5.8 million at December 31, 2019. Based on the uncertainties associated with the settlement of these items, we are unable to make reasonably reliable estimates of the period of potential settlements, if any, with the taxing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73" w:right="239" w:bottom="1440" w:gutter="0" w:footer="0" w:header="0"/>
        </w:sectPr>
      </w:pPr>
    </w:p>
    <w:bookmarkStart w:id="34" w:name="page35"/>
    <w:bookmarkEnd w:id="34"/>
    <w:p>
      <w:pPr>
        <w:spacing w:after="0" w:line="297" w:lineRule="auto"/>
        <w:rPr>
          <w:sz w:val="20"/>
          <w:szCs w:val="20"/>
          <w:color w:val="auto"/>
        </w:rPr>
      </w:pPr>
      <w:r>
        <w:rPr>
          <w:rFonts w:ascii="Arial" w:cs="Arial" w:eastAsia="Arial" w:hAnsi="Arial"/>
          <w:sz w:val="16"/>
          <w:szCs w:val="16"/>
          <w:color w:val="auto"/>
        </w:rPr>
        <w:t>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and sales allowances, taxes and other contingencies, and litigation. We state our accounting policies in the notes to the audited consolidated financial statements for the year ended December 31, 2019,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1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acquisitions typically result in the recording of goodwill, trade names, and other intangible assets, and the recorded values of those assets may become impaired in the future. The determination of the value of such intangible assets requires management to make estimates and assumptions that affect our consolidated financial statements. For intangible assets purchased in a business combination, the estimated fair values of the assets received are used to establish their recorded values. As more fully described in Note 2 - Summary of Significant Accounting Policies, we assess the impairment of goodwill of our reporting units and indefinite-lived intangible assets annually, or more often if events or changes in circumstances indicate that the carrying value may not be recoverable.</w:t>
      </w:r>
    </w:p>
    <w:p>
      <w:pPr>
        <w:spacing w:after="0" w:line="193"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Significant judgments are required to estimate the fair value of reporting units including estimating future cash flows, and determining appropriate discount rates, growth rates, company control premium, and other assumptions. Changes in these estimates and assumptions could materially affect the determination of fair value for each reporting unit. For the Search reporting unit, there was less than 20% of excess fair value over its carrying amount leaving it at risk of impairment in future periods if forecasted results are not achieved. See Note 5 - Goodwill, Trade Names, and Other Intangible Assets, where impairment testing in 2019, 2018, and 2017 is more fully described.</w:t>
      </w:r>
    </w:p>
    <w:p>
      <w:pPr>
        <w:spacing w:after="0" w:line="2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Indefinite-lived intangible assets related to our trade names were not amortized but instead tested for impairment at least annually, or more frequently should an event or circumstances indicate that a reduction in fair value may have occurred. We perform testing of indefinite-lived intangible assets, other than goodwill, at the asset group level using the relief from royalty method. If the carrying value exceeds the fair value, an impairment loss is recorded for that excess.</w:t>
      </w: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There can be no assurance that the estimates and assumptions made for purposes of the annual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we are required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10 - Leases and Note 11 - Fair Value Measurements, where impairment testing in 2019 is more fully described.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2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royalty rates, and the choice of an appropriate discount rate. See Note 11 - Fair Value Measurements. Specifically, further deterioration of demand for our services, further deterioration of labor market conditions, reduction of our stock price for an extended period, or other factors as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may affect our determination of fair value of goodwill, trade names, or other intangible assets.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73" w:right="259" w:bottom="1440" w:gutter="0" w:footer="0" w:header="0"/>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agreement an impairment charge will not have an impact on our liquidity. As of December 31, 2019, we had total goodwill, intangible assets not subject to amortization, and other intangible assets of $151.9 million or 39.7% of our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workers' compensation, and professional liability expense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adjust accruals as appropriate. Healthcare insurance accruals have fluctuated with increases or decreases in the average number of temporary healthcare professionals on assignment as well as actual company experience and increases in national healthcare costs. As of December 31, 2019 and 2018, we had $3.6 million and $5.2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2019, and 2018, we had $11.8 million and $11.9 million accrued for case reserves and for incurred but not reported workers’ compensation claims, net of insurance receivables, respectively. The accrual for workers’ compensation is based on an actuarial model which is prepared or reviewed by an independent actuary semi-annually. As of December 31, 2019, and 2018, we had $6.7 million and $7.3 million accrued, respectively, for case reserves and for incurred but not reported professional liability claims, net of insurance receivables. The accrual for professional liability is based on actuarial models which are prepared by an independent actuary semi-annually.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recognize revenue from our services when control of the promised services are transferred to our customers, in an amount that reflects the consideration we expect to receive in exchange for the service. We have concluded that transfer of control of our staffing services, which represents the majority of our revenues, occurs over time as the services are provided, which is consistent with revenue recognition under the prior guidance.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nature, amount, timing and uncertainty of revenue and cash flows from which we generate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our field staff. We recognize the majority of our revenue at the contractual amount we have the right to invoice for services completed to date. Generally, billing to customers occurs weekly, bi-weekly, or monthly and is aligned with the payment of services to the temporary staff, with payment terms of 30 to 60 days. Accounts receivable includes estimated revenue for employees’ and independent contractors’ time worked but not yet invoiced. At December 31, 2019 and December 31, 2018, our estimate of amounts that had been worked but had not been billed totaled $46.1 million and $44.1 million, respectively, and are included in accounts receivable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offer other optional services to our customers that are transferred over time including: MSPs providing agency services (as further described below in Gross Versus Net Policies), RPO, other outsourcing services, and retained search services, as well as separately billable travel and housing costs, which in total amount to less than 5% of our consolidated revenue for the years ended December 31, 2019, 2018, and 2017.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w:t>
      </w:r>
    </w:p>
    <w:p>
      <w:pPr>
        <w:spacing w:after="0" w:line="17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our RPO, other outsourcing, and retained search services, revenue is generally recognized in the amount to which the entity has a right to invoice which corresponds directly with the value to the customer. We do not, in the ordinary course of business, offer warranties or refunds.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record revenue on a gross basis as a principal or on a net basis as an agent depending on the contracted arrangement, as follows: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73" w:right="239" w:bottom="1440" w:gutter="0" w:footer="0" w:header="0"/>
        </w:sectPr>
      </w:pPr>
    </w:p>
    <w:bookmarkStart w:id="36" w:name="page37"/>
    <w:bookmarkEnd w:id="36"/>
    <w:p>
      <w:pPr>
        <w:ind w:left="660" w:right="2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also entered into certain contracts with acute care facilities to provide comprehensive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10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from our Physician Staffing business is recognized on a gross basis as we believe we are the principal in the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In addition, we maintain a sales allowance for billing-related adjustments which may arise in the ordinary course and adjustments to the reserve are recorded as contra-revenue. Historically, losses on uncollectible accounts and sales allowances have not exceeded our allowances. As of December 31, 2019, our total allowances were $3.2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subject to various litigation, claims, investigations, and other proceedings that arise in the ordinary course of our business. These proceedings primarily relate to employee-related matters that include individual and collective claims, professional liability, tax, and payroll practices. Our healthcare facility clients may also become subject to claims, governmental inquiries and investigations, and legal actions to which we may become a party relating to services provided by our professionals. We record a liability when available information indicates that a loss is probable and an amount, or range of loss can be reasonably estimated. Significant judgment is required to determine both the probability of loss and the estimated amount. At least quarterly, we review our accrual and/or disclosures to reflect the impact of negotiations, settlements, rulings, advice of legal counsel, or new information. However, losses ultimately incurred could materially differ from amounts accrued. See Note 13 -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account for income taxes in accordance with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 As of December 31, 2019, we have deferred tax assets related to certain federal, state, and foreign net operating loss carryforwards of $19.8 million. The carryforwards will expire as follows: federal between 2032 and 2039, state between 2020 and 2039, and foreign between 2020 and 2024.</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December 31, 2019 and 2018, we had valuation allowances on our deferred tax assets of $37.3 million and $1.2 million, respectively. As of June 30, 2019, management assessed the available positive and negative evidence to estimate whether sufficient future taxable income will be generated to permit use of its existing deferred tax assets. A significant piece of objective negative evidence evaluated was the cumulative loss incurred over the three-year period ended June 30, 2019. On the basis of this evaluation, an additional valuation allowance of $36.0 million was recorded in the second quarter ($35.8 million of which was recorded as income tax expense and $0.2 million as a reduction of other comprehensive income) to reduce the portion of the deferred tax asset that is not more likely than not to be realized. The Company intends to maintain a valuation allowance until sufficient positive evidence exists to support its reversal. The December 31, 2019 valuation allowance applied to all domestic deferred tax assets other than certain deferred tax assets expected to be realized. The December 31, 2018 valuation allowance applied to the uncertainty of the realization of certain state net operating losses. See Note 14 - Income Taxes to our consolidated financial statements.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tax asset will not be realized.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the deferred tax asset. We consider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73" w:right="239" w:bottom="1440" w:gutter="0" w:footer="0" w:header="0"/>
        </w:sectPr>
      </w:pPr>
    </w:p>
    <w:bookmarkStart w:id="37" w:name="page38"/>
    <w:bookmarkEnd w:id="37"/>
    <w:p>
      <w:pPr>
        <w:ind w:right="120"/>
        <w:spacing w:after="0" w:line="257" w:lineRule="auto"/>
        <w:rPr>
          <w:sz w:val="20"/>
          <w:szCs w:val="20"/>
          <w:color w:val="auto"/>
        </w:rPr>
      </w:pPr>
      <w:r>
        <w:rPr>
          <w:rFonts w:ascii="Arial" w:cs="Arial" w:eastAsia="Arial" w:hAnsi="Arial"/>
          <w:sz w:val="18"/>
          <w:szCs w:val="18"/>
          <w:color w:val="auto"/>
        </w:rPr>
        <w:t>cumulative losses in recent years as well as the impact of one-time events in assessing our pre-tax earnings. Assumptions regarding future taxable income require significant judgment. Our assumptions are consistent with estimates and plans used to manage our business, which includes restructuring and other initiatives. In the event that actual results differ from these estimates, or we adjust these estimates in future periods for current trends or changes in our estimating assumptions, we may modify the level of the valuation allowance which could materially impact our business, financial condition, and results of operations.</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We are subject to income taxes in the U.S.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An unrecognized tax benefit represents the difference between the recognition of benefits related to exposure items for income tax reporting purposes and financial reporting purposes. The entire portion of the unrecognized tax benefit is classified as a component of other long-term liabilities in the consolidated balance sheets. As of December 31, 2019, total unrecognized tax benefits recorded was $5.8 million. We reserve for interest and penalties on exposure items, if applicable, which is recorded as a component of the overall income tax provision.</w:t>
      </w:r>
    </w:p>
    <w:p>
      <w:pPr>
        <w:spacing w:after="0" w:line="17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number of healthcare professionals on assignment with us is subject to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We also expect our education and school business to experience lower demand in the summer months when public and charter schools are closed.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do not believe that inflation had a significant impact on our results of operations for the periods presented. On an ongoing basis, we seek to ensure that billing rates reflect increases in costs due to inflation. In addition, we attempt to minimize any residual impact on our operating results by controlling operating costs.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been exposed to interest rate risk associated with our debt instruments which have had interest based on variable rates. As of December 31, 2019, we are exposed to the risk of fluctuation in interest rates relating to our ABL Credit Agreement (ABL) entered into on October 25, 2019. Our ABL charges us interest at a rate based on either LIBOR or Base Rate (as defined) plus an applicable margin.</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March 2018, we entered into an interest rate swap agreement, which initially fixed the interest rate on 50% of the amortizing balance on our prior term debt. The interest rate swap qualified as a cash flow hedge in accordance with the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Topic of the FASB ASC and the resulting changes in fair value of the interest rate swap were recorded to other comprehensive (loss) income and reclassified to interest expense over the life of the term debt. In September 2019, in contemplation of entering into the ABL, we terminated this interest rate swap agreement. See Note 8 - Debt and Note 9 - Derivatives to our consolidated financial statements.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1% change in interest rates on our variable rate debt would have resulted in interest expense fluctuating approximately $0.9 million and $1.0 million, respectively, for the years ended December 31, 2019 and 2018, excluding the impact of the interest rate swap agreement. Considering the effect of our interest rate swap agreement in a 1% change in interest rates on our variable rate debt would have resulted in interest expense fluctuating approximately $0.4 million and $0.6 million, respectively, for the years ended December 31, 2019 and 2018.</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Item 1A, Risk Factors under “</w:t>
      </w:r>
      <w:r>
        <w:rPr>
          <w:rFonts w:ascii="Arial" w:cs="Arial" w:eastAsia="Arial" w:hAnsi="Arial"/>
          <w:sz w:val="18"/>
          <w:szCs w:val="18"/>
          <w:i w:val="1"/>
          <w:iCs w:val="1"/>
          <w:color w:val="auto"/>
        </w:rPr>
        <w:t>The interest rates under our ABL Credit Agreement may be impacted by the phase-out of the London Interbank Offered</w:t>
      </w:r>
      <w:r>
        <w:rPr>
          <w:rFonts w:ascii="Arial" w:cs="Arial" w:eastAsia="Arial" w:hAnsi="Arial"/>
          <w:sz w:val="18"/>
          <w:szCs w:val="18"/>
          <w:color w:val="auto"/>
        </w:rPr>
        <w:t xml:space="preserve"> </w:t>
      </w:r>
      <w:r>
        <w:rPr>
          <w:rFonts w:ascii="Arial" w:cs="Arial" w:eastAsia="Arial" w:hAnsi="Arial"/>
          <w:sz w:val="18"/>
          <w:szCs w:val="18"/>
          <w:i w:val="1"/>
          <w:iCs w:val="1"/>
          <w:color w:val="auto"/>
        </w:rPr>
        <w:t>Rate (LIBOR)</w:t>
      </w:r>
      <w:r>
        <w:rPr>
          <w:rFonts w:ascii="Arial" w:cs="Arial" w:eastAsia="Arial" w:hAnsi="Arial"/>
          <w:sz w:val="18"/>
          <w:szCs w:val="18"/>
          <w:color w:val="auto"/>
        </w:rPr>
        <w:t>” for a discussion of the interest rate risk related to the potential phase-out of LIBOR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minor exposure to the impact of foreign currency fluctuations. Approximately 1% of selling, general and administrative expenses are related to certain software development and information technology support provided by our employees in Pune, India. Changes in foreign currency exchange rates impact translations of foreign denominated assets and liabilities into U.S. dollars and future earnings and cash flows from transactions denominated in different currencies. We have not entered into any foreign currency hedges.</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international operations transact business in their functional currency. As a result, fluctuations in the value of foreign currencies against the U.S. dollar have an impact on reported results.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in our consolidated balance sheets.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6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2019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Rule 15d-15(f) under the Exchange Act). Our internal control system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as of December 31, 2019. In making this assessment, management used the criteria set forth by the Committee of Sponsoring Organizations of the Treadway Commission, or COSO, in the Internal Control-Integrated Framework (2013 framework).</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its evaluation, management concluded that, as of December 31, 2019, our internal control over financial reporting is effective based on the specific criteria.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page 39.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Cross </w:t>
      </w:r>
      <w:r>
        <w:rPr>
          <w:rFonts w:ascii="Arial" w:cs="Arial" w:eastAsia="Arial" w:hAnsi="Arial"/>
          <w:sz w:val="17"/>
          <w:szCs w:val="17"/>
          <w:color w:val="131313"/>
        </w:rPr>
        <w:t>Country Healthcare, Inc.</w:t>
      </w:r>
      <w:r>
        <w:rPr>
          <w:rFonts w:ascii="Arial" w:cs="Arial" w:eastAsia="Arial" w:hAnsi="Arial"/>
          <w:sz w:val="17"/>
          <w:szCs w:val="17"/>
          <w:color w:val="auto"/>
        </w:rPr>
        <w:t xml:space="preserve">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9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March 5, 2020 expressed an unqualified opinion on those financial statements and schedule and included an explanatory paragraph regarding the Company's adoption of a new accounting standard.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337"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Information with respect to directors, executive officers and corporate governance is included in our Proxy Statement for the 2020 Annual Meeting of Stockholders (Proxy Statement) to be filed pursuant to Regulation 14A with the SEC not later than 120 days after the close of the fiscal year covered by this Annual Report and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not later than 120 days after the close of the fiscal year covered by this Annual Report and such information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not later than 120 days after the close of the fiscal year covered by this Annual Report and such information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2019, see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Weighted-average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exercise price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outstanding options,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7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and rights</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warrants and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6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22"/>
                <w:szCs w:val="22"/>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rights (b)</w:t>
            </w:r>
          </w:p>
        </w:tc>
        <w:tc>
          <w:tcPr>
            <w:tcW w:w="180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8"/>
              </w:rPr>
              <w:t xml:space="preserve">column (a)) (c) </w:t>
            </w:r>
            <w:r>
              <w:rPr>
                <w:rFonts w:ascii="Arial" w:cs="Arial" w:eastAsia="Arial" w:hAnsi="Arial"/>
                <w:sz w:val="25"/>
                <w:szCs w:val="25"/>
                <w:b w:val="1"/>
                <w:bCs w:val="1"/>
                <w:color w:val="auto"/>
                <w:w w:val="88"/>
                <w:vertAlign w:val="superscript"/>
              </w:rPr>
              <w:t>(1)</w:t>
            </w:r>
          </w:p>
        </w:tc>
      </w:tr>
      <w:tr>
        <w:trPr>
          <w:trHeight w:val="209"/>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1,487,506</w:t>
            </w:r>
          </w:p>
        </w:tc>
      </w:tr>
      <w:tr>
        <w:trPr>
          <w:trHeight w:val="229"/>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572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1820" w:type="dxa"/>
            <w:vAlign w:val="bottom"/>
            <w:gridSpan w:val="2"/>
          </w:tcPr>
          <w:p>
            <w:pPr>
              <w:ind w:left="128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1,487,506</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62" w:lineRule="auto"/>
        <w:tabs>
          <w:tab w:leader="none" w:pos="203"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For Performance Stock Awards issued under the 2014 Omnibus Incentive Plan, we consider the expected number of shares that may be issued under the award to be outstanding. When the number of Performance Stock Awards have been determined, we true up the actual number of shares that were awarded and return any unawarded shares into shares available for issuance. See Note 15 - Stockholders' Equity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Information with respect to certain relationships and related transactions, and director independence is included in our Proxy Statement to be filed with the SEC not later than 120 days after the close of the fiscal year covered by this Annual Report and such information is incorporated herein by reference.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6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with respect to the fees and services of our principal accountant is included in our Proxy Statement to be filed with the SEC not later than 120 days after the close of the fiscal year covered by this Annual Report and such information is incorporated herein by reference.</w:t>
      </w:r>
    </w:p>
    <w:p>
      <w:pPr>
        <w:spacing w:after="0" w:line="3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769" w:right="539" w:bottom="1440" w:gutter="0" w:footer="0" w:header="0"/>
        </w:sectPr>
      </w:pPr>
    </w:p>
    <w:bookmarkStart w:id="43" w:name="page44"/>
    <w:bookmarkEnd w:id="43"/>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391" w:lineRule="exact"/>
        <w:rPr>
          <w:sz w:val="20"/>
          <w:szCs w:val="20"/>
          <w:color w:val="auto"/>
        </w:rPr>
      </w:pPr>
    </w:p>
    <w:p>
      <w:pPr>
        <w:ind w:left="300" w:hanging="251"/>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98" w:lineRule="exact"/>
        <w:rPr>
          <w:rFonts w:ascii="Arial" w:cs="Arial" w:eastAsia="Arial" w:hAnsi="Arial"/>
          <w:sz w:val="18"/>
          <w:szCs w:val="18"/>
          <w:color w:val="auto"/>
        </w:rPr>
      </w:pPr>
    </w:p>
    <w:p>
      <w:pPr>
        <w:ind w:left="1080" w:hanging="303"/>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333" w:lineRule="exact"/>
        <w:rPr>
          <w:rFonts w:ascii="Arial" w:cs="Arial" w:eastAsia="Arial" w:hAnsi="Arial"/>
          <w:sz w:val="18"/>
          <w:szCs w:val="18"/>
          <w:color w:val="auto"/>
        </w:rPr>
      </w:pPr>
    </w:p>
    <w:p>
      <w:pPr>
        <w:ind w:left="1080" w:right="4499"/>
        <w:spacing w:after="0" w:line="751" w:lineRule="auto"/>
        <w:rPr>
          <w:rFonts w:ascii="Arial" w:cs="Arial" w:eastAsia="Arial" w:hAnsi="Arial"/>
          <w:sz w:val="18"/>
          <w:szCs w:val="18"/>
          <w:color w:val="auto"/>
        </w:rPr>
      </w:pPr>
      <w:r>
        <w:rPr>
          <w:rFonts w:ascii="Arial" w:cs="Arial" w:eastAsia="Arial" w:hAnsi="Arial"/>
          <w:sz w:val="15"/>
          <w:szCs w:val="15"/>
          <w:color w:val="auto"/>
        </w:rPr>
        <w:t>Report of Independent Registered Public Accounting Firm Consolidated Balance Sheets as of December 31, 2019 and 2018</w:t>
      </w:r>
    </w:p>
    <w:p>
      <w:pPr>
        <w:ind w:left="1080"/>
        <w:spacing w:after="0"/>
        <w:rPr>
          <w:rFonts w:ascii="Arial" w:cs="Arial" w:eastAsia="Arial" w:hAnsi="Arial"/>
          <w:sz w:val="18"/>
          <w:szCs w:val="18"/>
          <w:color w:val="auto"/>
        </w:rPr>
      </w:pPr>
      <w:r>
        <w:rPr>
          <w:rFonts w:ascii="Arial" w:cs="Arial" w:eastAsia="Arial" w:hAnsi="Arial"/>
          <w:sz w:val="17"/>
          <w:szCs w:val="17"/>
          <w:color w:val="auto"/>
        </w:rPr>
        <w:t>Consolidated Statements of Operations for the Years Ended December 31, 2019, 2018, and 2017</w:t>
      </w:r>
    </w:p>
    <w:p>
      <w:pPr>
        <w:spacing w:after="0" w:line="344" w:lineRule="exact"/>
        <w:rPr>
          <w:rFonts w:ascii="Arial" w:cs="Arial" w:eastAsia="Arial" w:hAnsi="Arial"/>
          <w:sz w:val="18"/>
          <w:szCs w:val="18"/>
          <w:color w:val="auto"/>
        </w:rPr>
      </w:pPr>
    </w:p>
    <w:p>
      <w:pPr>
        <w:ind w:left="1220" w:right="147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the Years Ended December 31, 2019, 2018, and 2017</w:t>
      </w:r>
    </w:p>
    <w:p>
      <w:pPr>
        <w:spacing w:after="0" w:line="278" w:lineRule="exact"/>
        <w:rPr>
          <w:rFonts w:ascii="Arial" w:cs="Arial" w:eastAsia="Arial" w:hAnsi="Arial"/>
          <w:sz w:val="18"/>
          <w:szCs w:val="18"/>
          <w:color w:val="auto"/>
        </w:rPr>
      </w:pPr>
    </w:p>
    <w:p>
      <w:pPr>
        <w:ind w:left="1080" w:right="1459"/>
        <w:spacing w:after="0" w:line="704" w:lineRule="auto"/>
        <w:rPr>
          <w:rFonts w:ascii="Arial" w:cs="Arial" w:eastAsia="Arial" w:hAnsi="Arial"/>
          <w:sz w:val="18"/>
          <w:szCs w:val="18"/>
          <w:color w:val="auto"/>
        </w:rPr>
      </w:pPr>
      <w:r>
        <w:rPr>
          <w:rFonts w:ascii="Arial" w:cs="Arial" w:eastAsia="Arial" w:hAnsi="Arial"/>
          <w:sz w:val="16"/>
          <w:szCs w:val="16"/>
          <w:color w:val="auto"/>
        </w:rPr>
        <w:t>Consolidated Statements of Stockholders’ Equity for the Years Ended December 31, 2019, 2018, and 2017 Consolidated Statements of Cash Flows for the Years Ended December 31, 2019, 2018, and 2017</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33" w:lineRule="exact"/>
        <w:rPr>
          <w:rFonts w:ascii="Arial" w:cs="Arial" w:eastAsia="Arial" w:hAnsi="Arial"/>
          <w:sz w:val="18"/>
          <w:szCs w:val="18"/>
          <w:color w:val="auto"/>
        </w:rPr>
      </w:pPr>
    </w:p>
    <w:p>
      <w:pPr>
        <w:ind w:left="1080" w:hanging="303"/>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33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Schedule II – Valuation and Qualifying Accounts for the Years Ended December 31, 2019, 2018, and 2017</w:t>
      </w:r>
    </w:p>
    <w:p>
      <w:pPr>
        <w:spacing w:after="0" w:line="356" w:lineRule="exact"/>
        <w:rPr>
          <w:rFonts w:ascii="Arial" w:cs="Arial" w:eastAsia="Arial" w:hAnsi="Arial"/>
          <w:sz w:val="18"/>
          <w:szCs w:val="18"/>
          <w:color w:val="auto"/>
        </w:rPr>
      </w:pPr>
    </w:p>
    <w:p>
      <w:pPr>
        <w:ind w:left="1080" w:hanging="303"/>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77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60" w:type="dxa"/>
            <w:vAlign w:val="bottom"/>
            <w:gridSpan w:val="33"/>
          </w:tcPr>
          <w:p>
            <w:pPr>
              <w:jc w:val="center"/>
              <w:ind w:right="41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31"/>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6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13">
              <w:r>
                <w:rPr>
                  <w:rFonts w:ascii="Arial" w:cs="Arial" w:eastAsia="Arial" w:hAnsi="Arial"/>
                  <w:sz w:val="18"/>
                  <w:szCs w:val="18"/>
                  <w:color w:val="0000FF"/>
                  <w:w w:val="90"/>
                </w:rPr>
                <w:t>Amended and Restated Certificate of Incorporation of the Registrant (Previously filed as an exhibit to the Company’s Registration Statement on</w:t>
              </w:r>
            </w:hyperlink>
          </w:p>
        </w:tc>
        <w:tc>
          <w:tcPr>
            <w:tcW w:w="80" w:type="dxa"/>
            <w:vAlign w:val="bottom"/>
            <w:gridSpan w:val="2"/>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Form S-1/A, Commission File No. 333-64914,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tcBorders>
              <w:bottom w:val="single" w:sz="8" w:color="0000FF"/>
            </w:tcBorders>
            <w:gridSpan w:val="37"/>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Certificate of Correction to Amended and Restated Certificate of Incorporation of the Registrant (Previously filed as an exhibit to the Company's</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Form 10-K for the year ended December 31, 2017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00" w:type="dxa"/>
            <w:vAlign w:val="bottom"/>
            <w:tcBorders>
              <w:bottom w:val="single" w:sz="8" w:color="0000FF"/>
            </w:tcBorders>
            <w:gridSpan w:val="28"/>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Amended and Restated By-laws of the Registrant (Previously filed as an exhibit to the Company's Form 10-Q for the quarter ended June 30,</w:t>
              </w:r>
            </w:hyperlink>
          </w:p>
        </w:tc>
        <w:tc>
          <w:tcPr>
            <w:tcW w:w="340" w:type="dxa"/>
            <w:vAlign w:val="bottom"/>
            <w:gridSpan w:val="9"/>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2018 and incorporated by reference herein.)</w:t>
              </w:r>
            </w:hyperlink>
          </w:p>
        </w:tc>
        <w:tc>
          <w:tcPr>
            <w:tcW w:w="7300" w:type="dxa"/>
            <w:vAlign w:val="bottom"/>
            <w:gridSpan w:val="34"/>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540" w:type="dxa"/>
            <w:vAlign w:val="bottom"/>
            <w:tcBorders>
              <w:bottom w:val="single" w:sz="8" w:color="0000FF"/>
            </w:tcBorders>
            <w:gridSpan w:val="20"/>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specimen common stock certificate (Previously filed as an exhibit to the Company’s Registration Statement on Form S-1/A,</w:t>
              </w:r>
            </w:hyperlink>
          </w:p>
        </w:tc>
        <w:tc>
          <w:tcPr>
            <w:tcW w:w="900" w:type="dxa"/>
            <w:vAlign w:val="bottom"/>
            <w:gridSpan w:val="1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Commission File No. 333-64914,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180" w:type="dxa"/>
            <w:vAlign w:val="bottom"/>
            <w:tcBorders>
              <w:bottom w:val="single" w:sz="8" w:color="0000FF"/>
            </w:tcBorders>
            <w:gridSpan w:val="29"/>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2014 Omnibus Incentive Plan - Restricted Stock Agreement Form (Previously filed as an exhibit to the Company’s Form 10-Q for the quarter</w:t>
              </w:r>
            </w:hyperlink>
          </w:p>
        </w:tc>
        <w:tc>
          <w:tcPr>
            <w:tcW w:w="260" w:type="dxa"/>
            <w:vAlign w:val="bottom"/>
            <w:gridSpan w:val="8"/>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17">
              <w:r>
                <w:rPr>
                  <w:rFonts w:ascii="Arial" w:cs="Arial" w:eastAsia="Arial" w:hAnsi="Arial"/>
                  <w:sz w:val="18"/>
                  <w:szCs w:val="18"/>
                  <w:color w:val="0000FF"/>
                  <w:w w:val="88"/>
                </w:rPr>
                <w:t>ended June 30, 2014 and incorporated by reference herein.)</w:t>
              </w:r>
            </w:hyperlink>
          </w:p>
        </w:tc>
        <w:tc>
          <w:tcPr>
            <w:tcW w:w="6180" w:type="dxa"/>
            <w:vAlign w:val="bottom"/>
            <w:gridSpan w:val="31"/>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20" w:type="dxa"/>
            <w:vAlign w:val="bottom"/>
            <w:tcBorders>
              <w:bottom w:val="single" w:sz="8" w:color="0000FF"/>
            </w:tcBorders>
            <w:gridSpan w:val="36"/>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2014 Omnibus Incentive Plan - Performance Share and Restricted Stock Agreement Form (Previously filed as an exhibit to the Company’s Form</w:t>
              </w:r>
            </w:hyperlink>
          </w:p>
        </w:tc>
        <w:tc>
          <w:tcPr>
            <w:tcW w:w="20" w:type="dxa"/>
            <w:vAlign w:val="bottom"/>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10-Q for the quarter ended June 30, 2014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Description of the Company's Securities Registered Pursuant to Section 12 of the Securities Exchange Act of 1934</w:t>
              </w:r>
            </w:hyperlink>
          </w:p>
        </w:tc>
        <w:tc>
          <w:tcPr>
            <w:tcW w:w="2200" w:type="dxa"/>
            <w:vAlign w:val="bottom"/>
            <w:gridSpan w:val="21"/>
          </w:tcPr>
          <w:p>
            <w:pPr>
              <w:spacing w:after="0"/>
              <w:rPr>
                <w:sz w:val="21"/>
                <w:szCs w:val="2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80" w:type="dxa"/>
            <w:vAlign w:val="bottom"/>
            <w:tcBorders>
              <w:bottom w:val="single" w:sz="8" w:color="0000FF"/>
            </w:tcBorders>
            <w:gridSpan w:val="32"/>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Cross Country, Inc. Deferred Compensation Plan (Previously filed as an exhibit to the Company’s Form 10-K for the year ended December 31,</w:t>
              </w:r>
            </w:hyperlink>
          </w:p>
        </w:tc>
        <w:tc>
          <w:tcPr>
            <w:tcW w:w="160" w:type="dxa"/>
            <w:vAlign w:val="bottom"/>
            <w:gridSpan w:val="5"/>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2002, and incorporated by reference herein.)</w:t>
              </w:r>
            </w:hyperlink>
          </w:p>
        </w:tc>
        <w:tc>
          <w:tcPr>
            <w:tcW w:w="7260" w:type="dxa"/>
            <w:vAlign w:val="bottom"/>
            <w:gridSpan w:val="33"/>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4"/>
              </w:rPr>
            </w:pPr>
            <w:hyperlink r:id="rId20">
              <w:r>
                <w:rPr>
                  <w:rFonts w:ascii="Arial" w:cs="Arial" w:eastAsia="Arial" w:hAnsi="Arial"/>
                  <w:sz w:val="18"/>
                  <w:szCs w:val="18"/>
                  <w:color w:val="0000FF"/>
                  <w:w w:val="94"/>
                </w:rPr>
                <w:t>Lease Agreement between Cornerstone Opportunity Ventures, LLC and Cejka Search, Inc., dated February 2, 2007 (Previously filed as an</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to the Company’s Form 10-K for the year ended December 31, 2006 and incorporated by reference herein.)</w:t>
              </w:r>
            </w:hyperlink>
          </w:p>
        </w:tc>
        <w:tc>
          <w:tcPr>
            <w:tcW w:w="520" w:type="dxa"/>
            <w:vAlign w:val="bottom"/>
            <w:gridSpan w:val="12"/>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Second Amendment to Lease Agreement by and between Meridian Commercial Properties Limited Partnership and Cross Country Healthcare,</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60" w:type="dxa"/>
            <w:vAlign w:val="bottom"/>
            <w:tcBorders>
              <w:top w:val="single" w:sz="8" w:color="0000FF"/>
            </w:tcBorders>
            <w:gridSpan w:val="31"/>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Inc., dated February 17, 2007 (Previously filed as an exhibit to the Company’s Form 10-K for the year ended December 31, 2006 and</w:t>
              </w:r>
            </w:hyperlink>
          </w:p>
        </w:tc>
        <w:tc>
          <w:tcPr>
            <w:tcW w:w="180" w:type="dxa"/>
            <w:vAlign w:val="bottom"/>
            <w:gridSpan w:val="6"/>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by reference herein.)</w:t>
              </w:r>
            </w:hyperlink>
          </w:p>
        </w:tc>
        <w:tc>
          <w:tcPr>
            <w:tcW w:w="860" w:type="dxa"/>
            <w:vAlign w:val="bottom"/>
            <w:gridSpan w:val="16"/>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First Amendment to Lease Agreement dated as of September 1, 2007, by and between Cornerstone Opportunity Ventures, LLC and Cejka</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00" w:type="dxa"/>
            <w:vAlign w:val="bottom"/>
            <w:tcBorders>
              <w:top w:val="single" w:sz="8" w:color="0000FF"/>
            </w:tcBorders>
            <w:gridSpan w:val="24"/>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Search, Inc. (Previously filed as an exhibit to the Company’s Form 10-Q for the quarter ended September 30, 2008 and incorporated by</w:t>
              </w:r>
            </w:hyperlink>
          </w:p>
        </w:tc>
        <w:tc>
          <w:tcPr>
            <w:tcW w:w="540" w:type="dxa"/>
            <w:vAlign w:val="bottom"/>
            <w:gridSpan w:val="13"/>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2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reference herein.)</w:t>
              </w:r>
            </w:hyperlink>
          </w:p>
        </w:tc>
        <w:tc>
          <w:tcPr>
            <w:tcW w:w="720" w:type="dxa"/>
            <w:vAlign w:val="bottom"/>
            <w:gridSpan w:val="15"/>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Form of Non-Employee Directors’ Restricted Stock Agreement under Cross Country Healthcare, Inc. 2007 Stock Incentive Plan (Previously</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as an exhibit to the Company’s 8-K dated May 15, 2007 and incorporated by reference herein.)</w:t>
              </w:r>
            </w:hyperlink>
          </w:p>
        </w:tc>
        <w:tc>
          <w:tcPr>
            <w:tcW w:w="340" w:type="dxa"/>
            <w:vAlign w:val="bottom"/>
            <w:gridSpan w:val="9"/>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40" w:type="dxa"/>
            <w:vAlign w:val="bottom"/>
            <w:tcBorders>
              <w:bottom w:val="single" w:sz="8" w:color="0000FF"/>
            </w:tcBorders>
            <w:gridSpan w:val="30"/>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Form of Stock Appreciation Rights Agreement under Cross Country Healthcare, Inc. 2007 Stock Incentive Plan (Previously filed as an exhibit</w:t>
              </w:r>
            </w:hyperlink>
          </w:p>
        </w:tc>
        <w:tc>
          <w:tcPr>
            <w:tcW w:w="200" w:type="dxa"/>
            <w:vAlign w:val="bottom"/>
            <w:gridSpan w:val="7"/>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54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to the Company’s Form 8-K dated October 15, 2007 and incorporated by reference herein.)</w:t>
              </w:r>
            </w:hyperlink>
          </w:p>
        </w:tc>
        <w:tc>
          <w:tcPr>
            <w:tcW w:w="3900" w:type="dxa"/>
            <w:vAlign w:val="bottom"/>
            <w:gridSpan w:val="26"/>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0" w:type="dxa"/>
            <w:vAlign w:val="bottom"/>
            <w:tcBorders>
              <w:bottom w:val="single" w:sz="8" w:color="0000FF"/>
            </w:tcBorders>
            <w:gridSpan w:val="23"/>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Lease Agreement, dated July 18, 2013, between Peachtree II and III, LLC and MDA Holdings, Inc. (Previously filed as an exhibit to the</w:t>
              </w:r>
            </w:hyperlink>
          </w:p>
        </w:tc>
        <w:tc>
          <w:tcPr>
            <w:tcW w:w="640" w:type="dxa"/>
            <w:vAlign w:val="bottom"/>
            <w:gridSpan w:val="14"/>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Company’s Form 10-Q for the quarter ended June 30, 2013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220" w:type="dxa"/>
            <w:vAlign w:val="bottom"/>
            <w:gridSpan w:val="5"/>
            <w:shd w:val="clear" w:color="auto" w:fill="0000FF"/>
          </w:tcPr>
          <w:p>
            <w:pPr>
              <w:spacing w:after="0" w:line="20" w:lineRule="exact"/>
              <w:rPr>
                <w:sz w:val="1"/>
                <w:szCs w:val="1"/>
                <w:color w:val="auto"/>
              </w:rPr>
            </w:pPr>
          </w:p>
        </w:tc>
        <w:tc>
          <w:tcPr>
            <w:tcW w:w="2820" w:type="dxa"/>
            <w:vAlign w:val="bottom"/>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20" w:type="dxa"/>
            <w:vAlign w:val="bottom"/>
            <w:tcBorders>
              <w:bottom w:val="single" w:sz="8" w:color="0000FF"/>
            </w:tcBorders>
            <w:gridSpan w:val="3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Amended and Restated Executive Severance Plan of Cross Country Healthcare, Inc. (Previously filed as an exhibit to the Company’s Form 8-K</w:t>
              </w:r>
            </w:hyperlink>
          </w:p>
        </w:tc>
        <w:tc>
          <w:tcPr>
            <w:tcW w:w="120" w:type="dxa"/>
            <w:vAlign w:val="bottom"/>
            <w:gridSpan w:val="4"/>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2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dated May 28, 2010 and incorporated by reference herein.)</w:t>
              </w:r>
            </w:hyperlink>
          </w:p>
        </w:tc>
        <w:tc>
          <w:tcPr>
            <w:tcW w:w="6220" w:type="dxa"/>
            <w:vAlign w:val="bottom"/>
            <w:gridSpan w:val="32"/>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Fourth Amendment to Lease Agreement by and between Granite Meridian LLC and Cross Country Healthcare, Inc., dated September 29, 2015</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(Previously filed as an exhibit to the Company’s Form 8-K dated October 2, 2015 and incorporated by reference herein.)</w:t>
              </w:r>
            </w:hyperlink>
          </w:p>
        </w:tc>
        <w:tc>
          <w:tcPr>
            <w:tcW w:w="1620" w:type="dxa"/>
            <w:vAlign w:val="bottom"/>
            <w:tcBorders>
              <w:top w:val="single" w:sz="8" w:color="0000FF"/>
            </w:tcBorders>
            <w:gridSpan w:val="15"/>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Ninth Amendment to Lease Agreement by and between Mainstreet CV North 40, LLC and Cross Country Healthcare, Inc., dated September 29,</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2015 (Previously filed as an exhibit to the Company’s Form 8-K dated October 2, 2015 and incorporated by reference herein.)</w:t>
              </w:r>
            </w:hyperlink>
          </w:p>
        </w:tc>
        <w:tc>
          <w:tcPr>
            <w:tcW w:w="1300" w:type="dxa"/>
            <w:vAlign w:val="bottom"/>
            <w:tcBorders>
              <w:top w:val="single" w:sz="8" w:color="0000FF"/>
            </w:tcBorders>
            <w:gridSpan w:val="1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80" w:type="dxa"/>
            <w:vAlign w:val="bottom"/>
            <w:tcBorders>
              <w:bottom w:val="single" w:sz="8" w:color="0000FF"/>
            </w:tcBorders>
            <w:gridSpan w:val="27"/>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Lease Agreement by and between Mainstreet CV North 40, LLC and Cross Country Healthcare, Inc., dated September 29, 2015 (Previously</w:t>
              </w:r>
            </w:hyperlink>
          </w:p>
        </w:tc>
        <w:tc>
          <w:tcPr>
            <w:tcW w:w="360" w:type="dxa"/>
            <w:vAlign w:val="bottom"/>
            <w:gridSpan w:val="10"/>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filed as an exhibit to the Company’s Form 8-K dated October 2, 2015 and incorporated by reference herein.)</w:t>
              </w:r>
            </w:hyperlink>
          </w:p>
        </w:tc>
        <w:tc>
          <w:tcPr>
            <w:tcW w:w="2660" w:type="dxa"/>
            <w:vAlign w:val="bottom"/>
            <w:gridSpan w:val="22"/>
          </w:tcPr>
          <w:p>
            <w:pPr>
              <w:spacing w:after="0"/>
              <w:rPr>
                <w:sz w:val="17"/>
                <w:szCs w:val="17"/>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340" w:type="dxa"/>
            <w:vAlign w:val="bottom"/>
            <w:tcBorders>
              <w:bottom w:val="single" w:sz="8" w:color="0000FF"/>
            </w:tcBorders>
            <w:gridSpan w:val="34"/>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Asset Purchase Agreement between Mediscan, Inc. and Direct Ed Solutions, Inc. and Mihal Spiegel, dated August 19, 2014 (Previously filed as</w:t>
              </w:r>
            </w:hyperlink>
          </w:p>
        </w:tc>
        <w:tc>
          <w:tcPr>
            <w:tcW w:w="100" w:type="dxa"/>
            <w:vAlign w:val="bottom"/>
            <w:gridSpan w:val="3"/>
          </w:tcPr>
          <w:p>
            <w:pPr>
              <w:spacing w:after="0"/>
              <w:rPr>
                <w:sz w:val="21"/>
                <w:szCs w:val="2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40" w:type="dxa"/>
            <w:vAlign w:val="bottom"/>
            <w:gridSpan w:val="37"/>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an exhibit to the Company's Form 8-K dated November 3, 2015 and incorporated by reference herein.)</w:t>
              </w:r>
            </w:hyperlink>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360" w:type="dxa"/>
            <w:vAlign w:val="bottom"/>
            <w:gridSpan w:val="14"/>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40" w:type="dxa"/>
            <w:vAlign w:val="bottom"/>
            <w:gridSpan w:val="37"/>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Third Amendment to Lease Agreement between RNSI City Place Owner, LLC and Cejka Search, Inc., dated December 2, 2015 (Previously</w:t>
              </w:r>
            </w:hyperlink>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40" w:type="dxa"/>
            <w:vAlign w:val="bottom"/>
            <w:tcBorders>
              <w:top w:val="single" w:sz="8" w:color="0000FF"/>
            </w:tcBorders>
            <w:gridSpan w:val="26"/>
          </w:tcPr>
          <w:p>
            <w:pPr>
              <w:spacing w:after="0" w:line="196"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filed as an exhibit to the Company's Form 10-KA for the year ended December 31, 2015 and incorporated by reference herein.)</w:t>
              </w:r>
            </w:hyperlink>
          </w:p>
        </w:tc>
        <w:tc>
          <w:tcPr>
            <w:tcW w:w="400" w:type="dxa"/>
            <w:vAlign w:val="bottom"/>
            <w:gridSpan w:val="11"/>
          </w:tcPr>
          <w:p>
            <w:pPr>
              <w:spacing w:after="0"/>
              <w:rPr>
                <w:sz w:val="17"/>
                <w:szCs w:val="17"/>
                <w:color w:val="auto"/>
              </w:rPr>
            </w:pPr>
          </w:p>
        </w:tc>
      </w:tr>
      <w:tr>
        <w:trPr>
          <w:trHeight w:val="480"/>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tcBorders>
              <w:top w:val="single" w:sz="8" w:color="0000FF"/>
            </w:tcBorders>
            <w:gridSpan w:val="7"/>
          </w:tcPr>
          <w:p>
            <w:pPr>
              <w:jc w:val="right"/>
              <w:ind w:right="270"/>
              <w:spacing w:after="0"/>
              <w:rPr>
                <w:sz w:val="20"/>
                <w:szCs w:val="20"/>
                <w:color w:val="auto"/>
              </w:rPr>
            </w:pPr>
            <w:r>
              <w:rPr>
                <w:rFonts w:ascii="Arial" w:cs="Arial" w:eastAsia="Arial" w:hAnsi="Arial"/>
                <w:sz w:val="18"/>
                <w:szCs w:val="18"/>
                <w:color w:val="auto"/>
              </w:rPr>
              <w:t>42</w:t>
            </w:r>
          </w:p>
        </w:tc>
        <w:tc>
          <w:tcPr>
            <w:tcW w:w="5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20" w:type="dxa"/>
            <w:vAlign w:val="bottom"/>
            <w:gridSpan w:val="27"/>
          </w:tcPr>
          <w:p>
            <w:pPr>
              <w:ind w:left="60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80" w:type="dxa"/>
            <w:vAlign w:val="bottom"/>
            <w:gridSpan w:val="26"/>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20"/>
              <w:spacing w:after="0" w:line="196"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Tenth Amendment to Lease agreement between Mainstreet CV North 40, LLC and Cross Country Healthcare, Inc., dated September 19, 2016</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4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Borders>
              <w:bottom w:val="single" w:sz="8" w:color="0000FF"/>
            </w:tcBorders>
            <w:gridSpan w:val="15"/>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Amendment to Lease agreement between Mainstreet CV North 40, LLC and Cross Country Healthcare, Inc., dated September 19, 2016</w:t>
              </w:r>
            </w:hyperlink>
          </w:p>
        </w:tc>
        <w:tc>
          <w:tcPr>
            <w:tcW w:w="540" w:type="dxa"/>
            <w:vAlign w:val="bottom"/>
            <w:gridSpan w:val="14"/>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(Previously filed as an exhibit to the Company’s Form 10-Q for the quarter ended September 30, 2016 and incorporated by reference herein.)</w:t>
              </w:r>
            </w:hyperlink>
          </w:p>
        </w:tc>
        <w:tc>
          <w:tcPr>
            <w:tcW w:w="140" w:type="dxa"/>
            <w:vAlign w:val="bottom"/>
            <w:gridSpan w:val="4"/>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tcBorders>
              <w:bottom w:val="single" w:sz="8" w:color="0000FF"/>
            </w:tcBorders>
            <w:gridSpan w:val="23"/>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Asset Purchase Agreement, dated June 13, 2017, among Cross Country Healthcare, Inc., as Buyer,Advantage RN, LLC, Advantage On Call,</w:t>
              </w:r>
            </w:hyperlink>
          </w:p>
        </w:tc>
        <w:tc>
          <w:tcPr>
            <w:tcW w:w="180" w:type="dxa"/>
            <w:vAlign w:val="bottom"/>
            <w:gridSpan w:val="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LLC, Advantage Locums, LLC, and Advantage RN LocalStaffing, the Seller Parties, and Seller Representative (Previously filed as an exhibit</w:t>
              </w:r>
            </w:hyperlink>
          </w:p>
        </w:tc>
        <w:tc>
          <w:tcPr>
            <w:tcW w:w="1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to the Company's Form8-K dated June 13, 2017 and incorporated by reference herein.)</w:t>
              </w:r>
            </w:hyperlink>
          </w:p>
        </w:tc>
        <w:tc>
          <w:tcPr>
            <w:tcW w:w="4060" w:type="dxa"/>
            <w:vAlign w:val="bottom"/>
            <w:gridSpan w:val="22"/>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Fourth Amendment to Lease Agreement between RNSI City Place Owner, LLC and Cejka Search, Inc.,dated May 31, 2017 (Previously filed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as an exhibit to the Company's Form 10-Q for the quarter ended September 30, 2017 and incorporated by reference herein.)</w:t>
              </w:r>
            </w:hyperlink>
          </w:p>
        </w:tc>
        <w:tc>
          <w:tcPr>
            <w:tcW w:w="16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Cross Country Healthcare, Inc. Executive Nonqualified Excess Plan Adoption Agreement (Previously filed as an exhibit to the Company's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Form 10-K dated December 31, 2017 and incorporated by reference herein.)</w:t>
              </w:r>
            </w:hyperlink>
          </w:p>
        </w:tc>
        <w:tc>
          <w:tcPr>
            <w:tcW w:w="34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10.19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tcBorders>
              <w:bottom w:val="single" w:sz="8" w:color="0000FF"/>
            </w:tcBorders>
            <w:gridSpan w:val="2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Employment Agreement between Cross Country Healthcare, Inc. and Kevin C. Clark, dated January 16, 2019 (Previously filed as an exhibit</w:t>
              </w:r>
            </w:hyperlink>
          </w:p>
        </w:tc>
        <w:tc>
          <w:tcPr>
            <w:tcW w:w="200" w:type="dxa"/>
            <w:vAlign w:val="bottom"/>
            <w:gridSpan w:val="7"/>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4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to the Company's Form 8-K dated January 16, 2019 and incorporated by reference herein.)</w:t>
              </w:r>
            </w:hyperlink>
          </w:p>
        </w:tc>
        <w:tc>
          <w:tcPr>
            <w:tcW w:w="3780" w:type="dxa"/>
            <w:vAlign w:val="bottom"/>
            <w:gridSpan w:val="21"/>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10.20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14"/>
          </w:tcPr>
          <w:p>
            <w:pPr>
              <w:spacing w:after="0"/>
              <w:rPr>
                <w:rFonts w:ascii="Arial" w:cs="Arial" w:eastAsia="Arial" w:hAnsi="Arial"/>
                <w:sz w:val="18"/>
                <w:szCs w:val="18"/>
                <w:color w:val="0000FF"/>
                <w:w w:val="89"/>
              </w:rPr>
            </w:pPr>
            <w:hyperlink r:id="rId38">
              <w:r>
                <w:rPr>
                  <w:rFonts w:ascii="Arial" w:cs="Arial" w:eastAsia="Arial" w:hAnsi="Arial"/>
                  <w:sz w:val="18"/>
                  <w:szCs w:val="18"/>
                  <w:color w:val="0000FF"/>
                  <w:w w:val="89"/>
                </w:rPr>
                <w:t>Amendment and Restatement to Employment Agreement, dated January 31, 2019, by and between Cross Country Healthcare, Inc. and</w:t>
              </w:r>
            </w:hyperlink>
          </w:p>
        </w:tc>
        <w:tc>
          <w:tcPr>
            <w:tcW w:w="600" w:type="dxa"/>
            <w:vAlign w:val="bottom"/>
            <w:gridSpan w:val="15"/>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William J. Burns (Previously filed as an exhibit to the Company's Form 8-K dated January 31, 2019 and incorporated by reference herein)</w:t>
              </w:r>
            </w:hyperlink>
          </w:p>
        </w:tc>
        <w:tc>
          <w:tcPr>
            <w:tcW w:w="360" w:type="dxa"/>
            <w:vAlign w:val="bottom"/>
            <w:gridSpan w:val="10"/>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10.21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tcBorders>
              <w:bottom w:val="single" w:sz="8" w:color="0000FF"/>
            </w:tcBorders>
            <w:gridSpan w:val="21"/>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Offer Letter, dated as of March 11, 2019, between Stephen Saville and Cross Country Healthcare, Inc. (Previously filed as an exhibit to the</w:t>
              </w:r>
            </w:hyperlink>
          </w:p>
        </w:tc>
        <w:tc>
          <w:tcPr>
            <w:tcW w:w="300" w:type="dxa"/>
            <w:vAlign w:val="bottom"/>
            <w:gridSpan w:val="8"/>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Company's Form 8-K dated April 16, 2019 and incorporated be reference herein.)</w:t>
              </w:r>
            </w:hyperlink>
          </w:p>
        </w:tc>
        <w:tc>
          <w:tcPr>
            <w:tcW w:w="4420" w:type="dxa"/>
            <w:vAlign w:val="bottom"/>
            <w:gridSpan w:val="24"/>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10.22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Offer Letter between Cross Country Healthcare, Inc. and Buffy White, dated March 6, 2019 (Previously filed as an exhibit to the Company's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Form 10-Q for the quarter ended September 30, 2019 and incorporated by reference herein.)</w:t>
              </w:r>
            </w:hyperlink>
          </w:p>
        </w:tc>
        <w:tc>
          <w:tcPr>
            <w:tcW w:w="3460" w:type="dxa"/>
            <w:vAlign w:val="bottom"/>
            <w:tcBorders>
              <w:top w:val="single" w:sz="8" w:color="0000FF"/>
            </w:tcBorders>
            <w:gridSpan w:val="13"/>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10.23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Relocation Agreement between Cross Country Healthcare, Inc. and Buffy White, dated May 21 2019 (Previously filed as an exhibit to the</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Company's Form 10-Q for the quarter ended September 30, 2019 and incorporated by reference herein.)</w:t>
              </w:r>
            </w:hyperlink>
          </w:p>
        </w:tc>
        <w:tc>
          <w:tcPr>
            <w:tcW w:w="2440" w:type="dxa"/>
            <w:vAlign w:val="bottom"/>
            <w:tcBorders>
              <w:top w:val="single" w:sz="8" w:color="0000FF"/>
            </w:tcBorders>
            <w:gridSpan w:val="7"/>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tcBorders>
              <w:bottom w:val="single" w:sz="8" w:color="0000FF"/>
            </w:tcBorders>
            <w:gridSpan w:val="17"/>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ABL Credit Agreement, dated October 25, 2019, by and among Cross Country Healthcare, Inc. and certain of its domestic subsidiaries as</w:t>
              </w:r>
            </w:hyperlink>
          </w:p>
        </w:tc>
        <w:tc>
          <w:tcPr>
            <w:tcW w:w="400" w:type="dxa"/>
            <w:vAlign w:val="bottom"/>
            <w:gridSpan w:val="12"/>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20" w:type="dxa"/>
            <w:vAlign w:val="bottom"/>
            <w:tcBorders>
              <w:bottom w:val="single" w:sz="8" w:color="0000FF"/>
            </w:tcBorders>
            <w:gridSpan w:val="26"/>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borrowers, certain of its domestic subsidiaries as guarantors, the Lenders referenced therein, and Wells Fargo Bank, as agent (Previously filed</w:t>
              </w:r>
            </w:hyperlink>
          </w:p>
        </w:tc>
        <w:tc>
          <w:tcPr>
            <w:tcW w:w="1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as an exhibit to the Company's Form 8-K dated October 28, 2019 and incorporated by reference herein.)</w:t>
              </w:r>
            </w:hyperlink>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Code of Ethics, revised April 9, 2019</w:t>
              </w:r>
            </w:hyperlink>
          </w:p>
        </w:tc>
        <w:tc>
          <w:tcPr>
            <w:tcW w:w="4800" w:type="dxa"/>
            <w:vAlign w:val="bottom"/>
            <w:tcBorders>
              <w:top w:val="single" w:sz="8" w:color="0000FF"/>
            </w:tcBorders>
            <w:gridSpan w:val="9"/>
          </w:tcPr>
          <w:p>
            <w:pPr>
              <w:spacing w:after="0"/>
              <w:rPr>
                <w:sz w:val="21"/>
                <w:szCs w:val="21"/>
                <w:color w:val="auto"/>
              </w:rPr>
            </w:pPr>
          </w:p>
        </w:tc>
        <w:tc>
          <w:tcPr>
            <w:tcW w:w="2820" w:type="dxa"/>
            <w:vAlign w:val="bottom"/>
            <w:gridSpan w:val="18"/>
          </w:tcPr>
          <w:p>
            <w:pPr>
              <w:spacing w:after="0"/>
              <w:rPr>
                <w:sz w:val="21"/>
                <w:szCs w:val="2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List of subsidiaries of the Registrant</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Consent of Deloitte &amp; Touche LLP, Independent Registered Public Accounting Firm</w:t>
              </w:r>
            </w:hyperlink>
          </w:p>
        </w:tc>
        <w:tc>
          <w:tcPr>
            <w:tcW w:w="4220" w:type="dxa"/>
            <w:vAlign w:val="bottom"/>
            <w:gridSpan w:val="23"/>
          </w:tcPr>
          <w:p>
            <w:pPr>
              <w:spacing w:after="0"/>
              <w:rPr>
                <w:sz w:val="21"/>
                <w:szCs w:val="2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06">
              <w:r>
                <w:rPr>
                  <w:rFonts w:ascii="Arial" w:cs="Arial" w:eastAsia="Arial" w:hAnsi="Arial"/>
                  <w:sz w:val="18"/>
                  <w:szCs w:val="18"/>
                  <w:color w:val="0000FF"/>
                  <w:w w:val="91"/>
                </w:rPr>
                <w:t>Certification Pursuant to Rule 13a-14(a)/15d-14(a) and pursuant to Section 302 of the Sarbanes-Oxley Act of 2002 by Kevin C. Clark,</w:t>
              </w:r>
            </w:hyperlink>
          </w:p>
        </w:tc>
        <w:tc>
          <w:tcPr>
            <w:tcW w:w="620" w:type="dxa"/>
            <w:vAlign w:val="bottom"/>
            <w:gridSpan w:val="16"/>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w:anchor="page106">
              <w:r>
                <w:rPr>
                  <w:rFonts w:ascii="Arial" w:cs="Arial" w:eastAsia="Arial" w:hAnsi="Arial"/>
                  <w:sz w:val="18"/>
                  <w:szCs w:val="18"/>
                  <w:color w:val="0000FF"/>
                  <w:w w:val="93"/>
                </w:rPr>
                <w:t>President, Chief Executive Officer (Principal Executive Officer)</w:t>
              </w:r>
            </w:hyperlink>
          </w:p>
        </w:tc>
        <w:tc>
          <w:tcPr>
            <w:tcW w:w="5680" w:type="dxa"/>
            <w:vAlign w:val="bottom"/>
            <w:gridSpan w:val="26"/>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Certification Pursuant to Rule 13a-14(a)/15d-14(a) and pursuant to Section 302 of the Sarbanes-Oxley Act of 2002 by William J. Burns,</w:t>
              </w:r>
            </w:hyperlink>
          </w:p>
        </w:tc>
        <w:tc>
          <w:tcPr>
            <w:tcW w:w="500" w:type="dxa"/>
            <w:vAlign w:val="bottom"/>
            <w:gridSpan w:val="13"/>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20" w:type="dxa"/>
            <w:vAlign w:val="bottom"/>
            <w:gridSpan w:val="29"/>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Executive Vice President, Chief Financial Officer (Principal Accounting and Financial Officer)</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10"/>
            <w:shd w:val="clear" w:color="auto" w:fill="0000FF"/>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Certification Pursuant to 18 U.S.C. Section 1350, as adopted pursuant to Section 906 of the Sarbanes-Oxley Act of 2002, by Kevin C. Clark,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President, Chief Executive Officer (Principal Executive Officer)</w:t>
              </w:r>
            </w:hyperlink>
          </w:p>
        </w:tc>
        <w:tc>
          <w:tcPr>
            <w:tcW w:w="5500" w:type="dxa"/>
            <w:vAlign w:val="bottom"/>
            <w:tcBorders>
              <w:top w:val="single" w:sz="8" w:color="0000FF"/>
            </w:tcBorders>
            <w:gridSpan w:val="20"/>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250"/>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20" w:type="dxa"/>
            <w:vAlign w:val="bottom"/>
            <w:gridSpan w:val="29"/>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Pursuant to 18 U.S.C. Section 1350, as adopted pursuant to Section 906 of the Sarbanes-Oxley Act of 2002, by William J. Burns,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6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w:anchor="page109">
              <w:r>
                <w:rPr>
                  <w:rFonts w:ascii="Arial" w:cs="Arial" w:eastAsia="Arial" w:hAnsi="Arial"/>
                  <w:sz w:val="18"/>
                  <w:szCs w:val="18"/>
                  <w:color w:val="0000FF"/>
                </w:rPr>
                <w:t>Executive Vice President, Chief Financial Officer (Principal Accounting and Financial Officer)</w:t>
              </w:r>
            </w:hyperlink>
          </w:p>
        </w:tc>
        <w:tc>
          <w:tcPr>
            <w:tcW w:w="60" w:type="dxa"/>
            <w:vAlign w:val="bottom"/>
          </w:tcPr>
          <w:p>
            <w:pPr>
              <w:spacing w:after="0"/>
              <w:rPr>
                <w:sz w:val="17"/>
                <w:szCs w:val="17"/>
                <w:color w:val="auto"/>
              </w:rPr>
            </w:pPr>
          </w:p>
        </w:tc>
      </w:tr>
      <w:tr>
        <w:trPr>
          <w:trHeight w:val="69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tcBorders>
              <w:top w:val="single" w:sz="8" w:color="0000FF"/>
            </w:tcBorders>
            <w:gridSpan w:val="4"/>
          </w:tcPr>
          <w:p>
            <w:pPr>
              <w:ind w:left="4540"/>
              <w:spacing w:after="0"/>
              <w:rPr>
                <w:sz w:val="20"/>
                <w:szCs w:val="20"/>
                <w:color w:val="auto"/>
              </w:rPr>
            </w:pPr>
            <w:r>
              <w:rPr>
                <w:rFonts w:ascii="Arial" w:cs="Arial" w:eastAsia="Arial" w:hAnsi="Arial"/>
                <w:sz w:val="18"/>
                <w:szCs w:val="18"/>
                <w:color w:val="auto"/>
              </w:rPr>
              <w:t>43</w:t>
            </w: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80" w:top="769" w:right="25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2680"/>
              <w:spacing w:after="0"/>
              <w:rPr>
                <w:sz w:val="20"/>
                <w:szCs w:val="20"/>
                <w:color w:val="auto"/>
              </w:rPr>
            </w:pPr>
            <w:r>
              <w:rPr>
                <w:rFonts w:ascii="Arial" w:cs="Arial" w:eastAsia="Arial" w:hAnsi="Arial"/>
                <w:sz w:val="18"/>
                <w:szCs w:val="18"/>
                <w:b w:val="1"/>
                <w:bCs w:val="1"/>
                <w:color w:val="auto"/>
              </w:rPr>
              <w:t>EXHIBIT INDEX (CONTINUED)</w:t>
            </w:r>
          </w:p>
        </w:tc>
      </w:tr>
      <w:tr>
        <w:trPr>
          <w:trHeight w:val="378"/>
        </w:trPr>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9700" w:type="dxa"/>
            <w:vAlign w:val="bottom"/>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237"/>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PRE XBRL Taxonomy Extension Presentation Linkbase Document</w:t>
            </w:r>
          </w:p>
        </w:tc>
      </w:tr>
      <w:tr>
        <w:trPr>
          <w:trHeight w:val="243"/>
        </w:trPr>
        <w:tc>
          <w:tcPr>
            <w:tcW w:w="172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9700" w:type="dxa"/>
            <w:vAlign w:val="bottom"/>
          </w:tcPr>
          <w:p>
            <w:pPr>
              <w:spacing w:after="0"/>
              <w:rPr>
                <w:sz w:val="21"/>
                <w:szCs w:val="21"/>
                <w:color w:val="auto"/>
              </w:rPr>
            </w:pPr>
          </w:p>
        </w:tc>
      </w:tr>
    </w:tbl>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6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CROSS COUNTRY HEALTHCARE, INC.</w:t>
      </w:r>
    </w:p>
    <w:p>
      <w:pPr>
        <w:spacing w:after="0" w:line="337" w:lineRule="exact"/>
        <w:rPr>
          <w:sz w:val="20"/>
          <w:szCs w:val="20"/>
          <w:color w:val="auto"/>
        </w:rPr>
      </w:pPr>
    </w:p>
    <w:tbl>
      <w:tblPr>
        <w:tblLayout w:type="fixed"/>
        <w:tblInd w:w="5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Kevin C. Clark</w:t>
            </w:r>
          </w:p>
        </w:tc>
      </w:tr>
      <w:tr>
        <w:trPr>
          <w:trHeight w:val="27"/>
        </w:trPr>
        <w:tc>
          <w:tcPr>
            <w:tcW w:w="6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Name: Kevin C. Clark</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Title: President &amp; Chief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6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Date: March 5, 2020</w:t>
            </w: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20" w:type="dxa"/>
            <w:vAlign w:val="bottom"/>
          </w:tcPr>
          <w:p>
            <w:pPr>
              <w:spacing w:after="0"/>
              <w:rPr>
                <w:sz w:val="20"/>
                <w:szCs w:val="20"/>
                <w:color w:val="auto"/>
              </w:rPr>
            </w:pPr>
          </w:p>
        </w:tc>
        <w:tc>
          <w:tcPr>
            <w:tcW w:w="5240" w:type="dxa"/>
            <w:vAlign w:val="bottom"/>
            <w:gridSpan w:val="2"/>
          </w:tcPr>
          <w:p>
            <w:pPr>
              <w:ind w:left="2380"/>
              <w:spacing w:after="0"/>
              <w:rPr>
                <w:sz w:val="20"/>
                <w:szCs w:val="20"/>
                <w:color w:val="auto"/>
              </w:rPr>
            </w:pPr>
            <w:r>
              <w:rPr>
                <w:rFonts w:ascii="Arial" w:cs="Arial" w:eastAsia="Arial" w:hAnsi="Arial"/>
                <w:sz w:val="18"/>
                <w:szCs w:val="18"/>
                <w:b w:val="1"/>
                <w:bCs w:val="1"/>
                <w:color w:val="auto"/>
              </w:rPr>
              <w:t>Title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4"/>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Kevin C. Clark</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President &amp; Chief Executive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Kevin C. Clark</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William J. Burns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&amp; Chief Financial Officer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and Financial Officer)</w:t>
            </w: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4"/>
              </w:rPr>
              <w:t>William J. Burns</w:t>
            </w:r>
          </w:p>
        </w:tc>
        <w:tc>
          <w:tcPr>
            <w:tcW w:w="1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W. Larry Cash</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W. Larry Cash</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Thomas C. Dircks</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Thomas C. Dircks</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0"/>
              </w:rPr>
              <w:t>/s/ Gale Fitzgerald</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Gale Fitzgerald</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89"/>
              </w:rPr>
              <w:t>/s/ Darrell S. Freeman, Sr.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Darrell S. Freeman, Sr.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Richard M. Mastaler</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Richard M. Mastaler</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/s/ Mark Perlberg</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Mark Perlberg</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440" w:type="dxa"/>
            <w:vAlign w:val="bottom"/>
          </w:tcPr>
          <w:p>
            <w:pPr>
              <w:jc w:val="center"/>
              <w:spacing w:after="0"/>
              <w:rPr>
                <w:sz w:val="20"/>
                <w:szCs w:val="20"/>
                <w:color w:val="auto"/>
              </w:rPr>
            </w:pPr>
            <w:r>
              <w:rPr>
                <w:rFonts w:ascii="Arial" w:cs="Arial" w:eastAsia="Arial" w:hAnsi="Arial"/>
                <w:sz w:val="18"/>
                <w:szCs w:val="18"/>
                <w:color w:val="auto"/>
                <w:w w:val="92"/>
              </w:rPr>
              <w:t>/s/ Joseph A. Trunfio</w:t>
            </w: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March 5, 2020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Joseph A. Trunfio</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7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70" w:right="239" w:bottom="1440" w:gutter="0" w:footer="0" w:header="0"/>
          <w:type w:val="continuous"/>
        </w:sectPr>
      </w:pPr>
    </w:p>
    <w:bookmarkStart w:id="48" w:name="page49"/>
    <w:bookmarkEnd w:id="48"/>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0" w:type="dxa"/>
            <w:vAlign w:val="bottom"/>
            <w:gridSpan w:val="7"/>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107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Cross Country Healthcare, Inc.</w:t>
            </w: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700" w:type="dxa"/>
            <w:vAlign w:val="bottom"/>
            <w:gridSpan w:val="9"/>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60" w:type="dxa"/>
            <w:vAlign w:val="bottom"/>
          </w:tcPr>
          <w:p>
            <w:pPr>
              <w:spacing w:after="0"/>
              <w:rPr>
                <w:sz w:val="24"/>
                <w:szCs w:val="24"/>
                <w:color w:val="auto"/>
              </w:rPr>
            </w:pPr>
          </w:p>
        </w:tc>
        <w:tc>
          <w:tcPr>
            <w:tcW w:w="4220" w:type="dxa"/>
            <w:vAlign w:val="bottom"/>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Report of Independent Registered Public Accounting Firm</w:t>
              </w:r>
            </w:hyperlink>
          </w:p>
        </w:tc>
        <w:tc>
          <w:tcPr>
            <w:tcW w:w="632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F- 2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2019 and 2018</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1">
              <w:r>
                <w:rPr>
                  <w:rFonts w:ascii="Arial" w:cs="Arial" w:eastAsia="Arial" w:hAnsi="Arial"/>
                  <w:sz w:val="18"/>
                  <w:szCs w:val="18"/>
                  <w:color w:val="0000FF"/>
                  <w:w w:val="87"/>
                </w:rPr>
                <w:t>F- 3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the Years Ended December 31, 2019, 2018, and 2017</w:t>
              </w:r>
            </w:hyperlink>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2">
              <w:r>
                <w:rPr>
                  <w:rFonts w:ascii="Arial" w:cs="Arial" w:eastAsia="Arial" w:hAnsi="Arial"/>
                  <w:sz w:val="18"/>
                  <w:szCs w:val="18"/>
                  <w:color w:val="0000FF"/>
                  <w:w w:val="87"/>
                </w:rPr>
                <w:t>F- 4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Comprehensive (Loss) Income for the Years Ended December 31, 2019, 2018, and 2017</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F- 5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8380" w:type="dxa"/>
            <w:vAlign w:val="bottom"/>
            <w:gridSpan w:val="7"/>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Consolidated Statements of Stockholders’ Equity for the Years Ended December 31, 2019, 2018, and 2017</w:t>
              </w:r>
            </w:hyperlink>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4">
              <w:r>
                <w:rPr>
                  <w:rFonts w:ascii="Arial" w:cs="Arial" w:eastAsia="Arial" w:hAnsi="Arial"/>
                  <w:sz w:val="18"/>
                  <w:szCs w:val="18"/>
                  <w:color w:val="0000FF"/>
                  <w:w w:val="87"/>
                </w:rPr>
                <w:t>F- 6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680" w:type="dxa"/>
            <w:vAlign w:val="bottom"/>
            <w:gridSpan w:val="6"/>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Consolidated Statements of Cash Flows for the Years Ended December 31, 2019, 2018, and 2017</w:t>
              </w:r>
            </w:hyperlink>
          </w:p>
        </w:tc>
        <w:tc>
          <w:tcPr>
            <w:tcW w:w="28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5">
              <w:r>
                <w:rPr>
                  <w:rFonts w:ascii="Arial" w:cs="Arial" w:eastAsia="Arial" w:hAnsi="Arial"/>
                  <w:sz w:val="18"/>
                  <w:szCs w:val="18"/>
                  <w:color w:val="0000FF"/>
                  <w:w w:val="87"/>
                </w:rPr>
                <w:t>F- 7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60" w:type="dxa"/>
            <w:vAlign w:val="bottom"/>
          </w:tcPr>
          <w:p>
            <w:pPr>
              <w:spacing w:after="0"/>
              <w:rPr>
                <w:sz w:val="24"/>
                <w:szCs w:val="24"/>
                <w:color w:val="auto"/>
              </w:rPr>
            </w:pPr>
          </w:p>
        </w:tc>
        <w:tc>
          <w:tcPr>
            <w:tcW w:w="700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354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center"/>
              <w:ind w:right="200"/>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F- 8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 Schedule</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10540" w:type="dxa"/>
            <w:vAlign w:val="bottom"/>
            <w:gridSpan w:val="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Schedule II – Valuation and Qualifying Accounts for the Years Ended December 31, 2019, 2018, and 2017</w:t>
              </w:r>
            </w:hyperlink>
          </w:p>
        </w:tc>
        <w:tc>
          <w:tcPr>
            <w:tcW w:w="200" w:type="dxa"/>
            <w:vAlign w:val="bottom"/>
          </w:tcPr>
          <w:p>
            <w:pPr>
              <w:spacing w:after="0"/>
              <w:rPr>
                <w:sz w:val="24"/>
                <w:szCs w:val="24"/>
                <w:color w:val="auto"/>
              </w:rPr>
            </w:pPr>
          </w:p>
        </w:tc>
        <w:tc>
          <w:tcPr>
            <w:tcW w:w="480" w:type="dxa"/>
            <w:vAlign w:val="bottom"/>
            <w:gridSpan w:val="2"/>
          </w:tcPr>
          <w:p>
            <w:pPr>
              <w:jc w:val="center"/>
              <w:ind w:right="180"/>
              <w:spacing w:after="0"/>
              <w:rPr>
                <w:rFonts w:ascii="Arial" w:cs="Arial" w:eastAsia="Arial" w:hAnsi="Arial"/>
                <w:sz w:val="18"/>
                <w:szCs w:val="18"/>
                <w:color w:val="0000FF"/>
                <w:w w:val="96"/>
              </w:rPr>
            </w:pPr>
            <w:hyperlink w:anchor="page95">
              <w:r>
                <w:rPr>
                  <w:rFonts w:ascii="Arial" w:cs="Arial" w:eastAsia="Arial" w:hAnsi="Arial"/>
                  <w:sz w:val="18"/>
                  <w:szCs w:val="18"/>
                  <w:color w:val="0000FF"/>
                  <w:w w:val="96"/>
                </w:rPr>
                <w:t>II- 1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1420"/>
          </w:cols>
          <w:pgMar w:left="240" w:top="76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Cross Country Healthcare, Inc. and subsidiaries (the "Company") as of December 31, 2019 and 2018, the related consolidated statements of operations, comprehensive (loss) income, stockholders' equity, and cash flows,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5, 2020,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changed its method of accounting for leases in the year ended December 31, 2019 due to the adoption of Accounting Standard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Boca Raton, Florida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769"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for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16,019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$3,219 in 2019 and $3,705 in 2018</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169,528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166,128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4,186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183,357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194,905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16,964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Trade names, indefinite-lived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20,402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assets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23,750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18,298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18,076</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382,374</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427,003</w:t>
            </w:r>
          </w:p>
        </w:tc>
      </w:tr>
      <w:tr>
        <w:trPr>
          <w:trHeight w:val="257"/>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45,726</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43,744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5,235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 - 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3,075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85,465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85,386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less current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70,974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77,944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 - 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deferred tax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accrued claims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Contingent consideration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4,867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7,409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8,672</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218,874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208,805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Common stock—$0.0001 par value; 100,000,000 shares authorized; 35,870,560 and 35,625,692 shares issued and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outstanding at December 31, 2019 and 2018,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305,643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303,048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(141,775)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(84,062)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162,632</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217,528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 in subsidiary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670</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163,500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218,198</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382,374</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427,003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4"/>
          <w:szCs w:val="14"/>
          <w:color w:val="auto"/>
        </w:rPr>
        <w: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986" w:right="239" w:bottom="721"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822,224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816,484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865,048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618,215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606,921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636,462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181,959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187,435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14,356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837,935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853,300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4,969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Consolidated net (loss)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38,802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37,513</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35,018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35,815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35,657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36,166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420"/>
          </w:cols>
          <w:pgMar w:left="240" w:top="985" w:right="239" w:bottom="1440" w:gutter="0" w:footer="0" w:header="0"/>
        </w:sectPr>
      </w:pPr>
    </w:p>
    <w:bookmarkStart w:id="52" w:name="page53"/>
    <w:bookmarkEnd w:id="52"/>
    <w:p>
      <w:pPr>
        <w:jc w:val="center"/>
        <w:ind w:left="260" w:right="2660"/>
        <w:spacing w:after="0" w:line="266" w:lineRule="auto"/>
        <w:rPr>
          <w:sz w:val="20"/>
          <w:szCs w:val="20"/>
          <w:color w:val="auto"/>
        </w:rPr>
      </w:pPr>
      <w:r>
        <w:rPr>
          <w:rFonts w:ascii="Arial" w:cs="Arial" w:eastAsia="Arial" w:hAnsi="Arial"/>
          <w:sz w:val="18"/>
          <w:szCs w:val="18"/>
          <w:b w:val="1"/>
          <w:bCs w:val="1"/>
          <w:color w:val="auto"/>
        </w:rPr>
        <w:t>CROSS COUNTRY HEALTHCARE, INC. CONSOLIDATED STATEMENTS OF COMPREHENSIVE (LOSS) INCOME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Consolidated net (loss)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38,802</w:t>
            </w:r>
          </w:p>
        </w:tc>
      </w:tr>
      <w:tr>
        <w:trPr>
          <w:trHeight w:val="32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income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gain (loss)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interest rate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Reclassification adjustment to statement of operations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Taxes on other comprehensive income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effect related to unrealized foreign currency translation gain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 effect related to unrealized loss on interest rate contracts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effect related to reclassification adjustment to statement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Valuation allowance adjustment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38,877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 income attributable to common shareholders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37,588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986"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86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2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2016</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32,339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256,570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(104,089)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151,802</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issued for Convertible Notes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45,952</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Cumulative-effect adjustment - share-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w w:val="95"/>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37,513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305,362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237,719</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repurchase and retirement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w w:val="93"/>
              </w:rPr>
              <w:t>Foreign currency translation adjustment,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net of taxes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Net change in hedging transaction, net of</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(15,717)</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2018</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303,048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218,198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share options</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Vesting of restricted stock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performance stock awards</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w w:val="93"/>
              </w:rPr>
              <w:t>Foreign currency translation adjustment,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net of taxes</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Net change in hedging transaction, net of</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0"/>
        </w:trPr>
        <w:tc>
          <w:tcPr>
            <w:tcW w:w="2880" w:type="dxa"/>
            <w:vAlign w:val="bottom"/>
          </w:tcPr>
          <w:p>
            <w:pPr>
              <w:ind w:left="180"/>
              <w:spacing w:after="0"/>
              <w:rPr>
                <w:sz w:val="20"/>
                <w:szCs w:val="20"/>
                <w:color w:val="auto"/>
              </w:rPr>
            </w:pPr>
            <w:r>
              <w:rPr>
                <w:rFonts w:ascii="Arial" w:cs="Arial" w:eastAsia="Arial" w:hAnsi="Arial"/>
                <w:sz w:val="16"/>
                <w:szCs w:val="16"/>
                <w:color w:val="auto"/>
              </w:rPr>
              <w:t>Distribution to noncontrolling</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shareholder</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(55,943)</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Balances at December 31, 2019</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305,643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(141,775)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163,500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1420"/>
          </w:cols>
          <w:pgMar w:left="240" w:top="98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Consolidated 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(55,943)</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(15,717)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debt discount and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Provision for allowances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(33,812)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Non-cash lease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gain on derivative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Impairment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22,423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Equity compensation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3,396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non-cash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9,708</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(9,275)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5,542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20,997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45,508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(85,977)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Acquisition-related settlements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(91,380)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Term Loan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62,000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Principal payments on Term Loan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(83,876)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Convertible Note cash payment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Borrowings under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on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fees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Senior Secured Asset-Based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76,640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 under Senior Secured Asset-Based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Repayments on Senior Secured Asset-Based revolving credit facility</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(77,600)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payments to noncontrolling shareholder</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Stock repurchase and retirement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(23,767)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16,019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25,537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Income taxes paid</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555</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9"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11420"/>
          </w:cols>
          <w:pgMar w:left="240" w:top="769" w:right="239"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6"/>
          <w:szCs w:val="16"/>
          <w:color w:val="auto"/>
        </w:rPr>
        <w:t>F- 7</w:t>
      </w:r>
    </w:p>
    <w:p>
      <w:pPr>
        <w:sectPr>
          <w:pgSz w:w="11900" w:h="16838" w:orient="portrait"/>
          <w:cols w:equalWidth="0" w:num="1">
            <w:col w:w="9019"/>
          </w:cols>
          <w:pgMar w:left="1440" w:top="341"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Cross Country Healthcare, Inc. (the Company) was incorporated in Delaware on July 29, 1999 as a business providing travel nurse and allied health staffing services. As of December 31, 2019, the Company provides total talent management services, including strategic workforce solutions, contingent staffing, permanent placement and other consultative services for healthcare clients. The Company recruits and places qualified healthcare professionals in virtually every specialty and area of expertise. Its diverse client base includes both clinical and nonclinical settings, servicing acute care hospitals, physician practice groups, outpatient and ambulatory-care centers, nursing facilities, both public schools and charter schools, rehabilitation and sports medicine clinics, government facilities, and homecare.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consolidated financial statements include the accounts of the Company and its direct and indirect wholly-owned subsidiaries. The consolidated financial statements include all assets, liabilities, revenue, and expenses of Cross Country Talent Acquisition Group, LLC, which is controlled by the Company but not wholly owned. The Company records the ownership interest of the noncontrolling shareholder as noncontrolling interest in subsidiary. All intercompany transactions and balances have been eliminated in consolidation.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prior year amounts have been reclassified to conform to the current year presentation. See consolidated balance sheets, Note 3 - Revenue Recognition, Note 7 - Balance Sheet Details, and Note 18 - Segment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preparation of consolidated financial statements in conformity with United States generally accepted accounting principles (U.S. GAAP), requires management to make estimates and assumptions that affect the reported amounts in the consolidated financial statements and accompanying notes. Significant estimates and assumptions are used for, but not limited to: (i) the valuation of accounts receivable; (ii) goodwill, trade names, and other intangible assets; (iii) other long-lived assets; (iv) share-based compensation; (v) accruals for health, workers’ compensation, and professional liability claims; (vi) valuation of deferred tax assets; (vii) purchase price allocation; (viii) fair value of interest rate swap agreement; (ix) legal contingencies; (x) contingent considerations; (xi) income taxes; and (xii) sales and other non-income tax liabilities. Accrued insurance claims and reserves include estimated settlements from known claims and actuarial estimates for claims incurred but not reported.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185"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Interest income on cash and cash equivalents of $0.2 million for the year ended December 31, 2019, $0.4 million for the year ended December 31, 2018, and $0.1 million for the year ended December 31, 2017 is included in other income, net, in the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Allowance for Doubtful Accounts, and Concentration of Credit Risk</w:t>
      </w:r>
    </w:p>
    <w:p>
      <w:pPr>
        <w:spacing w:after="0" w:line="231"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Accounts receivable potentially subject the Company to concentrations of credit risk. The Company generally does not require collateral and mitigates its credit risk by performing credit evaluations and monitoring at-risk accounts. The allowance for doubtful accounts represents the Company’s estimate of uncollectible receivables resulting from the inability of its customers to make required payments, which results in a provision for bad debt expense. The adequacy of this allowance is determined by continually evaluating individual customer receivables, considering the customer's financial condition, credit history, and current economic conditions. The Company writes off specific accounts based on an ongoing review of collectability as well as past experience with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00"/>
          </w:cols>
          <w:pgMar w:left="240" w:top="337"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customer. In addition, the Company maintains a sales allowance for billing-related adjustments which may arise in the ordinary course and adjustments to the reserve are recorded as contra-revenue. Historically, losses on uncollectible accounts and sales allowances have not exceeded our allowances.</w:t>
      </w:r>
    </w:p>
    <w:p>
      <w:pPr>
        <w:spacing w:after="0" w:line="22" w:lineRule="exact"/>
        <w:rPr>
          <w:sz w:val="20"/>
          <w:szCs w:val="20"/>
          <w:color w:val="auto"/>
        </w:rPr>
      </w:pPr>
    </w:p>
    <w:p>
      <w:pPr>
        <w:jc w:val="both"/>
        <w:ind w:right="380"/>
        <w:spacing w:after="0" w:line="289" w:lineRule="auto"/>
        <w:rPr>
          <w:sz w:val="20"/>
          <w:szCs w:val="20"/>
          <w:color w:val="auto"/>
        </w:rPr>
      </w:pPr>
      <w:r>
        <w:rPr>
          <w:rFonts w:ascii="Arial" w:cs="Arial" w:eastAsia="Arial" w:hAnsi="Arial"/>
          <w:sz w:val="16"/>
          <w:szCs w:val="16"/>
          <w:color w:val="auto"/>
        </w:rPr>
        <w:t>The Company’s contract terms typically require payment between 30 to 60 days from the date of invoice. The majority of the Company's customers are U.S. based healthcare systems with a significant percentage in acute-care facilities. No single customer accounted for more than 10% of the Company’s accounts receivable balance as of December 31, 2019 and 2018, or revenue for the years ended December 31, 2019, 2018, and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1"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estimated useful life or the term of the individual lease. On an annual basis, the Company reviews its property and equipment listings and disposes of assets that are no longer in use.</w:t>
      </w:r>
    </w:p>
    <w:p>
      <w:pPr>
        <w:spacing w:after="0" w:line="146"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 xml:space="preserve">Certain software development costs have been capitalized in accordance with the provisions of the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xml:space="preserve"> Topic of the Financial Accounting Standards Board (FASB) Accounting Standards Codification (ASC). Such costs include charges for consulting services and costs for Company personnel associated with programming, coding, and testing such software. Amortization of capitalized software costs is included in depreciation expense in the consolidated statements of operations and begins when the software is ready for use. Software development costs are being amortized using the straight-line method over three to ten years. See Note 6 - Property and Equipment.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determines whether an arrangement constitutes a lease at commencement. Operating leases are included in operating lease right-of-use assets, and operating lease liabilities - current and non-current in the consolidated balance sheets. Finance leases are included in other non-current assets, other current liabilities, and other long-term liabilities in the consolidated balance sheets. See Note 10 - Leases.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are measured based on the corresponding lease liability adjusted for: (i) payments made to the lessor at or before the commencement date;</w:t>
      </w:r>
    </w:p>
    <w:p>
      <w:pPr>
        <w:spacing w:after="0" w:line="46" w:lineRule="exact"/>
        <w:rPr>
          <w:sz w:val="20"/>
          <w:szCs w:val="20"/>
          <w:color w:val="auto"/>
        </w:rPr>
      </w:pPr>
    </w:p>
    <w:p>
      <w:pPr>
        <w:ind w:right="80" w:firstLine="8"/>
        <w:spacing w:after="0" w:line="268" w:lineRule="auto"/>
        <w:tabs>
          <w:tab w:leader="none" w:pos="2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initial direct costs; and (iii) tenant incentives under the lease. Rent expense commences when the lessor makes the underlying asset available to us. Lease liabilities are measured based on the present value of the total lease payments not yet paid discounted based on its incremental borrowing rate, as the rate implicit in the lease is not determinable. The Company estimates its incremental borrowing rate based on an analysis of publicly-traded debt securities of companies with credit and financial profiles similar to its own. The variable portion of the lease payments is not included in the right-of-use assets or lease liabilities. Rather, variable payments, other than those dependent upon an index or rate, are expensed when the obligation for those payments is incurred and are included in lease expense in selling, general and administrative expense in the consolidated statements of operations. Rent expense for operating lease payments is recognized on a straight-line basis over the lease term. The Company does not assume renewals or early terminations unless it is reasonably certain to exercise these options at commencement.</w:t>
      </w:r>
    </w:p>
    <w:p>
      <w:pPr>
        <w:spacing w:after="0" w:line="19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As of December 31, 2018, deferred rent related to tenant improvement allowances and other leasehold incentives was included in other current liabilities and other long-term liabilities in the consolidated balance sheets. These leasehold incentives had been recorded when realizable as deferred rent and were amortized as a reduction of periodic rent expense, over the term of the applicable lease. Upon adoption of the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of the FASB ASC, these deferred rent credits reduced the beginning operating right-of-use asset recognized and, consistent with the prior guidance will be recognized as a reduction to future rent expense over the expected remaining term of the respective leases.</w:t>
      </w:r>
    </w:p>
    <w:p>
      <w:pPr>
        <w:spacing w:after="0" w:line="127"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color w:val="auto"/>
        </w:rPr>
        <w:t>The Company leases apartments for eligible field employees under short-term agreements (typically three to six months), which generally coincide with each employee’s staffing contract. Costs relating to these leases are included in direct operating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380"/>
          </w:cols>
          <w:pgMar w:left="240" w:top="337" w:right="2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The Company applies accounting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when it acquires control over a business. Business combinations are accounted for at fair value. The associated acquisition costs are expensed as incurred and recorded as acquisition and integration costs; noncontrolling interests, if any, are reflected at fair value at the acquisition date; restructuring costs associated with a business combination are expensed; contingent consideration is measured at fair value at the acquisition date, with changes in the fair value after the acquisition date affecting earnings; and goodwill is determined as the excess of the fair value of the consideration conveyed in the acquisition over the fair value of the net assets acquired. The accounting for business combinations requires estimates and judgments as to expectations for future cash flows of the acquired business, and the allocation of those cash flows to identifiable intangible assets, in determining the estimated fair value for assets and liabilities acquired. The fair values assigned to tangible and intangible assets acquired and liabilities assumed are based on management's estimates and assumptions, including valuations that utilize customary valuation procedures and techniques.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The results of the acquired businesses' operations are included in the consolidated statements of operations of the combined entity beginning on the date of acquisition. See Note 4 - Acquisitions.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Trade Names, and Other Intangible Assets</w:t>
      </w:r>
    </w:p>
    <w:p>
      <w:pPr>
        <w:spacing w:after="0" w:line="23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have ranged from 3 to 16 years. Goodwill and certain intangible assets with indefinite lives are not amortized. Instead, in accordance with the </w:t>
      </w:r>
      <w:r>
        <w:rPr>
          <w:rFonts w:ascii="Arial" w:cs="Arial" w:eastAsia="Arial" w:hAnsi="Arial"/>
          <w:sz w:val="16"/>
          <w:szCs w:val="16"/>
          <w:i w:val="1"/>
          <w:iCs w:val="1"/>
          <w:color w:val="auto"/>
        </w:rPr>
        <w:t>Intangibles-Goodwill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w:t>
      </w:r>
      <w:r>
        <w:rPr>
          <w:rFonts w:ascii="Arial" w:cs="Arial" w:eastAsia="Arial" w:hAnsi="Arial"/>
          <w:sz w:val="16"/>
          <w:szCs w:val="16"/>
          <w:color w:val="auto"/>
        </w:rPr>
        <w:t>Topic of the FASB ASC, these assets are reviewed for impairment annually at the beginning of the fourth quarter, and whenever circumstances change</w:t>
      </w:r>
      <w:r>
        <w:rPr>
          <w:rFonts w:ascii="Arial" w:cs="Arial" w:eastAsia="Arial" w:hAnsi="Arial"/>
          <w:sz w:val="16"/>
          <w:szCs w:val="16"/>
          <w:i w:val="1"/>
          <w:iCs w:val="1"/>
          <w:color w:val="auto"/>
        </w:rPr>
        <w:t xml:space="preserve"> </w:t>
      </w:r>
      <w:r>
        <w:rPr>
          <w:rFonts w:ascii="Arial" w:cs="Arial" w:eastAsia="Arial" w:hAnsi="Arial"/>
          <w:sz w:val="16"/>
          <w:szCs w:val="16"/>
          <w:color w:val="auto"/>
        </w:rPr>
        <w:t>that would more likely than not reduce the fair value of a reporting unit below its carrying amount.</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When reviewed, the Company has the option to first assess qualitative factors to determine whether it is more likely than not that the fair value of a reporting unit is less than its carrying amount, as a basis for determining whether it is necessary to perform the quantitative testing. If it is determined that a quantitative test is necessary or more efficient than a qualitative approach, the Company generally measures the fair value of its reporting units using a combination of income and market approaches.</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the periods prior to the fourth quarter of 2017, the performance of the quantitative impairment test involved a two-step process. The first step required the Company to determine the fair value of each of its reporting units and compare it to the reporting unit’s carrying amount. If the reporting unit's fair value was less than its carrying amount, the Company was required to perform a second step to calculate the implied value of goodwill. The implied value was then compared to the reporting unit's carrying amount to calculate the impairment charge, if any.</w:t>
      </w:r>
    </w:p>
    <w:p>
      <w:pPr>
        <w:spacing w:after="0" w:line="11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Beginning in the fourth quarter of 2017, for its annual review on October, 1, 2017, the Company early adopted the provisions of Accounting Standards Update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Under ASU 2017-04, the second step of the quantitative assessment is eliminated, and, if the reporting unit’s carrying value exceeds its fair value, an impairment charge is recognized for the amount by which the carrying amount exceeds the reporting unit’s fair value not to exceed the total amount of goodwill allocated to that reporting unit. Additionally, income tax effects from any tax deductible goodwill on the carrying amount of the reporting unit when measuring the goodwill impairment loss is considered, if applicable.</w:t>
      </w:r>
    </w:p>
    <w:p>
      <w:pPr>
        <w:spacing w:after="0" w:line="119" w:lineRule="exact"/>
        <w:rPr>
          <w:sz w:val="20"/>
          <w:szCs w:val="20"/>
          <w:color w:val="auto"/>
        </w:rPr>
      </w:pPr>
    </w:p>
    <w:p>
      <w:pPr>
        <w:jc w:val="both"/>
        <w:ind w:right="280"/>
        <w:spacing w:after="0" w:line="243" w:lineRule="auto"/>
        <w:rPr>
          <w:sz w:val="20"/>
          <w:szCs w:val="20"/>
          <w:color w:val="auto"/>
        </w:rPr>
      </w:pPr>
      <w:r>
        <w:rPr>
          <w:rFonts w:ascii="Arial" w:cs="Arial" w:eastAsia="Arial" w:hAnsi="Arial"/>
          <w:sz w:val="18"/>
          <w:szCs w:val="18"/>
          <w:color w:val="auto"/>
        </w:rPr>
        <w:t>The Company determines its reporting units by identifying its operating segments and any component businesses and aggregates the components businesses if they have similar economic characteristics. The Company had the following reporting units that it reviewed for impairment: (1) Nurse and Allied Staffing; (2) Physician Staffing; and (3) Search.</w:t>
      </w:r>
    </w:p>
    <w:p>
      <w:pPr>
        <w:spacing w:after="0" w:line="114" w:lineRule="exact"/>
        <w:rPr>
          <w:sz w:val="20"/>
          <w:szCs w:val="20"/>
          <w:color w:val="auto"/>
        </w:rPr>
      </w:pPr>
    </w:p>
    <w:p>
      <w:pPr>
        <w:jc w:val="both"/>
        <w:ind w:right="100"/>
        <w:spacing w:after="0" w:line="314" w:lineRule="auto"/>
        <w:rPr>
          <w:sz w:val="20"/>
          <w:szCs w:val="20"/>
          <w:color w:val="auto"/>
        </w:rPr>
      </w:pPr>
      <w:r>
        <w:rPr>
          <w:rFonts w:ascii="Arial" w:cs="Arial" w:eastAsia="Arial" w:hAnsi="Arial"/>
          <w:sz w:val="16"/>
          <w:szCs w:val="16"/>
          <w:color w:val="auto"/>
        </w:rPr>
        <w:t>Management considers historical experience and all available information at the time the fair values of its reporting units are estimated. However, fair values that could be realized in an actual transaction may have differed from those used to evaluate the potential impairment of goodwill.</w:t>
      </w:r>
    </w:p>
    <w:p>
      <w:pPr>
        <w:spacing w:after="0" w:line="59"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 xml:space="preserve">Long-lived assets and identifiable intangible assets with definite lives are evaluated for impairment in accordance with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In accordance with this Topic, long-lived assets and definite-lived intangible assets are reviewed for impairment whenever events or changes in circumstances indicate the carrying amount may not be recoverable.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51"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 of the assets exceeds the fair value of the assets.</w:t>
      </w:r>
    </w:p>
    <w:p>
      <w:pPr>
        <w:spacing w:after="0" w:line="1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related impairment losses are recognized in earnings and included in the caption impairment charges in the consolidated statements of operations. See Note 5 - Goodwill, Trade Names, and Other Intangible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Discount and Debt Issuance Costs</w:t>
      </w:r>
    </w:p>
    <w:p>
      <w:pPr>
        <w:spacing w:after="0" w:line="23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Stated discounts on proceeds, and other fees reimbursed to lender, as well as the initial value of any embedded derivative features of the Convertible Notes (as defined in Note 8 - Debt) and term loans were treated as a discount associated with the respective debt instrument and presented in the balance sheet as an offset to the carrying amount of the debt. Discounts were amortized to interest expense using the effective interest rate method, or a method that approximates the effective interest rate method, over the expected life of the debt.</w:t>
      </w:r>
    </w:p>
    <w:p>
      <w:pPr>
        <w:spacing w:after="0" w:line="185"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color w:val="auto"/>
        </w:rPr>
        <w:t>Deferred costs related to the issuance of the term loans were capitalized and presented in the balance sheet as a direct deduction from the carrying amount of the debt liability. Deferred costs related to the term loans as well as the Convertible Notes were amortized using the effective interest method and were written off in connection with their repayments.</w:t>
      </w:r>
    </w:p>
    <w:p>
      <w:pPr>
        <w:spacing w:after="0" w:line="18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Deferred costs related to the issuance of the Company’s revolving credit arrangements are capitalized, included in other assets in the consolidated balance sheets, and amortized using the straight line method. See Note 8 -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Company was exposed to interest rate risk due to its outstanding senior secured term loan entered into on August 1, 2017 with a variable interest rate. As a result, the Company had entered into an interest rate swap agreement to effectively convert a portion of its variable interest payments to a fixed rate. The principal objective of the interest rate swap was to eliminate or reduce the variability of the cash flows in those interest payments associated with the Company’s long-term debt, thus reducing the impact of interest rate changes on future interest payment cash flows. The Company had determined that the interest rate swap qualified as a cash flow hedge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the critical terms of the hedging instrument and the hedged forecasted transaction were the same, the Company had concluded that changes in the cash flows attributable to the risk being hedged were expected to completely offset at inception and on an ongoing basis. Changes in the fair value of the interest rate swap agreement designated as a cash flow hedge were recorded as a component of accumulated other comprehensive income (loss), net of deferred taxes, within stockholders’ equity and were amortized to interest expense over the term of the related debt as the interest payments were made. Interest rate swap payments were included in net cash provided by operating activities in the consolidated statements of cash flows.</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In conjunction with entering into the interest rate swap agreement, the Company early adopted ASU 2017-12, </w:t>
      </w:r>
      <w:r>
        <w:rPr>
          <w:rFonts w:ascii="Arial" w:cs="Arial" w:eastAsia="Arial" w:hAnsi="Arial"/>
          <w:sz w:val="16"/>
          <w:szCs w:val="16"/>
          <w:i w:val="1"/>
          <w:iCs w:val="1"/>
          <w:color w:val="auto"/>
        </w:rPr>
        <w:t>Derivative and Hedging (Topic 815)</w:t>
      </w:r>
      <w:r>
        <w:rPr>
          <w:rFonts w:ascii="Arial" w:cs="Arial" w:eastAsia="Arial" w:hAnsi="Arial"/>
          <w:sz w:val="16"/>
          <w:szCs w:val="16"/>
          <w:color w:val="auto"/>
        </w:rPr>
        <w:t xml:space="preserve"> to simplify the application of hedge accounting. The Company terminated its interest rate swap agreement on September 26, 2019. See Note 9 - Derivatives.</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Company evaluated embedded conversion features within its convertible debt in accordance with the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Topic of the FASB ASC to determine whether the embedded conversion feature should be bifurcated from the host instrument and accounted for as a derivative at fair value. Changes in the fair value of these derivatives during each reporting period were reported in other expenses (income) in the consolidated statements of operations. The fair value at inception had been recorded as debt discount and was being amortized to interest expense over the term of the note using the effective interest method. On March 17, 2017, the Company paid in full its Convertible Notes and, as a result, derecognized the derivative liability. See Note 8 -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Other State Non-income Tax Liabilities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400"/>
          </w:cols>
          <w:pgMar w:left="240" w:top="337" w:right="2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Claims</w:t>
      </w:r>
    </w:p>
    <w:p>
      <w:pPr>
        <w:spacing w:after="0" w:line="23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Company provides workers’ compensation insurance coverage, professional liability coverage, and healthcare benefits for eligible employees. The Company records its estimate of the ultimate cost of, and reserves for, workers' compensation and professional liability benefits based on actuarial models prepared or reviewed by an independent actuary using the Company’s loss history as well as industry statistics. The healthcare insurance accrual is for estimated claims that have occurred but have not been reported and is based on the Company’s historical claim submission patterns. Furthermore, in determining its reserves, the Company includes reserves for estimated claims incurred but not reported as well as unfavorable claims development.</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Other Expenses/Insurance Costs</w:t>
      </w:r>
      <w:r>
        <w:rPr>
          <w:rFonts w:ascii="Arial" w:cs="Arial" w:eastAsia="Arial" w:hAnsi="Arial"/>
          <w:sz w:val="16"/>
          <w:szCs w:val="16"/>
          <w:color w:val="auto"/>
        </w:rPr>
        <w:t xml:space="preserve"> Topic of the FASB ASC,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the insurer recognized as being due from insurance carriers. Accordingly, the Company’s consolidated balance sheets as of December 31, 2019 and 2018 reflect the related short-term liabilities in accrued compensation and benefits and the related long-term liabilities as long-term accrued claims, and the short-term receivable portion as insurance recovery receivable and the long-term portion as non-current insurance recovery receivable. See Note 7 - Balance Sheet Details. The ultimate cost of workers’ compensation, professional liability, and health insurance claims will depend on actual amounts incurred to settle those claims and may differ from the amounts reserved by the Company for those claims.</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2019 and 2018, the Company had outstanding approximately $18.1 million and $18.8 million, respectively, of standby letters of credit as collateral to secure the self-insured portion of this plan.</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The Company has occurrence-based primary professional liability policies that provide the Company and each working professional in its nurse and allied healthcare business with coverage. Effective January 1, 2016, the Company has a claims-made professional liability policy for its physicians and advanced practitioners, with a $0.5 million self-insured retention per claim. Prior to January 1, 2016, the Company had an occurrence-based professional liability policy for its independent contractor physicians and advanced practitioners. At both December 31, 2019 and 2018, the Company had outstanding $1.8 million of standby letters of credit as collateral to secure reimbursement of expenses under the existing plan.</w:t>
      </w:r>
    </w:p>
    <w:p>
      <w:pPr>
        <w:spacing w:after="0" w:line="158" w:lineRule="exact"/>
        <w:rPr>
          <w:sz w:val="20"/>
          <w:szCs w:val="20"/>
          <w:color w:val="auto"/>
        </w:rPr>
      </w:pPr>
    </w:p>
    <w:p>
      <w:pPr>
        <w:jc w:val="both"/>
        <w:ind w:right="240"/>
        <w:spacing w:after="0" w:line="243" w:lineRule="auto"/>
        <w:rPr>
          <w:sz w:val="20"/>
          <w:szCs w:val="20"/>
          <w:color w:val="auto"/>
        </w:rPr>
      </w:pPr>
      <w:r>
        <w:rPr>
          <w:rFonts w:ascii="Arial" w:cs="Arial" w:eastAsia="Arial" w:hAnsi="Arial"/>
          <w:sz w:val="18"/>
          <w:szCs w:val="18"/>
          <w:color w:val="auto"/>
        </w:rPr>
        <w:t>Subject to certain limitations, the Company also has umbrella liability coverage for its working nurses and allied healthcare professionals. While this umbrella coverage does not extend to professional liability claims against its independent contractor physicians and advanced practitioners, it does cover claims brought against all of the Company’s subsidiaries for non-patient general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the first quarter of 2018, the Company adopted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introduces a new five-step revenue recognition model in which an entity recognizes revenue when its customer obtains control of promised goods or services, in an amount that reflects the consideration to which the entity expects to be entitled in exchange for those goods or services. The new standard also requires additional disclosures about the nature, amount, timing, and uncertainty of revenue and cash flows arising from customer contracts. See Note 3 - Revenue Recognition. The Company elected to adopt the standard using a modified retrospective method, which only impacts contracts not completed as of December 31, 2017.</w:t>
      </w:r>
    </w:p>
    <w:p>
      <w:pPr>
        <w:spacing w:after="0" w:line="1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Revenue from the Company’s services is recognized when control of the promised services are transferred to the Company’s customers, in an amount that reflects the consideration it expects to receive in exchange for the service. The Company has concluded that transfer of control of its staffing services, which represents the majority of its revenues, occurs over time as the services are provided, which is consistent with revenue recognition under the prior guidance.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nature, amount, timing, and uncertainty of revenue and cash flows from which the Company generates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00"/>
          </w:cols>
          <w:pgMar w:left="240" w:top="337"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Staffing Revenue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from temporary staffing is recognized as control of the services is transferred over time, and is based on hours worked by the Company’s field staff. The Company recognizes the majority of its revenue at the contractual amount the Company has the right to invoice for services completed to date. Generally, billing to customers occurs weekly, bi-weekly, or monthly and is aligned with the payment of services to the temporary staff. Accounts receivable includes estimated revenue for employees’ and independent contractors’ time worked but not yet invoiced. At December 31, 2019 and December 31, 2018, the Company's estimate of amounts that had been worked but had not been billed totaled $46.1 million and $44.1 million, respectively, and are included in accounts receivable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 Revenue</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offers other optional services to its customers that are transferred over time including: managed service programs (MSP) providing agency services (as further described below in Gross Versus Net Policies), recruitment process outsourcing (RPO), other outsourcing services, and retained search services, as well as separately billable travel and housing costs, which in total amount to less than 5% of its consolidated revenue for the years ended December 31, 2019, 2018, and 2017. Generally, billing and payment terms for MSP agency services is consistent with temporary staffing as the customers are similar or the same. Revenue from these services are recognized based on the contractual amount for services completed to date which best depicts the transfer of control of services. The Company does not, in the ordinary course of business, offer warranties or refunds.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Versus Net Policies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revenue on a gross basis as a principal or on a net basis as an agent depending on the contracted arrangement,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Managed Service Programs</w:t>
      </w:r>
    </w:p>
    <w:p>
      <w:pPr>
        <w:spacing w:after="0" w:line="18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has certain contracts with healthcare facilities to provide comprehensive services through its MSPs. Under these contractual arrangements, the customer’s orders are filled with either one of the Company's healthcare professionals or a third party's healthcare professionals (subcontractors).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When its healthcare professional is staffed, the Company determined that it acts as a principal in the arrangement, as it is considered the employer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revenue is reported on a gross basis in the consolidated statements of operations.</w:t>
      </w:r>
    </w:p>
    <w:p>
      <w:pPr>
        <w:spacing w:after="0" w:line="21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Alternatively, the Company determined that it acts as an agent in the arrangement when a subcontracted healthcare professional is staffed, as the Company does not control the services before they are transferred to the customer. Accordingly, revenue is reported on a net basis in the consolidated statements of operations. The customer is invoiced for the hours worked by the subcontracted healthcare professional multiplied by the hourly bill rate. A subcontractor liability, which is recognized as a reduction of revenue, is established in accrued expenses for the invoiced amount, net of an administrative fee, and is generally payable after the Company has received payment from its customer. The Company’s administrative fee is calculated as a percentage of the customer’s invoice and is recognized over time as the services are rendered by the subcontracted healthcare professional. The Company does not collect or recognize an upfront placement fee.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Physician Staffing</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Physician Staffing business has contracts with its healthcare customers to provide temporary staffing services. The Company uses independent contractors for these services. The Company determined that it acts as a principal in these arrangements and, therefore, revenue is reported on a gross basis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Note 3 - Revenue Recognition for the Company's revenues disaggregated by revenue source. Sales and usage-based taxes are excluded from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00"/>
          </w:cols>
          <w:pgMar w:left="240" w:top="337" w:right="25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All contract fulfillment costs are expensed as incurred to direct operating expenses. With respect to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of the FASB ASC, there were no contract assets or material contract liabilities as of December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Company’s contracts that have an original duration of one year or less, the Company uses the practical expedients and has elected to recognize any incremental costs of obtaining these contracts as expensed when incurred. Further, 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3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For the years ended December 31, 2019, 2018, and 2017, the Company granted performance-based stock awards and restricted stock for a fixed number of common shares to employees. The Company values its restricted stock awards and the fair value of its performance-based stock awards by reference to its stock price on the date of grant. The Company has elected to recognize compensation expense on a straight-line basis over the requisite service period of the entire award.</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granted performance-based stock awards to certain key personnel pursuant to its 2014 Omnibus Incentive Plan, amended and restated on May 23, 2017 (2017 Plan) as described in Note 15 - Stockholders' Equity. Pursuant to the plan, the number of target shares that vest are determined based on the level of attainment of the targets. If a minimum level of performance is attained for the awards, restricted stock is issued based on the level of attainment. The Company recognizes performance-based restricted stock as compensation expense based on the most likely probability of attaining the prescribed performance and over the requisite service period beginning at its grant date and through the date the restricted stock vests.</w:t>
      </w:r>
    </w:p>
    <w:p>
      <w:pPr>
        <w:spacing w:after="0" w:line="15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Compensation expense related to share-based payments is included in selling, general and administrative expenses in the consolidated statements of operations, and totaled $3.4 million, $3.6 million, and $4.1 million, during the years ended December 31, 2019, 2018, and 2017, respectively. See Note 15 -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3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The Company’s advertising expense consists primarily of online advertising, internet direct marketing, print media, and promotional material. Advertising costs are expensed as incurred and totaled $7.9 million, $6.7 million, and $7.6 million, for the years ended December 31, 2019, 2018, and 2017,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18"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in the consolidated statements of operations primarily include employee termination costs and lease-related exit costs.</w:t>
      </w:r>
    </w:p>
    <w:p>
      <w:pPr>
        <w:spacing w:after="0" w:line="18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Effective January 1, 2019, in conjunction with the adoption of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certain office locations that the Company vacated in connection with restructuring activities were included in the measurement of its beginning operating lease liabilities. Previous accruals related to these locations of $0.3 million have been presented as a reduction to the operating lease right-of-use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360"/>
          </w:cols>
          <w:pgMar w:left="240" w:top="337" w:right="2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employee termination costs and lease-related exit costs beginning and ending liability balance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280"/>
              <w:spacing w:after="0"/>
              <w:rPr>
                <w:sz w:val="20"/>
                <w:szCs w:val="20"/>
                <w:color w:val="auto"/>
              </w:rPr>
            </w:pPr>
            <w:r>
              <w:rPr>
                <w:rFonts w:ascii="Arial" w:cs="Arial" w:eastAsia="Arial" w:hAnsi="Arial"/>
                <w:sz w:val="18"/>
                <w:szCs w:val="18"/>
                <w:color w:val="auto"/>
              </w:rPr>
              <w:t>(amounts 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52"/>
              <w:spacing w:after="0"/>
              <w:rPr>
                <w:sz w:val="20"/>
                <w:szCs w:val="20"/>
                <w:color w:val="auto"/>
              </w:rPr>
            </w:pPr>
            <w:r>
              <w:rPr>
                <w:rFonts w:ascii="Arial" w:cs="Arial" w:eastAsia="Arial" w:hAnsi="Arial"/>
                <w:sz w:val="18"/>
                <w:szCs w:val="18"/>
                <w:b w:val="1"/>
                <w:bCs w:val="1"/>
                <w:color w:val="auto"/>
                <w:w w:val="86"/>
                <w:shd w:val="clear" w:color="auto" w:fill="CCEEFF"/>
              </w:rPr>
              <w:t>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shd w:val="clear" w:color="auto" w:fill="CCEEFF"/>
              </w:rPr>
              <w:t>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6"/>
                <w:shd w:val="clear" w:color="auto" w:fill="CCEEFF"/>
              </w:rPr>
              <w:t>Employee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152"/>
              <w:spacing w:after="0"/>
              <w:rPr>
                <w:sz w:val="20"/>
                <w:szCs w:val="20"/>
                <w:color w:val="auto"/>
              </w:rPr>
            </w:pPr>
            <w:r>
              <w:rPr>
                <w:rFonts w:ascii="Arial" w:cs="Arial" w:eastAsia="Arial" w:hAnsi="Arial"/>
                <w:sz w:val="18"/>
                <w:szCs w:val="18"/>
                <w:b w:val="1"/>
                <w:bCs w:val="1"/>
                <w:color w:val="auto"/>
                <w:w w:val="71"/>
                <w:shd w:val="clear" w:color="auto" w:fill="CCEEFF"/>
              </w:rPr>
              <w:t>Termination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shd w:val="clear" w:color="auto" w:fill="CCEEFF"/>
              </w:rPr>
              <w:t>Lease-Related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8"/>
                <w:shd w:val="clear" w:color="auto" w:fill="CCEEFF"/>
              </w:rPr>
              <w:t>Termination</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3"/>
                <w:shd w:val="clear" w:color="auto" w:fill="CCEEFF"/>
              </w:rPr>
              <w:t>Lease-Related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71"/>
                <w:shd w:val="clear" w:color="auto" w:fill="CCEEFF"/>
              </w:rPr>
              <w:t>Termination</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3"/>
                <w:shd w:val="clear" w:color="auto" w:fill="CCEEFF"/>
              </w:rPr>
              <w:t>Lease-Related</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b w:val="1"/>
                <w:bCs w:val="1"/>
                <w:color w:val="auto"/>
                <w:w w:val="79"/>
                <w:shd w:val="clear" w:color="auto" w:fill="CCEEFF"/>
              </w:rPr>
              <w:t>Costs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shd w:val="clear" w:color="auto" w:fill="CCEEFF"/>
              </w:rPr>
              <w:t>Exit Costs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shd w:val="clear" w:color="auto" w:fill="CCEEFF"/>
              </w:rPr>
              <w:t>Costs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4"/>
                <w:shd w:val="clear" w:color="auto" w:fill="CCEEFF"/>
              </w:rPr>
              <w:t>Exit Costs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32"/>
              <w:spacing w:after="0"/>
              <w:rPr>
                <w:sz w:val="20"/>
                <w:szCs w:val="20"/>
                <w:color w:val="auto"/>
              </w:rPr>
            </w:pPr>
            <w:r>
              <w:rPr>
                <w:rFonts w:ascii="Arial" w:cs="Arial" w:eastAsia="Arial" w:hAnsi="Arial"/>
                <w:sz w:val="18"/>
                <w:szCs w:val="18"/>
                <w:b w:val="1"/>
                <w:bCs w:val="1"/>
                <w:color w:val="auto"/>
                <w:w w:val="79"/>
                <w:shd w:val="clear" w:color="auto" w:fill="CCEEFF"/>
              </w:rPr>
              <w:t>Costs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6"/>
                <w:shd w:val="clear" w:color="auto" w:fill="CCEEFF"/>
              </w:rPr>
              <w:t>Exit Costs</w:t>
            </w:r>
          </w:p>
        </w:tc>
        <w:tc>
          <w:tcPr>
            <w:tcW w:w="0" w:type="dxa"/>
            <w:vAlign w:val="bottom"/>
          </w:tcPr>
          <w:p>
            <w:pPr>
              <w:spacing w:after="0"/>
              <w:rPr>
                <w:sz w:val="1"/>
                <w:szCs w:val="1"/>
                <w:color w:val="auto"/>
              </w:rPr>
            </w:pPr>
          </w:p>
        </w:tc>
      </w:tr>
      <w:tr>
        <w:trPr>
          <w:trHeight w:val="235"/>
        </w:trPr>
        <w:tc>
          <w:tcPr>
            <w:tcW w:w="310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556</w:t>
            </w: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w:t>
            </w:r>
          </w:p>
        </w:tc>
        <w:tc>
          <w:tcPr>
            <w:tcW w:w="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9"/>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Charged to restructuring costs (a)</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1"/>
        </w:trPr>
        <w:tc>
          <w:tcPr>
            <w:tcW w:w="31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9"/>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end of period</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8"/>
        <w:spacing w:after="0" w:line="26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restructuring costs in the consolidated statements of operations for the years ended December 31, 2019 and 2018 include direct write-offs of $0.2 million and $0.4 million, respectively, related to a strategic reduction in the Company's real estate lease footprint, as well as other costs of $0.1 million and $0.5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The Company accounts for income taxes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w:t>
      </w:r>
    </w:p>
    <w:p>
      <w:pPr>
        <w:spacing w:after="0" w:line="12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maintains valuation allowances when it is more likely than not that all or a portion of a deferred tax asset will not be realized. In determining whether a valuation allowance is warranted, the Company evaluates factors such as prior earnings history, expected future earnings, carryback and carryforward periods, and tax strategies. The Company considers all positive and negative evidence to estimate if sufficient future taxable income will be generated to realize the deferred tax asset. It considers cumulative losses in recent years as well as the impact of one-time events in assessing its pre-tax earnings. Assumptions regarding future taxable income require significant judgment. The Company's assumptions are consistent with estimates and plans used to manage its business, which includes restructuring and other initiatives.</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 the event that actual results differ from these estimates, or the Company adjusts these estimates in future periods for current trends or changes in its estimating assumptions, it may modify the level of the valuation allowance which could materially impact its business, financial condition and results of operations. The Company will continue to assess the realizability of its deferred tax assets. See Note 14 -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Total comprehensive (loss) income includes net income or loss, foreign currency translation adjustments, and net change in derivative transactions, net of any related deferred taxes and valuation allowance. Certain of the Company’s foreign subsidiaries use their respective local currency as their functional currency. In accordance with the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consolidated balance sheets and was an unrealized loss of $1.3 million at December 31, 2019 and 2018. The cumulative impact of net changes in derivative instruments included in other comprehensive loss in the consolidated balance sheets was an unrealized loss of $0.2 million at December 31, 2018. See Note 9 - Derivatives.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income tax impact related to components of other comprehensive income (loss) for the years ended December 31, 2019 and 2018 is reflected in the consolidated statements of comprehensive (loss) income. During the year ended December 31, 2017, $0.2 million of income tax expense was included in the consolidated statements of operations due to the impact of a change in federal tax rate on the deferred tax asset related to foreign currency cumulative translation. See Note 14 -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The Company complies with the provisions of 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which defines fair value, establishes a framework for measuring fair value under U.S. GAAP, and expands disclosures about fair value measurements. The Company’s financial assets and liabilities required to be measured on a recurring basis were its: (i) deferred compensation asset, as of December 31, 2019; (ii) deferred compensation liability; (iii) interest rate swap agreement, as of December 31, 2018; and (iv) contingent consideration liabilities. See Note 11 -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accordance with the requirements of the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of the FASB ASC, basic earnings per share is computed by dividing net income available to common shareholders (numerator) by the weighted average number of vested unrestricted common shares outstanding during the period (denominator). Diluted earnings per share gives effect to all dilutive potential common shares outstanding during the period including stock appreciation rights and options and unvested restricted stock, as calculated utilizing the treasury stock method, and Convertible Notes using the if-converted method prior to their payment in full in the first quarter of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the beginning of the second quarter of 2019, the Company early adopted ASU No.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w:t>
      </w:r>
      <w:r>
        <w:rPr>
          <w:rFonts w:ascii="Arial" w:cs="Arial" w:eastAsia="Arial" w:hAnsi="Arial"/>
          <w:sz w:val="18"/>
          <w:szCs w:val="18"/>
          <w:color w:val="auto"/>
        </w:rPr>
        <w:t>which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Company has adopted this guidance prospectively to all implementation costs incurred after the date of adoption. As of December 31, 2019, the Company has less than $0.1 million included in prepaid expenses and $0.8 million included in other non-current assets in the consolidated balance sheets that have been capitalized in conjunction with implementations.</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Effective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requires that leases are to be recognized on the balance sheet as right-of-use assets and as lease liabilities. The Company elected not to apply the recognition requirements to short-term leases (leases with terms of twelve months or less), and to apply the transition method, which is applied prospectively, measuring and recognizing the initial right-of-use asset and liability at January 1, 2019, without revising comparative period information or disclosure. In addition, the Company elected the package of transition provisions available for expired or existing contracts, which allowed the Company to forego assessment of: (i) whether contracts are or contain leases; (ii) lease classification; and (iii) initial direct costs. Consistent with current accounting, all of the Company's existing leases identified under the prior </w:t>
      </w:r>
      <w:r>
        <w:rPr>
          <w:rFonts w:ascii="Arial" w:cs="Arial" w:eastAsia="Arial" w:hAnsi="Arial"/>
          <w:sz w:val="16"/>
          <w:szCs w:val="16"/>
          <w:i w:val="1"/>
          <w:iCs w:val="1"/>
          <w:color w:val="auto"/>
        </w:rPr>
        <w:t>Leases (Topic</w:t>
      </w:r>
    </w:p>
    <w:p>
      <w:pPr>
        <w:spacing w:after="0" w:line="5" w:lineRule="exact"/>
        <w:rPr>
          <w:sz w:val="20"/>
          <w:szCs w:val="20"/>
          <w:color w:val="auto"/>
        </w:rPr>
      </w:pPr>
    </w:p>
    <w:p>
      <w:pPr>
        <w:ind w:right="160" w:firstLine="8"/>
        <w:spacing w:after="0" w:line="255" w:lineRule="auto"/>
        <w:tabs>
          <w:tab w:leader="none" w:pos="375"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of the FASB ASC will be treated as operating leases. The Company has also elected the practical expedient to not separate non-lease components from the lease components to which they relate, and instead account for each as a single lease component, for all of its underlying asset classes. Accordingly, all expenses associated with a lease contract are accounted for as lease expenses.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later of January 1, 2019 or each lease’s respective commencement date, the Company recorded lease liabilities equal to the present value of its remaining minimum lease payments and right-of-use assets equal to the corresponding lease liability adjusted for any prepaid or accrued lease payments and the remaining balance of lease incentives received. At the transition date, the right-of-use asset and total lease liabilities were $22.0 million and $28.6 million, respectively. The difference between the right-of-use asset and lease liabilities is due to the derecognition of deferred rent and other accrued lease payments of $7.2 million, previously included in other current and non-current liabilities, and prepaid rent of $0.6 million, previously included in prepaid expenses. See Note 10 - Leases.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F- 16</w:t>
      </w:r>
    </w:p>
    <w:p>
      <w:pPr>
        <w:sectPr>
          <w:pgSz w:w="11900" w:h="16838" w:orient="portrait"/>
          <w:cols w:equalWidth="0" w:num="1">
            <w:col w:w="11400"/>
          </w:cols>
          <w:pgMar w:left="240" w:top="337"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amendments in this update simplify the accounting for income taxes by removing certain exceptions to the general principles in Topic 740. The amendments also improve consistent application of and simplify GAAP for other areas of Topic 740 by clarifying and amending existing guidance. For public business entities, the amendments in this update are effective for fiscal years, and interim periods within those fiscal years, beginning after December 15, 2020, and should be applied either on a prospective, retrospective, or modified retrospective basis depending on the amendment. Early adoption of the amendments is permitted. The Company is currently in the process of evaluating this standard and expects to adopt the standard in its first quarter of 2021, with no material impact on its consolidated financial statements.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The amendments in this update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based on the concepts in the Concepts Statement, including the consideration of costs and benefits. The amendments in this update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entities for fiscal years, and interim periods within those fiscal years, beginning after December 15, 2019, and should be applied either prospectively or retrospectively depending on the nature of the disclosure. An entity is permitted to early adopt any removed or modified disclosures upon issuance of this update and delay adoption of the additional disclosures until their effective date. The Company is currently in the process of evaluating this standard and expects to adopt the full provisions in the first quarter of 2020.</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amendments in this update require a financial asset (or a group of financial assets) measured at amortized cost basis to be presented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net amount expected to be collected based on historical experience, current conditions, and reasonable supportable forecasts. The amendments in this update are effective for public business entities for fiscal years, and interim periods within those fiscal years, beginning after December 15, 2019, with early adoption permitted no sooner than the first quarter of 2019. A modified retrospective approach is required for all investments, except debt securities for which an other-than-temporary impairment had been recognized prior to the effective date, which will require a prospective transition approach and should be applied either prospectively or retrospectively depending on the nature of the disclosure. </w:t>
      </w:r>
      <w:r>
        <w:rPr>
          <w:rFonts w:ascii="Arial" w:cs="Arial" w:eastAsia="Arial" w:hAnsi="Arial"/>
          <w:sz w:val="17"/>
          <w:szCs w:val="17"/>
          <w:color w:val="212529"/>
        </w:rPr>
        <w:t>The adoption of ASU 2016-13 will require expanded quantitative and qualitative</w:t>
      </w:r>
      <w:r>
        <w:rPr>
          <w:rFonts w:ascii="Arial" w:cs="Arial" w:eastAsia="Arial" w:hAnsi="Arial"/>
          <w:sz w:val="17"/>
          <w:szCs w:val="17"/>
          <w:color w:val="auto"/>
        </w:rPr>
        <w:t xml:space="preserve"> </w:t>
      </w:r>
      <w:r>
        <w:rPr>
          <w:rFonts w:ascii="Arial" w:cs="Arial" w:eastAsia="Arial" w:hAnsi="Arial"/>
          <w:sz w:val="17"/>
          <w:szCs w:val="17"/>
          <w:color w:val="212529"/>
        </w:rPr>
        <w:t xml:space="preserve">disclosures about the Company’s expected credit losses. </w:t>
      </w:r>
      <w:r>
        <w:rPr>
          <w:rFonts w:ascii="Arial" w:cs="Arial" w:eastAsia="Arial" w:hAnsi="Arial"/>
          <w:sz w:val="17"/>
          <w:szCs w:val="17"/>
          <w:color w:val="000000"/>
        </w:rPr>
        <w:t>The Company plans to adopt this standard in its first quarter of 2020, related primarily to its trade</w:t>
      </w:r>
      <w:r>
        <w:rPr>
          <w:rFonts w:ascii="Arial" w:cs="Arial" w:eastAsia="Arial" w:hAnsi="Arial"/>
          <w:sz w:val="17"/>
          <w:szCs w:val="17"/>
          <w:color w:val="212529"/>
        </w:rPr>
        <w:t xml:space="preserve"> </w:t>
      </w:r>
      <w:r>
        <w:rPr>
          <w:rFonts w:ascii="Arial" w:cs="Arial" w:eastAsia="Arial" w:hAnsi="Arial"/>
          <w:sz w:val="17"/>
          <w:szCs w:val="17"/>
          <w:color w:val="000000"/>
        </w:rPr>
        <w:t>accounts receivable, and expects no material impact.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33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revenues, generated from temporary staffing services and other services, are disaggregated by segment in the following table. See Note 2 - Summary of Significant Accounting Policies.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Year Ended December 31, 2019</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And Allied</w:t>
            </w:r>
          </w:p>
        </w:tc>
        <w:tc>
          <w:tcPr>
            <w:tcW w:w="3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36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20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5"/>
          </w:tcPr>
          <w:p>
            <w:pPr>
              <w:jc w:val="center"/>
              <w:ind w:right="540"/>
              <w:spacing w:after="0"/>
              <w:rPr>
                <w:sz w:val="20"/>
                <w:szCs w:val="20"/>
                <w:color w:val="auto"/>
              </w:rPr>
            </w:pPr>
            <w:r>
              <w:rPr>
                <w:rFonts w:ascii="Arial" w:cs="Arial" w:eastAsia="Arial" w:hAnsi="Arial"/>
                <w:sz w:val="18"/>
                <w:szCs w:val="18"/>
                <w:color w:val="auto"/>
                <w:w w:val="89"/>
              </w:rPr>
              <w:t>(amounts in thousands)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720,393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70,261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790,654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12,422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14,804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31,570</w:t>
            </w: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732,815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74,605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14,804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822,224</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73"/>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Year Ended December 31, 2018</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Nurse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And Allied</w:t>
            </w:r>
          </w:p>
        </w:tc>
        <w:tc>
          <w:tcPr>
            <w:tcW w:w="320" w:type="dxa"/>
            <w:vAlign w:val="bottom"/>
          </w:tcPr>
          <w:p>
            <w:pPr>
              <w:spacing w:after="0"/>
              <w:rPr>
                <w:sz w:val="18"/>
                <w:szCs w:val="18"/>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Staffing</w:t>
            </w:r>
          </w:p>
        </w:tc>
        <w:tc>
          <w:tcPr>
            <w:tcW w:w="320" w:type="dxa"/>
            <w:vAlign w:val="bottom"/>
          </w:tcPr>
          <w:p>
            <w:pPr>
              <w:spacing w:after="0"/>
              <w:rPr>
                <w:sz w:val="20"/>
                <w:szCs w:val="20"/>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Staffing</w:t>
            </w:r>
          </w:p>
        </w:tc>
        <w:tc>
          <w:tcPr>
            <w:tcW w:w="360" w:type="dxa"/>
            <w:vAlign w:val="bottom"/>
          </w:tcPr>
          <w:p>
            <w:pPr>
              <w:spacing w:after="0"/>
              <w:rPr>
                <w:sz w:val="20"/>
                <w:szCs w:val="20"/>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Search</w:t>
            </w:r>
          </w:p>
        </w:tc>
        <w:tc>
          <w:tcPr>
            <w:tcW w:w="20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Total Segments</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5"/>
          </w:tcPr>
          <w:p>
            <w:pPr>
              <w:jc w:val="center"/>
              <w:ind w:right="540"/>
              <w:spacing w:after="0"/>
              <w:rPr>
                <w:sz w:val="20"/>
                <w:szCs w:val="20"/>
                <w:color w:val="auto"/>
              </w:rPr>
            </w:pPr>
            <w:r>
              <w:rPr>
                <w:rFonts w:ascii="Arial" w:cs="Arial" w:eastAsia="Arial" w:hAnsi="Arial"/>
                <w:sz w:val="18"/>
                <w:szCs w:val="18"/>
                <w:color w:val="auto"/>
                <w:w w:val="89"/>
              </w:rPr>
              <w:t>(amounts in thousands)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Staffing Services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705,469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76,979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782,448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13,144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5,326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15,566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34,036</w:t>
            </w:r>
          </w:p>
        </w:tc>
      </w:tr>
      <w:tr>
        <w:trPr>
          <w:trHeight w:val="27"/>
        </w:trPr>
        <w:tc>
          <w:tcPr>
            <w:tcW w:w="3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718,613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82,305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816,484</w:t>
            </w: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Personnel</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December 1, 2018, the Company completed the acquisition of American Personnel, Inc. (AP Staffing) for a total purchase price of $2.0 million, subject to a net working capital adjustment. The Company assigned a total of $0.4 million to definite life intangible assets with a weighted average estimated useful life of 10 years. The remaining excess purchase price over the fair value of net assets acquired of $0.7 million was recorded as goodwill, which is not deductible for tax purposes since this was a stock acquisition. Associated acquisition-related costs incurred were $0.2 million and have been included in acquisition and integration costs in the consolidated statements of operations for the year ended December 31, 2018.</w:t>
      </w:r>
    </w:p>
    <w:p>
      <w:pPr>
        <w:spacing w:after="0" w:line="1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The acquisition was deemed immaterial and has been accounted for in accordance with the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of the FASB ASC, using the acquisition method of accounting. AP Staffing's results of operations are included in the consolidated statements of operations since its date of acquisition.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of $2.8 million. The total purchase price of $88.0 million was subject to a net working capital reduction of $0.6 million at the closing and an additional $0.8 million was received during the third quarter of 2017 as the final adjustment for net working capital. Additionally, $0.6 million of the purchase price was deferred as of the closing and was due to the seller within 20 months, less any COBRA and healthcare payments incurred by the Company on behalf of the seller. The Company incurred approximately $0.5 million in COBRA expenses since the Advantage acquisition and, in February 2019, released to the seller the remaining liability of $0.1 million.</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 On April 3, 2019, $4.3 million related to the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00" w:lineRule="exact"/>
        <w:rPr>
          <w:sz w:val="20"/>
          <w:szCs w:val="20"/>
          <w:color w:val="auto"/>
        </w:rPr>
      </w:pP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liabilities was disbursed to pay taxes and the remaining $2.9 million was released from escrow to the seller. In the first quarter of 2019, $7.0 million related to the post-close liabilities was released from escrow, leaving a balance of $0.5 million to cover pending post-close liabilities.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8 - Debt. The transaction was treated as a purchase of assets for income tax purposes.</w:t>
      </w:r>
    </w:p>
    <w:p>
      <w:pPr>
        <w:spacing w:after="0" w:line="18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acquisition has been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 using the acquisition method of accounting. As such, the amounts of revenue and contribution income included in the consolidated statements of operations from the acquisition date to the period ended December 31, 2017 were $47.0 million and $3.8 million, respectively. The acquisition results have been substantially aggregated with the Company's Nurse and Allied Staffing business segment. See Note 18 - Segment Data.</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purchase price was allocated to the assets acquired and the liabilities assumed based on the estimated fair value at the date of acquisition. The Company used a third-party appraiser to assist with the determination of the fair value and estimated useful lives of certain acquired assets and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5"/>
              </w:rPr>
              <w:t>The following table is an estimate of the fair value of the assets acquired and liabilities assumed on July 1, 2017.</w:t>
            </w: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90"/>
              <w:spacing w:after="0"/>
              <w:rPr>
                <w:sz w:val="20"/>
                <w:szCs w:val="20"/>
                <w:color w:val="auto"/>
              </w:rPr>
            </w:pPr>
            <w:r>
              <w:rPr>
                <w:rFonts w:ascii="Arial" w:cs="Arial" w:eastAsia="Arial" w:hAnsi="Arial"/>
                <w:sz w:val="18"/>
                <w:szCs w:val="18"/>
                <w:color w:val="auto"/>
              </w:rPr>
              <w:t>(amounts in thousands)</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14,396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29,900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91,450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89,395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assigned the following values to other identifiable intangible assets: (i) $4.5 million to trade names with a weighted average estimated useful life of 10 years; (ii) $13.8 million to customer relationships with a weighted average estimated useful life of 10 years; (iii) $11.3 million to a database, consisting of healthcare professionals, with a weighted average estimated useful life of 10 years; and (iv) $0.3 million to non-compete agreements with a weighted average estimated useful life of 5 years, for a total of $29.9 million in definite life intangible assets with a weighted average estimated useful life of 10 years.</w:t>
      </w:r>
    </w:p>
    <w:p>
      <w:pPr>
        <w:spacing w:after="0" w:line="18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remaining excess purchase price over the fair value of net assets acquired of $43.6 million was recorded as goodwill, which is deductible for tax purposes. Associated acquisition-related costs incurred were $2.0 million and have been included in acquisition and integration costs in the consolidated statements of operations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360"/>
        <w:spacing w:after="0" w:line="302"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2017,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(continued)</w:t>
      </w:r>
    </w:p>
    <w:p>
      <w:pPr>
        <w:spacing w:after="0" w:line="200" w:lineRule="exact"/>
        <w:rPr>
          <w:sz w:val="20"/>
          <w:szCs w:val="20"/>
          <w:color w:val="auto"/>
        </w:rPr>
      </w:pPr>
    </w:p>
    <w:p>
      <w:pPr>
        <w:spacing w:after="0" w:line="245" w:lineRule="exact"/>
        <w:rPr>
          <w:sz w:val="20"/>
          <w:szCs w:val="20"/>
          <w:color w:val="auto"/>
        </w:rPr>
      </w:pPr>
    </w:p>
    <w:p>
      <w:pPr>
        <w:ind w:right="2320"/>
        <w:spacing w:after="0" w:line="276" w:lineRule="auto"/>
        <w:rPr>
          <w:sz w:val="20"/>
          <w:szCs w:val="20"/>
          <w:color w:val="auto"/>
        </w:rPr>
      </w:pPr>
      <w:r>
        <w:rPr>
          <w:rFonts w:ascii="Arial" w:cs="Arial" w:eastAsia="Arial" w:hAnsi="Arial"/>
          <w:sz w:val="17"/>
          <w:szCs w:val="17"/>
          <w:color w:val="auto"/>
        </w:rPr>
        <w:t>estimated income tax impact. These adjustments include removing transaction-related expenses of approximately $2.0 million for the year ended December 31,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businesses, among other adjustments that could be made in the future but are not factually supportable on the date of the transaction.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tcPr>
          <w:p>
            <w:pPr>
              <w:jc w:val="right"/>
              <w:ind w:right="470"/>
              <w:spacing w:after="0"/>
              <w:rPr>
                <w:sz w:val="20"/>
                <w:szCs w:val="20"/>
                <w:color w:val="auto"/>
              </w:rPr>
            </w:pPr>
            <w:r>
              <w:rPr>
                <w:rFonts w:ascii="Arial" w:cs="Arial" w:eastAsia="Arial" w:hAnsi="Arial"/>
                <w:sz w:val="18"/>
                <w:szCs w:val="18"/>
                <w:b w:val="1"/>
                <w:bCs w:val="1"/>
                <w:color w:val="auto"/>
                <w:w w:val="98"/>
              </w:rPr>
              <w:t>Year Ended December 31, 2017</w:t>
            </w:r>
          </w:p>
        </w:tc>
        <w:tc>
          <w:tcPr>
            <w:tcW w:w="0" w:type="dxa"/>
            <w:vAlign w:val="bottom"/>
          </w:tcPr>
          <w:p>
            <w:pPr>
              <w:spacing w:after="0"/>
              <w:rPr>
                <w:sz w:val="1"/>
                <w:szCs w:val="1"/>
                <w:color w:val="auto"/>
              </w:rPr>
            </w:pPr>
          </w:p>
        </w:tc>
      </w:tr>
      <w:tr>
        <w:trPr>
          <w:trHeight w:val="27"/>
        </w:trPr>
        <w:tc>
          <w:tcPr>
            <w:tcW w:w="7880" w:type="dxa"/>
            <w:vAlign w:val="bottom"/>
            <w:vMerge w:val="restart"/>
          </w:tcPr>
          <w:p>
            <w:pPr>
              <w:ind w:left="40"/>
              <w:spacing w:after="0"/>
              <w:rPr>
                <w:sz w:val="20"/>
                <w:szCs w:val="20"/>
                <w:color w:val="auto"/>
              </w:rPr>
            </w:pPr>
            <w:r>
              <w:rPr>
                <w:rFonts w:ascii="Arial" w:cs="Arial" w:eastAsia="Arial" w:hAnsi="Arial"/>
                <w:sz w:val="18"/>
                <w:szCs w:val="18"/>
                <w:color w:val="auto"/>
              </w:rPr>
              <w:t>(unaudited, amounts in thousands except per share data)</w:t>
            </w:r>
          </w:p>
        </w:tc>
        <w:tc>
          <w:tcPr>
            <w:tcW w:w="3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916,149</w:t>
            </w:r>
          </w:p>
        </w:tc>
        <w:tc>
          <w:tcPr>
            <w:tcW w:w="0" w:type="dxa"/>
            <w:vAlign w:val="bottom"/>
          </w:tcPr>
          <w:p>
            <w:pPr>
              <w:spacing w:after="0"/>
              <w:rPr>
                <w:sz w:val="1"/>
                <w:szCs w:val="1"/>
                <w:color w:val="auto"/>
              </w:rPr>
            </w:pPr>
          </w:p>
        </w:tc>
      </w:tr>
      <w:tr>
        <w:trPr>
          <w:trHeight w:val="324"/>
        </w:trPr>
        <w:tc>
          <w:tcPr>
            <w:tcW w:w="7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40,255</w:t>
            </w:r>
          </w:p>
        </w:tc>
        <w:tc>
          <w:tcPr>
            <w:tcW w:w="0" w:type="dxa"/>
            <w:vAlign w:val="bottom"/>
          </w:tcPr>
          <w:p>
            <w:pPr>
              <w:spacing w:after="0"/>
              <w:rPr>
                <w:sz w:val="1"/>
                <w:szCs w:val="1"/>
                <w:color w:val="auto"/>
              </w:rPr>
            </w:pPr>
          </w:p>
        </w:tc>
      </w:tr>
      <w:tr>
        <w:trPr>
          <w:trHeight w:val="324"/>
        </w:trPr>
        <w:tc>
          <w:tcPr>
            <w:tcW w:w="7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24"/>
        </w:trPr>
        <w:tc>
          <w:tcPr>
            <w:tcW w:w="7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common share attributable to common shareholders -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1"/>
        </w:trPr>
        <w:tc>
          <w:tcPr>
            <w:tcW w:w="78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Resources Healthcare</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December 1, 2016, the Company completed the acquisition of US Resources Healthcare, LLC (USR). The agreement specified that the sellers were eligible to receive additional purchase price consideration based on attainment of specific performance criteria achieved in the years 2017 through 2019. The earnout for 2017 was not achieved and, as a result, in the fourth quarter of 2017, the Company recognized a decrease in the fair value of the related liability of $1.3 million included as acquisition-related contingent consideration in the consolidated statements of operations. The adjustment was driven by the decrease in the projected USR 2018 and 2019 revenue and EBITDA amounts. In the third quarter of 2018, the Company determined that the contingent consideration earnout related to the USR acquisition would not be achieved for 2018 and 2019 and, as a result, the remaining liability of $0.2 million was reversed.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Mediscan</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An amount of $5.0 million of the purchase price that was held in escrow to cover any post-closing liabilities, was released to the sellers on May 3, 2017.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agreement also specified that the sellers were eligible to receive additional purchase price consideration of $7.0 million, with $3.5 million per year 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attainment of specific performance criteria in 2016 and 2017. As of December 31, 2016, the Company determined that the first year earnout was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achieved for 2016 and, as of September 30, 2017,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that the second year earnout would not be achieved for 2017.</w:t>
      </w:r>
    </w:p>
    <w:p>
      <w:pPr>
        <w:spacing w:after="0" w:line="21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Mediscan acquisition, the Company also assumed contingent purchase price liabilities for a previously acquired business that are payable annually based on specific performance criteria for the years 2016 through 2018, and in three equal payments for the 2019 year. Payments related to the years 2016 through 2018 were limited to $0.3 million annually and the 2019 year is uncapped. During the years ended December 31, 2019 and 2018, the Company paid $0.3 million related to the years 2018 and 2017. The payments related to the 2019 year are to be made as follows: (i) an amount equal to one-third of the earnout is to be paid immediately upon finalization of the amount, which is expected to be the first quarter of 2020; and (ii) an amount of one-half of the remaining principal balance is to be paid on January 31, 2021 and the remaining principal balance, together with all accrued and unpaid interest, is to be paid on January 31, 2022. As of December 31, 2019, the fair value of the remaining obligations was estimated at $7.3 million and is included in other current liabilities and contingent consideration in the consolidated balance sheets. See Note 11 - Fair Value Measurements.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7"/>
          </w:tcPr>
          <w:p>
            <w:pPr>
              <w:spacing w:after="0"/>
              <w:rPr>
                <w:sz w:val="20"/>
                <w:szCs w:val="20"/>
                <w:color w:val="auto"/>
              </w:rPr>
            </w:pPr>
            <w:r>
              <w:rPr>
                <w:rFonts w:ascii="Arial" w:cs="Arial" w:eastAsia="Arial" w:hAnsi="Arial"/>
                <w:sz w:val="18"/>
                <w:szCs w:val="18"/>
                <w:b w:val="1"/>
                <w:bCs w:val="1"/>
                <w:color w:val="auto"/>
              </w:rPr>
              <w:t>5. Goodwill, Trade Names, and Other Intangible Assets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gridSpan w:val="7"/>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1"/>
              </w:rPr>
              <w:t>December 31, 2019</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December 31, 2018</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5"/>
            <w:shd w:val="clear" w:color="auto" w:fill="CCEEFF"/>
          </w:tcPr>
          <w:p>
            <w:pPr>
              <w:ind w:left="500"/>
              <w:spacing w:after="0"/>
              <w:rPr>
                <w:sz w:val="20"/>
                <w:szCs w:val="20"/>
                <w:color w:val="auto"/>
              </w:rPr>
            </w:pPr>
            <w:r>
              <w:rPr>
                <w:rFonts w:ascii="Arial" w:cs="Arial" w:eastAsia="Arial" w:hAnsi="Arial"/>
                <w:sz w:val="16"/>
                <w:szCs w:val="16"/>
                <w:color w:val="auto"/>
              </w:rPr>
              <w:t>(amounts in thousands)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Intangible assets subject to</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Databases</w:t>
            </w:r>
          </w:p>
        </w:tc>
        <w:tc>
          <w:tcPr>
            <w:tcW w:w="1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21,314</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49,758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26,462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7,183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44,957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55,182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7"/>
              </w:rPr>
              <w:t>Intangible assets not subject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Trade names, indefinite-lived</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20,402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estimated annual amortization expense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55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9,688</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6,105</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6,028</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2024</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5,287</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5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11,923</w:t>
            </w:r>
          </w:p>
        </w:tc>
      </w:tr>
      <w:tr>
        <w:trPr>
          <w:trHeight w:val="237"/>
        </w:trPr>
        <w:tc>
          <w:tcPr>
            <w:tcW w:w="38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44,957</w:t>
            </w:r>
          </w:p>
        </w:tc>
      </w:tr>
      <w:tr>
        <w:trPr>
          <w:trHeight w:val="27"/>
        </w:trPr>
        <w:tc>
          <w:tcPr>
            <w:tcW w:w="3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5720" w:type="dxa"/>
            <w:vAlign w:val="bottom"/>
            <w:gridSpan w:val="2"/>
          </w:tcPr>
          <w:p>
            <w:pPr>
              <w:jc w:val="right"/>
              <w:ind w:right="3570"/>
              <w:spacing w:after="0"/>
              <w:rPr>
                <w:sz w:val="20"/>
                <w:szCs w:val="20"/>
                <w:color w:val="auto"/>
              </w:rPr>
            </w:pPr>
            <w:r>
              <w:rPr>
                <w:rFonts w:ascii="Arial" w:cs="Arial" w:eastAsia="Arial" w:hAnsi="Arial"/>
                <w:sz w:val="18"/>
                <w:szCs w:val="18"/>
                <w:color w:val="auto"/>
              </w:rPr>
              <w:t>F- 21</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Nurse and</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Physician</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Allied Staffing</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Staffing</w:t>
            </w:r>
          </w:p>
        </w:tc>
        <w:tc>
          <w:tcPr>
            <w:tcW w:w="360" w:type="dxa"/>
            <w:vAlign w:val="bottom"/>
          </w:tcPr>
          <w:p>
            <w:pPr>
              <w:spacing w:after="0"/>
              <w:rPr>
                <w:sz w:val="20"/>
                <w:szCs w:val="20"/>
                <w:color w:val="auto"/>
              </w:rPr>
            </w:pPr>
          </w:p>
        </w:tc>
        <w:tc>
          <w:tcPr>
            <w:tcW w:w="146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Search</w:t>
            </w:r>
          </w:p>
        </w:tc>
        <w:tc>
          <w:tcPr>
            <w:tcW w:w="380" w:type="dxa"/>
            <w:vAlign w:val="bottom"/>
          </w:tcPr>
          <w:p>
            <w:pPr>
              <w:spacing w:after="0"/>
              <w:rPr>
                <w:sz w:val="20"/>
                <w:szCs w:val="20"/>
                <w:color w:val="auto"/>
              </w:rPr>
            </w:pPr>
          </w:p>
        </w:tc>
        <w:tc>
          <w:tcPr>
            <w:tcW w:w="132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2018</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Aggregate goodwill acquired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411,279</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business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(300,330)</w:t>
            </w:r>
          </w:p>
        </w:tc>
        <w:tc>
          <w:tcPr>
            <w:tcW w:w="0" w:type="dxa"/>
            <w:vAlign w:val="bottom"/>
          </w:tcPr>
          <w:p>
            <w:pPr>
              <w:spacing w:after="0"/>
              <w:rPr>
                <w:sz w:val="1"/>
                <w:szCs w:val="1"/>
                <w:color w:val="auto"/>
              </w:rPr>
            </w:pPr>
          </w:p>
        </w:tc>
      </w:tr>
      <w:tr>
        <w:trPr>
          <w:trHeight w:val="23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88,835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101,060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to aggregate goodwill in 2019</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acquisition adjustment - AP Staffing</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Rebranding reassignment (a)</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Balances as of December 31, 2019</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shd w:val="clear" w:color="auto" w:fill="CCEEFF"/>
              </w:rPr>
              <w:t>Aggregate goodwill acquired</w:t>
            </w:r>
          </w:p>
        </w:tc>
        <w:tc>
          <w:tcPr>
            <w:tcW w:w="1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411,285</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Sale of business</w:t>
            </w:r>
          </w:p>
        </w:tc>
        <w:tc>
          <w:tcPr>
            <w:tcW w:w="220" w:type="dxa"/>
            <w:vAlign w:val="bottom"/>
          </w:tcPr>
          <w:p>
            <w:pPr>
              <w:spacing w:after="0"/>
              <w:rPr>
                <w:sz w:val="21"/>
                <w:szCs w:val="21"/>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impairment loss</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(300,330)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Goodwill, net of impairment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86,398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101,066</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9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8"/>
        <w:spacing w:after="0" w:line="277"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the Company merging its permanent search recruitment brands into its Search segment in the second quarter of 2019, $2.4 million of goodwill was reassigned from its Nurse and Allied Staffing reporting unit to its Search reporting unit.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Names and Other Intangible Assets</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part of evolving its go-to-market strategy, in the second quarter of 2019, the Company began eliminating certain brands across all of its segments. The Company’s rebranding efforts resulted in a $14.5 million write-off of indefinite-lived trade names related to its Nurse and Allied Staffing segment, which is presented as impairment charges in the consolidated statements of operations. In addition, during the year ended December 31, 2019, the amortization of certain finite-lived trade names was accelerated, which resulted in additional amortization expense related to the Company's Nurse and Allied Staffing and Physician Staffing segments of $2.1 million and $0.8 million, respectively, which impacted the net (loss) income per share attributable to common shareholders of $0.08. If the Company had not accelerated the amortization, it would have been recognized over a weighted average life of 7.8 years.</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its rebranding efforts, the Company made a decision at the end of 2019 to eliminate an additional brand by the end of 2020. In connection with this decision, the Company expects accelerated amortization of $2.9 million in 2020, which would have been recognized over a weighted average life of 7.5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performed its annual quantitative impairment test of goodwill and its indefinite-lived trade name as of October 1, 2019, and determined that the estimated fair value of its reporting units and its indefinite-lived trade name exceeded their respective carrying values. For the Search reporting unit, there was less than 20% of excess fair value over its carrying amount leaving it at risk of impairment in future periods if forecasted results are not achieved. The fair value for the other reporting units was substantially in excess of their carrying values. Although management believes that the Company's current estimates and assumptions are reasonable and supportable, there can be no assurance that the estimates and assumptions made for purposes of the impairment testing will prove to be accurate predictions of future performance.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Trade Names, and Other Intangible Assets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and 2017 Impairment Charges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performed its annual quantitative impairment test of goodwill and other indefinite-lived intangible assets as of October 1, 2018 and 2017. Upon completion of the impairment testing for both years, it was determined that the estimated fair value of the Physician Staffing reporting unit’s trade name was less than its carrying amount resulting in impairment. For its goodwill impairment testing, with the exception of its Physician Staffing reporting unit, the estimated fair value of its reporting units exceeded their respective carrying values.</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Projections of revenue, operating costs, and expected cash flows of each reporting unit are inputs into the quantitative testing for goodwill and intangible assets. The Company reduced its long-term revenue forecast for the Physician Staffing business segment in the fourth quarter of 2018 and 2017. The lower than expected revenue was driven by lower booking volumes, partly due to the loss of customers. In addition, margins of the reporting unit were negatively impacted from continued investments in the business. As a result, during the fourth quarter of 2018 and 2017 the Company recorded non-cash impairment charges of $5.2 million and $8.7 million, respectively, related to its trade name and $17.2 million and $5.7 million, respectively, related to goodwill during the fourth quarter.</w:t>
      </w:r>
    </w:p>
    <w:p>
      <w:pPr>
        <w:spacing w:after="0" w:line="11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impairment testing as of October 1, 2018, the Company reassessed the Physician Staffing brand's indefinite-life classification and determined it had characteristics that indicated a definite-life assignment was more appropriate. Effective October 1, 2018, the trade name, with a carrying value of $1.1 million after impairment charges, that was previously assigned an indefinite life was assigned a finite life of 3 years. During the three months ended December 31, 2018, the amortization expense related to this trade name was approximately $0.1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The Company's property and equipment consists of the following:</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3-5 years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3-10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Office equipment</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5-7 years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 (b)</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(b)</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35,108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11,832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Primarily related to software development.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See Note 2 – Summary of Significant Accounting Policies.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7. Balance Sheet Details</w:t>
            </w:r>
          </w:p>
        </w:tc>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2"/>
              </w:rPr>
              <w:t>(amounts in thousands)</w:t>
            </w: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Insurance recovery receivable:</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health claims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Insurance recovery for workers’ compensation claims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professional liability claims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Insurance recovery for workers’ compensation claims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Insurance recovery for professional liability claims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8,695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security deposits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Non-current income tax receivable</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debt issuance costs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18,298</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payroll taxes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Accrual for bonuses and commissions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healthcare claims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Accrual for vacation</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33,332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accrued claims: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Accrual for workers’ compensation claims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12,454</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for professional liability claims</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26,938</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29,299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long-term liabilities: (a)</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Deferred rent (b)</w:t>
            </w:r>
          </w:p>
        </w:tc>
        <w:tc>
          <w:tcPr>
            <w:tcW w:w="1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unrecognized tax benefits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year presentation included non-current deferred tax liabilities, which is presented in the consolidated balance sheets in the current year.</w:t>
      </w:r>
    </w:p>
    <w:p>
      <w:pPr>
        <w:spacing w:after="0" w:line="34" w:lineRule="exact"/>
        <w:rPr>
          <w:rFonts w:ascii="Arial" w:cs="Arial" w:eastAsia="Arial" w:hAnsi="Arial"/>
          <w:sz w:val="17"/>
          <w:szCs w:val="17"/>
          <w:color w:val="auto"/>
        </w:rPr>
      </w:pPr>
    </w:p>
    <w:p>
      <w:pPr>
        <w:ind w:right="720"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Upon the Company's adoption of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of the FASB ASC on January 1, 2019, deferred rent has been reclassified as a reduction of the operating right-of-use asset. See Note 10 - Leases.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33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7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3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4"/>
              </w:rPr>
              <w:t>(amounts in thousands)</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Senior Secured Asset-Based Loan, interest of 4.23% at December 31, 2019</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 of unamortized discount of $697, interest of 4.80% at December 31, 2018</w:t>
            </w:r>
          </w:p>
        </w:tc>
        <w:tc>
          <w:tcPr>
            <w:tcW w:w="1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83,179</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83,179</w:t>
            </w:r>
          </w:p>
        </w:tc>
      </w:tr>
      <w:tr>
        <w:trPr>
          <w:trHeight w:val="27"/>
        </w:trPr>
        <w:tc>
          <w:tcPr>
            <w:tcW w:w="7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77,944</w:t>
            </w:r>
          </w:p>
        </w:tc>
      </w:tr>
      <w:tr>
        <w:trPr>
          <w:trHeight w:val="20"/>
        </w:trPr>
        <w:tc>
          <w:tcPr>
            <w:tcW w:w="7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2019 ABL Credit Agreement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October 25, 2019, the Company terminated its commitments under its prior senior credit facility entered into in August 2017 (defined below) and entered into an ABL Credit Agreement (Loan Agreement), by and among the Company and certain of its domestic subsidiaries, as borrowers or guarantors, Wells Fargo, PNC Bank N.A., as well as other Lenders (as defined)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Availability of the ABL commitments is subject to a borrowing base of up to 85% of secured eligible accounts receivable, subject to adjustment at certain quality levels, plus an amount of supplemental availability, initially equal to $16.9 million (Supplemental Availability), and reducing over time in accordance with the terms of the Loan Agreement, minus customary reserves, and subject to customary adjustments. Revolving loans and letters of credit issued under the Loan Agreement reduce availability under the ABL on a dollar-for-dollar basis. Availability under the ABL will be used for general corporate purposes. Additionally, the facility contains an uncommitted accordion provision to increase the amount of the facility by an additional $30.0 million. At December 31, 2019, availability under the ABL was $120.0 million and the Company had $71.0 million of borrowings drawn, as well as $19.9 million of letters of credit outstanding related to workers' compensation and professional liability policies (see Note 2 - Summary of Significant Accounting Policies), leaving $29.1 million available for borrowing.</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initial amounts drawn on the ABL included funds to repay the Company’s then outstanding borrowings of $75.4 million under its August 2017 Credit Facility and $1.3 million for the payment of fees, expenses, and accrued interest, as well as to backstop $21.2 million for outstanding letters of credit. The refinancing was treated as an extinguishment of debt, and, as a result, the Company wrote-off debt issuance costs of approximately $1.4 million in the fourth quarter of 2019, which is included with loss on early extinguishment of debt in the consolidated statements of operations.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2019, the interest rate spreads and fees under the Loan Agreement were based on LIBOR (as defined by the Loan Agreement) plus 2.00% for the revolving portion of the borrowing base and LIBOR plus 4.00% on the Supplemental Availability. The Base Rate (as defined by the Loan Agreement) margins would have been 1.00% and 3.00%, respectively, for the revolving portion and Supplemental Availability, respectively. The LIBOR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December 31, 2019. Obligations under the ABL are secured by substantially all the assets of the borrowers and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337"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Loan Agreement also contains customary events of default. If an event of default under the Loan Agreement occurs and remains uncured, then the administrative agent or the requisite lenders may declare any outstanding obligations to be immediately due and payable. In addition, if the Company or any of its subsidiaries becomes the subject of voluntary or involuntary proceedings under any bankruptcy, insolvency or similar law, than any outstanding obligations under the Loan Agreement will automatically become due and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2017 Credit Facility</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August 1, 2017, the Company entered into an Amendment and Restatement of its Credit Agreement dated June 22, 2016 (August 2017 Credit Facility), to refinance and increase the aggregate committed size of the facility to $215.0 million, including a term loan of $100.0 million (Amended Term Loan) and a $115.0 million revolving credit facility (Amended Revolving Credit Facility) (together with the Amended Term Loan, the Amended Credit Facilities). The Amended Revolving Credit Facility included a subfacility for swingline loans up to an amount not to exceed $15.0 million, and a $35.0 million sublimit for the issuance of standby letters of credit. The proceeds of $106.5 million from this refinancing included $6.5 million under the new revolving credit facility and were used to repay borrowings under the Company’s 2016 Senior Credit Facilities (defined below), as well as to pay related interest, fees, and expenses of the transaction. In addition to increasing the size of the facilities, the maturity date was extended to August 1, 2022.</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Borrowings under the Amended Term Loan were payable in quarterly installments, which commenced January 2, 2018, provided that, to the extent not previously paid, the aggregate unpaid principal balance would be due and payable on the maturity date. During the three months ended March 31, 2018, the Company entered into an interest rate swap to reduce its exposure to fluctuations in the interest rates associated with its debt, which was effective April 2, 2018. See Note 9 -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Prepayments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had the right at any time and from time to time to prepay any borrowing on its Amended Term Loan, in whole or in part, without premium or penalty. In addition to its scheduled payments, in both the third and fourth quarters of 2018, the Company made optional prepayments of $5.0 million each as permitted by the Amended and Restated Credit Agreement. In the first and second quarters of 2019, the Company made additional optional prepayments of $7.5 million and $5.0 million, respectively, on its Amended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Amendments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Amended and Restated Credit Agreement included two financial covenants: (i) a maximum Consolidated Total Leverage ratio (as defined therein); and (ii) a minimum Consolidated Fixed Charge Coverage ratio (as defined therein) as of the end of each fiscal quarter of 1.50:1.00.</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30, 2018, the Company entered into a first amendment to its August 2017 Credit Facility (First Amendment) that, among other administrative and clarifying changes, modified the following: (i) the definition utilized in its financial covenants of Consolidated EBITDA to allow for exclusion of charges related to the Company’s initiative to replace its applicant tracking system supporting its legacy travel nurse operations; (ii) increased the maximum Consolidated Total Leverage Ratio for the periods from September 30, 2018 through December 31, 2019; and (iii) increased the pro forma Consolidated Total Leverage Ratio threshold for allowing restricted payments.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29, 2019, the Company entered into a second amendment to its August 2017 Credit Facility (Second Amendment) that, among other administrative changes, modified the following: (i) lowered the Aggregate Revolving Commitments from $115.0 million to $75.0 million through the exercise of a $40.0 million Optional Reduction; (ii) changed the financial leverage ratio from Consolidated Total Leverage to Consolidated Net Leverage and increased the maximum Consolidated Net Leverage Ratio through the period ending September 30, 2020; (iii) modified and added additional pricing levels to the Applicable Margin for borrowing; and (iv) added an additional financial covenant for the quarters ending March 31, 2019 through and including the quarter ending December 31, 2019, that required the Consolidated Asset Coverage Ratio to be no less than 1.10:1.00.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00"/>
          </w:cols>
          <w:pgMar w:left="240" w:top="337" w:right="25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30, 2019, the Company entered into a third amendment to its August 2017 Credit Facility (Third Amendment) that modified the following: (i) reduced the Aggregate Revolving Commitments from $75.0 million to $65.0 million on the effective date, and additional monthly reductions to $35.0 million on December 31, 2019; (ii) reduced the Letter of Credit sublimit from $35.0 million to $25.0 million; (iii) changed the maximum Consolidated Net Leverage Ratio from 4.25:1:00 to 4.60:1:00 for the period ending September 30, 2019; and (iv) changed the minimum Consolidated Fixed Charge Coverage Ratio from 1.50:1.00 to 1.10:1.00 for the period ending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Fees paid in connection with the First Amendment in the fourth quarter of 2018 were $0.3 million, of which a portion was included in other noncurrent assets as deferred issuance costs related to the revolving credit facility and a portion was treated as a deduction to long-term debt related to its Amended Term Loan. In addition, fees paid in 2019 in connection with the Second Amendment and the Third Amendment totaling $0.7 million had been included as debt issuance costs associated with the revolving credit facility and as a reduction to the carrying amount of the term loan and were expected to be amortized to interest expense over the remaining term of the arrangement.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early prepayments on the Amended Term Loan, debt issuance costs of $0.1 million were written off in each of the years ended December 31, 2019 and December 31, 2018. In addition, pursuant to the reduced capacity of the revolver resulting from the Second Amendment and Third Amendment, debt issuance costs of $0.4 million were written off. The write-offs of debt issuance costs are included as loss on early extinguishment of debt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Senior Credit Facilities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22, 2016, the Company entered into a senior credit agreement (2016 Credit Agreement), which provided for an initial term loan of $40.0 million (Term Loan) and a revolving credit facility of up to $100.0 million (Revolving Credit Facility) (together with the Term Loan, the 2016 Senior Credit Facilities) both of which would have matured on June 22, 2021. Proceeds of the Senior Credit Facilities were used primarily to refinance the Company’s prior senior secured asset-based credit facility and $30.0 million Second Lien Term Loan and to pay related transaction fees and expenses, including a redemption premium of $0.6 million.</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July 5, 2017, the Company entered into a Second Amendment to its 2016 Credit Agreement primarily to allow for the acquisition of Advantage including a reset of the Applicable Margin to Level III, based on the incremental borrowings and consistent with the prior pricing grid (or 2.25% for Eurodollar Loans and LIBOR Index Rate Loans, 1.25% for Base Rate Loans and a 0.30% commitment fee). Also, on July 5, 2017, the Company entered into an Incremental Term Loan Agreement for $40.0 million with SunTrust as Lender and Administrative Agent (Incremental Term Loan Agreement) to pay for part of the consideration of the acquisition of Advantage. The Incremental Term Loan maturity date was June 22, 2021 and was prepayable at any time without penalty. Borrowings under the Incremental Term Loan Agreement were payable in quarterly installments, commencing September 30,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and certain of its domestic subsidiaries entered into a Convertible Note Purchase Agreement (the Note Purchase Agreement), with certain note holders (collectively, the Noteholders) on June 30, 2014. Pursuant to the Note Purchase Agreement, the Company sold to the Noteholders an aggregate of $25.0 million of convertible notes (the Convertible Notes).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 within financing activities in the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in the consolidated statements of cash flows. The loss on early extinguishment of debt includes the write off of unamortized loan fees and remaining interest due through the Forced Conversion date (defined below) of June 30, 2017.</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380"/>
          </w:cols>
          <w:pgMar w:left="240" w:top="337" w:right="2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2018, the Company entered into an interest rate swap agreement, with an effective date of April 2, 2018 and termination date of August 1, 2022. No initial investments were made to enter into the agreement. The interest rate swap agreement required the Company to pay a fixed rate to the respective counterparty of 2.627% per annum on an amortizing notional amount beginning at $48.8 million (corresponding with the initial term loan payment schedule), and to receive from the respective counterparty, interest payments based on the applicable notional amounts and 1 month USD LIBOR, with no exchanges of notional amounts. At initiation, the interest rate swap effectively fixed the interest rate on 50% of the amortizing balance of the Company’s term debt, exclusive of the credit spread on the debt. As of December 31, 2018, the interest rate swap was treated as a cash flow hedge and its fair value of a $0.2 million liability is included in other current and other long-term liabilities in the consolidated balance sheets.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anticipated entering into the asset-based credit facility that closed in October 2019. In contemplation of that, the Company terminated its interest rate swap agreement by making a cash payment of $1.3 million on September 26, 2019, which is included in net cash provided by operating activities in the consolidated statements of cash flows. As the forecasted interest payments related to the swap were no longer expected to occur, the unrealized amount of loss that had accumulated in other comprehensive loss was recognized resulting in a $1.3 million loss in the third quarter of 2019, included in loss (gain) on derivatives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Derivative Liability</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The Company issued Convertible Notes with features that were: (i) not afforded equity classification; (ii) embody risks not clearly and closely related to host contracts; or (iii) may be net-cash settled by the counterparty. As required by the </w:t>
      </w:r>
      <w:r>
        <w:rPr>
          <w:rFonts w:ascii="Arial" w:cs="Arial" w:eastAsia="Arial" w:hAnsi="Arial"/>
          <w:sz w:val="17"/>
          <w:szCs w:val="17"/>
          <w:i w:val="1"/>
          <w:iCs w:val="1"/>
          <w:color w:val="auto"/>
        </w:rPr>
        <w:t>Accounting for Derivative Financial Instruments and Hedging Activities</w:t>
      </w:r>
      <w:r>
        <w:rPr>
          <w:rFonts w:ascii="Arial" w:cs="Arial" w:eastAsia="Arial" w:hAnsi="Arial"/>
          <w:sz w:val="17"/>
          <w:szCs w:val="17"/>
          <w:color w:val="auto"/>
        </w:rPr>
        <w:t xml:space="preserve"> Topic of the FASB ASC, in certain instances, these instruments were required to be carried as derivative liabilities, at fair value, in the financial statements. On March 17, 2017, the Company paid in full its Convertible Notes and, as a result, derecognized the derivative liability.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derivative liability was primarily determined by fluctuations in the Company's stock price. In addition, changes in the Company's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risk profile impacted the fair value determination. These fluctuations resulted in a gain that was presented in the consolidated statements of operations in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(gain) on derivatives in 2017 related to its Convertible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8 - Debt and Note 11 - 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Company's lease population included in the recognition of its beginning right-of-use asset and lease liabilities under the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of the FASB ASC is substantially related to the rental of office space. The Company enters into lease agreements as lessee for the rental of office space for both its corporate and branch locations that may include options to extend or terminate early. Many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Many of the real estate leases require variable payments of property taxes, insurance, and common area maintenance, in addition to base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337"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rent. These leases do not include residual value guarantees, covenants, or other restrictions. See Note 2 - Summary of Significant Accounting Policies.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The table below presents the lease-related assets and liabilities included in the consolidated balance sheets:</w:t>
            </w:r>
          </w:p>
        </w:tc>
        <w:tc>
          <w:tcPr>
            <w:tcW w:w="3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Classification on Consolidated Balance Sheets:</w:t>
            </w:r>
          </w:p>
        </w:tc>
        <w:tc>
          <w:tcPr>
            <w:tcW w:w="300" w:type="dxa"/>
            <w:vAlign w:val="bottom"/>
          </w:tcPr>
          <w:p>
            <w:pPr>
              <w:spacing w:after="0"/>
              <w:rPr>
                <w:sz w:val="24"/>
                <w:szCs w:val="24"/>
                <w:color w:val="auto"/>
              </w:rPr>
            </w:pPr>
          </w:p>
        </w:tc>
        <w:tc>
          <w:tcPr>
            <w:tcW w:w="2400" w:type="dxa"/>
            <w:vAlign w:val="bottom"/>
          </w:tcPr>
          <w:p>
            <w:pPr>
              <w:jc w:val="right"/>
              <w:ind w:right="55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40" w:type="dxa"/>
            <w:vAlign w:val="bottom"/>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8"/>
              </w:rPr>
              <w:t>(amounts in thousands)</w:t>
            </w:r>
          </w:p>
        </w:tc>
      </w:tr>
      <w:tr>
        <w:trPr>
          <w:trHeight w:val="243"/>
        </w:trPr>
        <w:tc>
          <w:tcPr>
            <w:tcW w:w="40" w:type="dxa"/>
            <w:vAlign w:val="bottom"/>
          </w:tcPr>
          <w:p>
            <w:pPr>
              <w:spacing w:after="0"/>
              <w:rPr>
                <w:sz w:val="21"/>
                <w:szCs w:val="21"/>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16,964</w:t>
            </w:r>
          </w:p>
        </w:tc>
      </w:tr>
      <w:tr>
        <w:trPr>
          <w:trHeight w:val="27"/>
        </w:trPr>
        <w:tc>
          <w:tcPr>
            <w:tcW w:w="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 current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4,878</w:t>
            </w:r>
          </w:p>
        </w:tc>
      </w:tr>
      <w:tr>
        <w:trPr>
          <w:trHeight w:val="243"/>
        </w:trPr>
        <w:tc>
          <w:tcPr>
            <w:tcW w:w="40" w:type="dxa"/>
            <w:vAlign w:val="bottom"/>
          </w:tcPr>
          <w:p>
            <w:pPr>
              <w:spacing w:after="0"/>
              <w:rPr>
                <w:sz w:val="21"/>
                <w:szCs w:val="21"/>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19,070</w:t>
            </w:r>
          </w:p>
        </w:tc>
      </w:tr>
      <w:tr>
        <w:trPr>
          <w:trHeight w:val="27"/>
        </w:trPr>
        <w:tc>
          <w:tcPr>
            <w:tcW w:w="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3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 years</w:t>
            </w:r>
          </w:p>
        </w:tc>
      </w:tr>
      <w:tr>
        <w:trPr>
          <w:trHeight w:val="243"/>
        </w:trPr>
        <w:tc>
          <w:tcPr>
            <w:tcW w:w="40" w:type="dxa"/>
            <w:vAlign w:val="bottom"/>
          </w:tcPr>
          <w:p>
            <w:pPr>
              <w:spacing w:after="0"/>
              <w:rPr>
                <w:sz w:val="21"/>
                <w:szCs w:val="21"/>
                <w:color w:val="auto"/>
              </w:rPr>
            </w:pPr>
          </w:p>
        </w:tc>
        <w:tc>
          <w:tcPr>
            <w:tcW w:w="8660" w:type="dxa"/>
            <w:vAlign w:val="bottom"/>
          </w:tcPr>
          <w:p>
            <w:pPr>
              <w:ind w:left="20"/>
              <w:spacing w:after="0"/>
              <w:rPr>
                <w:sz w:val="20"/>
                <w:szCs w:val="20"/>
                <w:color w:val="auto"/>
              </w:rPr>
            </w:pPr>
            <w:r>
              <w:rPr>
                <w:rFonts w:ascii="Arial" w:cs="Arial" w:eastAsia="Arial" w:hAnsi="Arial"/>
                <w:sz w:val="18"/>
                <w:szCs w:val="18"/>
                <w:color w:val="auto"/>
              </w:rPr>
              <w:t>Weighted average discount rate (a)</w:t>
            </w:r>
          </w:p>
        </w:tc>
        <w:tc>
          <w:tcPr>
            <w:tcW w:w="30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870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30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Upon adoption of the new lease standard, discount rates used for existing leases were established at January 1, 2019.</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(which do not include short-term leases) recorded in the consolidated balance sheets as of December 31,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Pr>
          <w:p>
            <w:pPr>
              <w:spacing w:after="0"/>
              <w:rPr>
                <w:sz w:val="20"/>
                <w:szCs w:val="20"/>
                <w:color w:val="auto"/>
              </w:rPr>
            </w:pPr>
          </w:p>
        </w:tc>
        <w:tc>
          <w:tcPr>
            <w:tcW w:w="2340" w:type="dxa"/>
            <w:vAlign w:val="bottom"/>
          </w:tcPr>
          <w:p>
            <w:pPr>
              <w:jc w:val="right"/>
              <w:ind w:right="390"/>
              <w:spacing w:after="0"/>
              <w:rPr>
                <w:sz w:val="20"/>
                <w:szCs w:val="20"/>
                <w:color w:val="auto"/>
              </w:rPr>
            </w:pPr>
            <w:r>
              <w:rPr>
                <w:rFonts w:ascii="Arial" w:cs="Arial" w:eastAsia="Arial" w:hAnsi="Arial"/>
                <w:sz w:val="18"/>
                <w:szCs w:val="18"/>
                <w:color w:val="auto"/>
                <w:w w:val="97"/>
              </w:rPr>
              <w:t>(amounts in thousands)</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6,236</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5,974</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5,094</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4,711</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2,487</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27,884</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Less: amount of lease payments representing interest</w:t>
            </w: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(3,936)</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Present value of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23,948</w:t>
            </w:r>
          </w:p>
        </w:tc>
      </w:tr>
      <w:tr>
        <w:trPr>
          <w:trHeight w:val="243"/>
        </w:trPr>
        <w:tc>
          <w:tcPr>
            <w:tcW w:w="8740" w:type="dxa"/>
            <w:vAlign w:val="bottom"/>
          </w:tcPr>
          <w:p>
            <w:pPr>
              <w:ind w:left="280"/>
              <w:spacing w:after="0"/>
              <w:rPr>
                <w:sz w:val="20"/>
                <w:szCs w:val="20"/>
                <w:color w:val="auto"/>
              </w:rPr>
            </w:pPr>
            <w:r>
              <w:rPr>
                <w:rFonts w:ascii="Arial" w:cs="Arial" w:eastAsia="Arial" w:hAnsi="Arial"/>
                <w:sz w:val="18"/>
                <w:szCs w:val="18"/>
                <w:color w:val="auto"/>
              </w:rPr>
              <w:t>Less: operating lease liabilities - current</w:t>
            </w:r>
          </w:p>
        </w:tc>
        <w:tc>
          <w:tcPr>
            <w:tcW w:w="28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(4,878)</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Operating lease liabilities - non-current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19,070</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Future minimum lease payments, as of December 31, 2018, associated with non-cancelable operating lease agreements with terms of one year or more are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4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jc w:val="right"/>
              <w:ind w:right="390"/>
              <w:spacing w:after="0"/>
              <w:rPr>
                <w:sz w:val="20"/>
                <w:szCs w:val="20"/>
                <w:color w:val="auto"/>
              </w:rPr>
            </w:pPr>
            <w:r>
              <w:rPr>
                <w:rFonts w:ascii="Arial" w:cs="Arial" w:eastAsia="Arial" w:hAnsi="Arial"/>
                <w:sz w:val="18"/>
                <w:szCs w:val="18"/>
                <w:color w:val="auto"/>
                <w:w w:val="97"/>
              </w:rPr>
              <w:t>(amounts in thousands)</w:t>
            </w:r>
          </w:p>
        </w:tc>
      </w:tr>
      <w:tr>
        <w:trPr>
          <w:trHeight w:val="27"/>
        </w:trPr>
        <w:tc>
          <w:tcPr>
            <w:tcW w:w="4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5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7,451</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6,287</w:t>
            </w:r>
          </w:p>
        </w:tc>
      </w:tr>
      <w:tr>
        <w:trPr>
          <w:trHeight w:val="27"/>
        </w:trPr>
        <w:tc>
          <w:tcPr>
            <w:tcW w:w="4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4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5,407</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2022</w:t>
            </w:r>
          </w:p>
        </w:tc>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4,857</w:t>
            </w:r>
          </w:p>
        </w:tc>
      </w:tr>
      <w:tr>
        <w:trPr>
          <w:trHeight w:val="27"/>
        </w:trPr>
        <w:tc>
          <w:tcPr>
            <w:tcW w:w="40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4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Thereafter</w:t>
            </w:r>
          </w:p>
        </w:tc>
        <w:tc>
          <w:tcPr>
            <w:tcW w:w="4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5,893</w:t>
            </w:r>
          </w:p>
        </w:tc>
      </w:tr>
      <w:tr>
        <w:trPr>
          <w:trHeight w:val="27"/>
        </w:trPr>
        <w:tc>
          <w:tcPr>
            <w:tcW w:w="40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4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5020" w:type="dxa"/>
            <w:vAlign w:val="bottom"/>
            <w:gridSpan w:val="2"/>
          </w:tcPr>
          <w:p>
            <w:pPr>
              <w:jc w:val="right"/>
              <w:ind w:right="3070"/>
              <w:spacing w:after="0"/>
              <w:rPr>
                <w:sz w:val="20"/>
                <w:szCs w:val="20"/>
                <w:color w:val="auto"/>
              </w:rPr>
            </w:pPr>
            <w:r>
              <w:rPr>
                <w:rFonts w:ascii="Arial" w:cs="Arial" w:eastAsia="Arial" w:hAnsi="Arial"/>
                <w:sz w:val="18"/>
                <w:szCs w:val="18"/>
                <w:color w:val="auto"/>
              </w:rPr>
              <w:t>F- 29</w:t>
            </w:r>
          </w:p>
        </w:tc>
        <w:tc>
          <w:tcPr>
            <w:tcW w:w="2340" w:type="dxa"/>
            <w:vAlign w:val="bottom"/>
          </w:tcPr>
          <w:p>
            <w:pPr>
              <w:spacing w:after="0"/>
              <w:rPr>
                <w:sz w:val="24"/>
                <w:szCs w:val="24"/>
                <w:color w:val="auto"/>
              </w:rPr>
            </w:pPr>
          </w:p>
        </w:tc>
      </w:tr>
    </w:tbl>
    <w:p>
      <w:pPr>
        <w:sectPr>
          <w:pgSz w:w="11900" w:h="16838" w:orient="portrait"/>
          <w:cols w:equalWidth="0" w:num="1">
            <w:col w:w="11400"/>
          </w:cols>
          <w:pgMar w:left="240" w:top="337"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supplemental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Year Ended</w:t>
            </w:r>
          </w:p>
        </w:tc>
      </w:tr>
      <w:tr>
        <w:trPr>
          <w:trHeight w:val="270"/>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20" w:type="dxa"/>
            <w:vAlign w:val="bottom"/>
          </w:tcPr>
          <w:p>
            <w:pPr>
              <w:spacing w:after="0"/>
              <w:rPr>
                <w:sz w:val="2"/>
                <w:szCs w:val="2"/>
                <w:color w:val="auto"/>
              </w:rPr>
            </w:pPr>
          </w:p>
        </w:tc>
        <w:tc>
          <w:tcPr>
            <w:tcW w:w="8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89"/>
              </w:rPr>
              <w:t>(amounts in thousands)</w:t>
            </w:r>
          </w:p>
        </w:tc>
      </w:tr>
      <w:tr>
        <w:trPr>
          <w:trHeight w:val="243"/>
        </w:trPr>
        <w:tc>
          <w:tcPr>
            <w:tcW w:w="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7,477</w:t>
            </w:r>
          </w:p>
        </w:tc>
      </w:tr>
      <w:tr>
        <w:trPr>
          <w:trHeight w:val="243"/>
        </w:trPr>
        <w:tc>
          <w:tcPr>
            <w:tcW w:w="20" w:type="dxa"/>
            <w:vAlign w:val="bottom"/>
          </w:tcPr>
          <w:p>
            <w:pPr>
              <w:spacing w:after="0"/>
              <w:rPr>
                <w:sz w:val="21"/>
                <w:szCs w:val="21"/>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1,229</w:t>
            </w:r>
          </w:p>
        </w:tc>
      </w:tr>
      <w:tr>
        <w:trPr>
          <w:trHeight w:val="459"/>
        </w:trPr>
        <w:tc>
          <w:tcPr>
            <w:tcW w:w="8780" w:type="dxa"/>
            <w:vAlign w:val="bottom"/>
            <w:gridSpan w:val="2"/>
          </w:tcPr>
          <w:p>
            <w:pPr>
              <w:spacing w:after="0"/>
              <w:rPr>
                <w:sz w:val="20"/>
                <w:szCs w:val="20"/>
                <w:color w:val="auto"/>
              </w:rPr>
            </w:pPr>
            <w:r>
              <w:rPr>
                <w:rFonts w:ascii="Arial" w:cs="Arial" w:eastAsia="Arial" w:hAnsi="Arial"/>
                <w:sz w:val="18"/>
                <w:szCs w:val="18"/>
                <w:color w:val="auto"/>
              </w:rPr>
              <w:t>The components of lease expense are as follows:</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Year Ended</w:t>
            </w:r>
          </w:p>
        </w:tc>
      </w:tr>
      <w:tr>
        <w:trPr>
          <w:trHeight w:val="270"/>
        </w:trPr>
        <w:tc>
          <w:tcPr>
            <w:tcW w:w="2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20" w:type="dxa"/>
            <w:vAlign w:val="bottom"/>
            <w:tcBorders>
              <w:bottom w:val="single" w:sz="8" w:color="CCEEFF"/>
            </w:tcBorders>
          </w:tcPr>
          <w:p>
            <w:pPr>
              <w:spacing w:after="0"/>
              <w:rPr>
                <w:sz w:val="2"/>
                <w:szCs w:val="2"/>
                <w:color w:val="auto"/>
              </w:rPr>
            </w:pPr>
          </w:p>
        </w:tc>
        <w:tc>
          <w:tcPr>
            <w:tcW w:w="8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89"/>
              </w:rPr>
              <w:t>(amounts in thousands)</w:t>
            </w:r>
          </w:p>
        </w:tc>
      </w:tr>
      <w:tr>
        <w:trPr>
          <w:trHeight w:val="243"/>
        </w:trPr>
        <w:tc>
          <w:tcPr>
            <w:tcW w:w="20" w:type="dxa"/>
            <w:vAlign w:val="bottom"/>
          </w:tcPr>
          <w:p>
            <w:pPr>
              <w:spacing w:after="0"/>
              <w:rPr>
                <w:sz w:val="21"/>
                <w:szCs w:val="21"/>
                <w:color w:val="auto"/>
              </w:rPr>
            </w:pPr>
          </w:p>
        </w:tc>
        <w:tc>
          <w:tcPr>
            <w:tcW w:w="8760" w:type="dxa"/>
            <w:vAlign w:val="bottom"/>
          </w:tcPr>
          <w:p>
            <w:pPr>
              <w:ind w:left="20"/>
              <w:spacing w:after="0"/>
              <w:rPr>
                <w:sz w:val="20"/>
                <w:szCs w:val="20"/>
                <w:color w:val="auto"/>
              </w:rPr>
            </w:pPr>
            <w:r>
              <w:rPr>
                <w:rFonts w:ascii="Arial" w:cs="Arial" w:eastAsia="Arial" w:hAnsi="Arial"/>
                <w:sz w:val="18"/>
                <w:szCs w:val="18"/>
                <w:b w:val="1"/>
                <w:bCs w:val="1"/>
                <w:color w:val="auto"/>
              </w:rPr>
              <w:t>Amounts Included in Consolidated Statements of Operations:</w:t>
            </w: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6,592</w:t>
            </w:r>
          </w:p>
        </w:tc>
      </w:tr>
      <w:tr>
        <w:trPr>
          <w:trHeight w:val="243"/>
        </w:trPr>
        <w:tc>
          <w:tcPr>
            <w:tcW w:w="20" w:type="dxa"/>
            <w:vAlign w:val="bottom"/>
          </w:tcPr>
          <w:p>
            <w:pPr>
              <w:spacing w:after="0"/>
              <w:rPr>
                <w:sz w:val="21"/>
                <w:szCs w:val="21"/>
                <w:color w:val="auto"/>
              </w:rPr>
            </w:pPr>
          </w:p>
        </w:tc>
        <w:tc>
          <w:tcPr>
            <w:tcW w:w="8760" w:type="dxa"/>
            <w:vAlign w:val="bottom"/>
          </w:tcPr>
          <w:p>
            <w:pPr>
              <w:ind w:left="160"/>
              <w:spacing w:after="0"/>
              <w:rPr>
                <w:sz w:val="20"/>
                <w:szCs w:val="20"/>
                <w:color w:val="auto"/>
              </w:rPr>
            </w:pPr>
            <w:r>
              <w:rPr>
                <w:rFonts w:ascii="Arial" w:cs="Arial" w:eastAsia="Arial" w:hAnsi="Arial"/>
                <w:sz w:val="18"/>
                <w:szCs w:val="18"/>
                <w:color w:val="auto"/>
              </w:rPr>
              <w:t>Short-term lease expense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8,042</w:t>
            </w: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and other lease costs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2,446</w:t>
            </w:r>
          </w:p>
        </w:tc>
      </w:tr>
      <w:tr>
        <w:trPr>
          <w:trHeight w:val="27"/>
        </w:trPr>
        <w:tc>
          <w:tcPr>
            <w:tcW w:w="20" w:type="dxa"/>
            <w:vAlign w:val="bottom"/>
            <w:shd w:val="clear" w:color="auto" w:fill="CCEEFF"/>
          </w:tcPr>
          <w:p>
            <w:pPr>
              <w:spacing w:after="0"/>
              <w:rPr>
                <w:sz w:val="2"/>
                <w:szCs w:val="2"/>
                <w:color w:val="auto"/>
              </w:rPr>
            </w:pPr>
          </w:p>
        </w:tc>
        <w:tc>
          <w:tcPr>
            <w:tcW w:w="8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lease expense, short-term lease expense, and variable and other lease costs are included in selling, general and administrative expenses and direct operating expenses in the consolidated statements of operations, depending on the nature of the leased asset. In the third quarter of 2019, the Company ceased use of several facilities and is in the process of seeking to sublet some of the space where possible. The decision and change in the use of space resulted in a right-of-use asset impairment charge of $1.2 million, included in impairment charges in the consolidated statements of operations. See Note 11 - Fair Value Measurements.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2019, the Company does not have any material operating leases which have not yet commenced. The Company has an immaterial amount of finance lease contracts related to other equipment rentals which are not included in the above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00"/>
          </w:cols>
          <w:pgMar w:left="240" w:top="337"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financial assets/liabilities required to be measured on a recurring basis were its: (i) deferred compensation asset included in other non-current assets; (ii) deferred compensation liability included in other long-term liabilities; (iii) interest rate swap agreement included in other current and other long-term liabilities as of December 31, 2018; and (iv) contingent consideration liabilities.</w:t>
      </w:r>
    </w:p>
    <w:p>
      <w:pPr>
        <w:spacing w:after="0" w:line="1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assets and liabilities. The Company’s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assets and liabilities are measured using publicly available indices, as per the plan documents.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Interest rate swap agreement</w:t>
      </w:r>
      <w:r>
        <w:rPr>
          <w:rFonts w:ascii="Arial" w:cs="Arial" w:eastAsia="Arial" w:hAnsi="Arial"/>
          <w:sz w:val="18"/>
          <w:szCs w:val="18"/>
          <w:color w:val="auto"/>
        </w:rPr>
        <w:t>—The Company utilized Level 2 inputs to value its interest rate swap agreement through the date of its termination. See Note 8 -</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Note 9 - Derivatives.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Contingent consideration liabilities</w:t>
      </w:r>
      <w:r>
        <w:rPr>
          <w:rFonts w:ascii="Arial" w:cs="Arial" w:eastAsia="Arial" w:hAnsi="Arial"/>
          <w:sz w:val="17"/>
          <w:szCs w:val="17"/>
          <w:color w:val="auto"/>
        </w:rPr>
        <w:t>—Potential earnout payments related to the acquisition of Mediscan were contingent upon meeting certain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through 2019. The long-term portion of $4.9 million and $7.4 million as of December 31, 2019 and 2018, respectively, is reflected as contingent consideration and the short-term portion of $2.4 million and $0.3 million as of December 31, 2019 and 2018, respectively, is included in other current liabilities in the consolidated balance sheets. As of December 31, 2018, the Company utilized Level 3 inputs to value the contingent consideration as significant unobservable inputs were used in the calculation of their fair value. The liability had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As of December 31, 2019, due to the end of the earnout period, the Company measured the fair value of the liability based on the expected payout. See Note 4 - Acquisitions.</w:t>
      </w:r>
    </w:p>
    <w:p>
      <w:pPr>
        <w:spacing w:after="0" w:line="1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fair value of contingent consideration is expected to be finalized in the first quarter of 2020 and adjusted when the actual settlement occurs with any changes reflected as acquisition-related contingent consideration 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3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Fair Value Measurements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2019</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 asset</w:t>
            </w:r>
          </w:p>
        </w:tc>
        <w:tc>
          <w:tcPr>
            <w:tcW w:w="3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vMerge w:val="continue"/>
          </w:tcPr>
          <w:p>
            <w:pPr>
              <w:spacing w:after="0"/>
              <w:rPr>
                <w:sz w:val="20"/>
                <w:szCs w:val="20"/>
                <w:color w:val="auto"/>
              </w:rPr>
            </w:pPr>
          </w:p>
        </w:tc>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(Level 1)</w:t>
            </w:r>
          </w:p>
        </w:tc>
        <w:tc>
          <w:tcPr>
            <w:tcW w:w="2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760" w:type="dxa"/>
            <w:vAlign w:val="bottom"/>
          </w:tcPr>
          <w:p>
            <w:pPr>
              <w:ind w:left="280"/>
              <w:spacing w:after="0"/>
              <w:rPr>
                <w:sz w:val="20"/>
                <w:szCs w:val="20"/>
                <w:color w:val="auto"/>
              </w:rPr>
            </w:pPr>
            <w:r>
              <w:rPr>
                <w:rFonts w:ascii="Arial" w:cs="Arial" w:eastAsia="Arial" w:hAnsi="Arial"/>
                <w:sz w:val="18"/>
                <w:szCs w:val="18"/>
                <w:color w:val="auto"/>
              </w:rPr>
              <w:t>Deferred compensation liability</w:t>
            </w:r>
          </w:p>
        </w:tc>
        <w:tc>
          <w:tcPr>
            <w:tcW w:w="3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2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760" w:type="dxa"/>
            <w:vAlign w:val="bottom"/>
          </w:tcPr>
          <w:p>
            <w:pPr>
              <w:ind w:left="280"/>
              <w:spacing w:after="0"/>
              <w:rPr>
                <w:sz w:val="20"/>
                <w:szCs w:val="20"/>
                <w:color w:val="auto"/>
              </w:rPr>
            </w:pPr>
            <w:r>
              <w:rPr>
                <w:rFonts w:ascii="Arial" w:cs="Arial" w:eastAsia="Arial" w:hAnsi="Arial"/>
                <w:sz w:val="18"/>
                <w:szCs w:val="18"/>
                <w:color w:val="auto"/>
              </w:rPr>
              <w:t>Interest rate swap agreement</w:t>
            </w:r>
          </w:p>
        </w:tc>
        <w:tc>
          <w:tcPr>
            <w:tcW w:w="3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3)</w:t>
            </w:r>
          </w:p>
        </w:tc>
        <w:tc>
          <w:tcPr>
            <w:tcW w:w="2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2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760" w:type="dxa"/>
            <w:vAlign w:val="bottom"/>
          </w:tcPr>
          <w:p>
            <w:pPr>
              <w:ind w:left="280"/>
              <w:spacing w:after="0"/>
              <w:rPr>
                <w:sz w:val="20"/>
                <w:szCs w:val="20"/>
                <w:color w:val="auto"/>
              </w:rPr>
            </w:pPr>
            <w:r>
              <w:rPr>
                <w:rFonts w:ascii="Arial" w:cs="Arial" w:eastAsia="Arial" w:hAnsi="Arial"/>
                <w:sz w:val="18"/>
                <w:szCs w:val="18"/>
                <w:color w:val="auto"/>
              </w:rPr>
              <w:t>Contingent consideration liabilities</w:t>
            </w:r>
          </w:p>
        </w:tc>
        <w:tc>
          <w:tcPr>
            <w:tcW w:w="3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7,300</w:t>
            </w:r>
          </w:p>
        </w:tc>
        <w:tc>
          <w:tcPr>
            <w:tcW w:w="2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760" w:type="dxa"/>
            <w:vAlign w:val="bottom"/>
          </w:tcPr>
          <w:p>
            <w:pPr>
              <w:spacing w:after="0"/>
              <w:rPr>
                <w:sz w:val="24"/>
                <w:szCs w:val="24"/>
                <w:color w:val="auto"/>
              </w:rPr>
            </w:pPr>
          </w:p>
        </w:tc>
        <w:tc>
          <w:tcPr>
            <w:tcW w:w="3140" w:type="dxa"/>
            <w:vAlign w:val="bottom"/>
            <w:gridSpan w:val="2"/>
          </w:tcPr>
          <w:p>
            <w:pPr>
              <w:jc w:val="right"/>
              <w:ind w:right="1000"/>
              <w:spacing w:after="0"/>
              <w:rPr>
                <w:sz w:val="20"/>
                <w:szCs w:val="20"/>
                <w:color w:val="auto"/>
              </w:rPr>
            </w:pPr>
            <w:r>
              <w:rPr>
                <w:rFonts w:ascii="Arial" w:cs="Arial" w:eastAsia="Arial" w:hAnsi="Arial"/>
                <w:sz w:val="18"/>
                <w:szCs w:val="18"/>
                <w:color w:val="auto"/>
              </w:rPr>
              <w:t>F- 31</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opening balances of contingent consideration liabilities are reconciled to the closing balances for fair value measurements of these liabilities categorized within Level 3 of the fair value hierarchy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Contingent Consideration</w:t>
            </w:r>
          </w:p>
        </w:tc>
      </w:tr>
      <w:tr>
        <w:trPr>
          <w:trHeight w:val="270"/>
        </w:trPr>
        <w:tc>
          <w:tcPr>
            <w:tcW w:w="8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Liabilities</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center"/>
              <w:ind w:right="131"/>
              <w:spacing w:after="0"/>
              <w:rPr>
                <w:sz w:val="20"/>
                <w:szCs w:val="20"/>
                <w:color w:val="auto"/>
              </w:rPr>
            </w:pPr>
            <w:r>
              <w:rPr>
                <w:rFonts w:ascii="Arial" w:cs="Arial" w:eastAsia="Arial" w:hAnsi="Arial"/>
                <w:sz w:val="16"/>
                <w:szCs w:val="16"/>
                <w:color w:val="auto"/>
                <w:w w:val="89"/>
              </w:rPr>
              <w:t>(amounts in thousands)</w:t>
            </w:r>
          </w:p>
        </w:tc>
      </w:tr>
      <w:tr>
        <w:trPr>
          <w:trHeight w:val="338"/>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Valuation adjustment</w:t>
            </w:r>
          </w:p>
        </w:tc>
        <w:tc>
          <w:tcPr>
            <w:tcW w:w="220" w:type="dxa"/>
            <w:vAlign w:val="bottom"/>
          </w:tcPr>
          <w:p>
            <w:pPr>
              <w:spacing w:after="0"/>
              <w:rPr>
                <w:sz w:val="21"/>
                <w:szCs w:val="21"/>
                <w:color w:val="auto"/>
              </w:rPr>
            </w:pPr>
          </w:p>
        </w:tc>
        <w:tc>
          <w:tcPr>
            <w:tcW w:w="2400" w:type="dxa"/>
            <w:vAlign w:val="bottom"/>
          </w:tcPr>
          <w:p>
            <w:pPr>
              <w:jc w:val="right"/>
              <w:ind w:right="11"/>
              <w:spacing w:after="0"/>
              <w:rPr>
                <w:sz w:val="20"/>
                <w:szCs w:val="20"/>
                <w:color w:val="auto"/>
              </w:rPr>
            </w:pPr>
            <w:r>
              <w:rPr>
                <w:rFonts w:ascii="Arial" w:cs="Arial" w:eastAsia="Arial" w:hAnsi="Arial"/>
                <w:sz w:val="18"/>
                <w:szCs w:val="18"/>
                <w:color w:val="auto"/>
              </w:rPr>
              <w:t>1,698</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Valuation adjustment</w:t>
            </w:r>
          </w:p>
        </w:tc>
        <w:tc>
          <w:tcPr>
            <w:tcW w:w="22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7,300</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2260"/>
        <w:spacing w:after="0" w:line="264" w:lineRule="auto"/>
        <w:rPr>
          <w:sz w:val="20"/>
          <w:szCs w:val="20"/>
          <w:color w:val="auto"/>
        </w:rPr>
      </w:pPr>
      <w:r>
        <w:rPr>
          <w:rFonts w:ascii="Arial" w:cs="Arial" w:eastAsia="Arial" w:hAnsi="Arial"/>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an evaluation of goodwill, trade names, and other intangible assets during the fourth quarter of 2019, the Company determined that the fair value of its reporting units and indefinite-lived intangible assets exceeded their carrying value and concluded that no impairment of goodwill or the indefinite-lived trade name was warranted. During the fourth quarter of 2018 and 2017, the carrying value of goodwill and trade names in the Physician Staffing reporting unit exceeded their fair values. As a result, the Company recorded impairment charges that incorporated fair value measurements based on Level 3 inputs.</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second quarter of 2019, the Company eliminated certain of its brands as part of a rebranding strategy. and as a result, recorded impairment charges of $14.5 million related to its trade names in Nurse and Allied Staffing. See Note 5 - Goodwill, Trade Names, and Other Intangible Assets.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the third quarter of 2019, the Company ceased use of several facilities and is in the process of seeking to sublet some of the space where possible. The decision and change in the use of space resulted in a right-of-use asset impairment charge of $1.2 million. This loss was determined by comparing the fair value of the impacted right-of-use assets to the carrying value of the assets as of the impairment measurement date, in accordance with the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Topic of the FASB ASC. The fair value of the right-of-use asset was based on the estimated sublease income for the space taking into</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the time period it will take to obtain a subtenant, the applicable discount rate, and the sublease rate. Furthermore, the Company wrote-off $0.6 million of leasehold improvements and other property and equipment related to these locations. The measurement of the right-of-use asset impairments, using the assumptions described, is a Level 3 measurement.</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Impairment charges in the consolidated statements of operations include impairment of the trade names, the right-of use assets, leasehold improvements, and property and equipment, and totaled $16.3 million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Financial instruments not measured or recorded at fair value in the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24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 (continued)</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instruments. The carrying amount of the Company's Senior Secured Asset-Based Loan approximates fair value because the interest rates are variable and reflective of market rates. The estimated fair value of the Company’s Term Loan was calculated using a discounted cash flow analysis and appropriate valuation methodologies using Level 2 inputs from available market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and estimated fair value of the Company’s significant financial instruments that were not measured at fair value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5"/>
          </w:tcPr>
          <w:p>
            <w:pPr>
              <w:ind w:left="72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Pr>
          <w:p>
            <w:pPr>
              <w:spacing w:after="0"/>
              <w:rPr>
                <w:sz w:val="20"/>
                <w:szCs w:val="20"/>
                <w:color w:val="auto"/>
              </w:rPr>
            </w:pPr>
          </w:p>
        </w:tc>
        <w:tc>
          <w:tcPr>
            <w:tcW w:w="312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Fair</w:t>
            </w:r>
          </w:p>
        </w:tc>
        <w:tc>
          <w:tcPr>
            <w:tcW w:w="2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Carrying</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5"/>
            <w:shd w:val="clear" w:color="auto" w:fill="CCEEFF"/>
          </w:tcPr>
          <w:p>
            <w:pPr>
              <w:ind w:left="580"/>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304"/>
        </w:trPr>
        <w:tc>
          <w:tcPr>
            <w:tcW w:w="4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Senior Secured Asset-Based Loan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70,974</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70,974</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 Loan,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83,179</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81,800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invested its excess cash in highly-rated overnight funds and other highly-rated liquid accounts. The Company is exposed to credit risk associated with these investments, as the cash balances typically exceed the current Federal Deposit Insurance Corporation limit of $250,000.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historical collection experience. The Company writes off specific accounts based on an ongoing review of collectability as well as past experience with the customer. The Company’s contract terms typically require payment between 30 to 60 days from the date of invoice and are considered past due based on the particular negotiated contract terms. Overall, based on the large number of customers in differing geographic areas, primarily throughout the U.S. and its territories, the Company believes the concentration of credit risk is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Contributions by the Company, net of forfeitures, under this plan were $1.1 million, $0.8 million, and $0.7 million for the years ended December 31, 2019, 2018, and 2017, respectively. Eligible employees who elect to participate in the plan are generally vested in any existing matching contribution after three years of service with the Company.</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maintains a 2003 Deferred Compensation Plan and a 2017 Nonqualified Deferred Compensation Plan, each an unfunded non-qualified deferred compensation arrangement, intended to comply with Section 409A of the Internal Revenue Code of 1986, as amended, or the Code. Under the deferred compensation plans, certain designated key employees may elect to defer the receipt of a portion of their annual base salary, bonus and commission to the deferred compensation plans. Generally, payments under the deferred compensation plans automatically commence upon a participant’s retirement, termination of employment or death during employment. Under certain circumstances described in the deferred compensation plans, participants may receive distributions during employment. In connection with the 2017 Deferred Compensation Plan, the Company elected to invest in amounts consistent with the participants' choices of allocations to funds. Participants of the deferred compensation plans are the Company’s unsecured general creditors with respect to the deferred compensation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243"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 (continued)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benefits. The liability for the deferred compensation is included in other long-term liabilities in the consolidated balance sheets and were $2.2 million and $1.7 million at December 31,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a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the second quarter of 2019, the Company recorded $1.6 million in legal settlement charges related to the resolution of a medical malpractice lawsuit, as well as a 2019 California wage and hour class action settlement agreement. The Company believes the outcome of any outstanding loss contingencies as of December 31, 2019 will not have a material adverse effect on its business, financial condition, results of operations, or cash flows. In October 2019, the Company received a grand jury subpoena directed to Advantage On Call whose assets were purchased by Cross Country Healthcare, Inc. in 2017. The subpoena appears to relate to an investigation of home healthcare services and healthcare staffing services. The Company is cooperating with the investigation.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U.S. which may result in assessments of additional taxes. The Company accrues sales and other non-income tax liabilities based on the best estimate of its probable liability utilizing currently available information and interpretation of relevant tax regulations. Non-income tax expense is included in selling, general and administrative expenses in the consolidated statements of operations and the liability is reflected in sales tax payable within other current liabilities in the consolidated balance sheets.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00"/>
          </w:cols>
          <w:pgMar w:left="240" w:top="337"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14. Income Taxes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w w:val="94"/>
              </w:rPr>
              <w:t>The components of the Company's (loss) income before income taxes are as follows:</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the Company’s income tax expense (benefit)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r>
      <w:tr>
        <w:trPr>
          <w:trHeight w:val="27"/>
        </w:trPr>
        <w:tc>
          <w:tcPr>
            <w:tcW w:w="3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3820" w:type="dxa"/>
            <w:vAlign w:val="bottom"/>
          </w:tcPr>
          <w:p>
            <w:pPr>
              <w:spacing w:after="0"/>
              <w:rPr>
                <w:sz w:val="20"/>
                <w:szCs w:val="20"/>
                <w:color w:val="auto"/>
              </w:rPr>
            </w:pPr>
          </w:p>
        </w:tc>
        <w:tc>
          <w:tcPr>
            <w:tcW w:w="3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38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Current:</w:t>
            </w:r>
          </w:p>
        </w:tc>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58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State</w:t>
            </w:r>
          </w:p>
        </w:tc>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3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7"/>
        </w:trPr>
        <w:tc>
          <w:tcPr>
            <w:tcW w:w="38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17,406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(23,245)</w:t>
            </w:r>
          </w:p>
        </w:tc>
      </w:tr>
      <w:tr>
        <w:trPr>
          <w:trHeight w:val="27"/>
        </w:trPr>
        <w:tc>
          <w:tcPr>
            <w:tcW w:w="38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13,799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(10,684)</w:t>
            </w: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Foreign</w:t>
            </w:r>
          </w:p>
        </w:tc>
        <w:tc>
          <w:tcPr>
            <w:tcW w:w="2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38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31,159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(33,812)</w:t>
            </w: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58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31,732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(34,501)</w:t>
            </w:r>
          </w:p>
        </w:tc>
      </w:tr>
      <w:tr>
        <w:trPr>
          <w:trHeight w:val="20"/>
        </w:trPr>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35"/>
        </w:trPr>
        <w:tc>
          <w:tcPr>
            <w:tcW w:w="3820" w:type="dxa"/>
            <w:vAlign w:val="bottom"/>
          </w:tcPr>
          <w:p>
            <w:pPr>
              <w:spacing w:after="0"/>
              <w:rPr>
                <w:sz w:val="24"/>
                <w:szCs w:val="24"/>
                <w:color w:val="auto"/>
              </w:rPr>
            </w:pPr>
          </w:p>
        </w:tc>
        <w:tc>
          <w:tcPr>
            <w:tcW w:w="3580" w:type="dxa"/>
            <w:vAlign w:val="bottom"/>
            <w:gridSpan w:val="2"/>
          </w:tcPr>
          <w:p>
            <w:pPr>
              <w:jc w:val="right"/>
              <w:ind w:right="1410"/>
              <w:spacing w:after="0"/>
              <w:rPr>
                <w:sz w:val="20"/>
                <w:szCs w:val="20"/>
                <w:color w:val="auto"/>
              </w:rPr>
            </w:pPr>
            <w:r>
              <w:rPr>
                <w:rFonts w:ascii="Arial" w:cs="Arial" w:eastAsia="Arial" w:hAnsi="Arial"/>
                <w:sz w:val="18"/>
                <w:szCs w:val="18"/>
                <w:color w:val="auto"/>
              </w:rPr>
              <w:t>F- 35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income taxes reflect the Company's net tax effect of temporary differences between the carrying amount of assets and liabilities for financial reporting purposes and the amounts used for income tax purposes.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4"/>
            <w:shd w:val="clear" w:color="auto" w:fill="CCEEFF"/>
          </w:tcPr>
          <w:p>
            <w:pPr>
              <w:jc w:val="right"/>
              <w:ind w:right="910"/>
              <w:spacing w:after="0"/>
              <w:rPr>
                <w:sz w:val="20"/>
                <w:szCs w:val="20"/>
                <w:color w:val="auto"/>
              </w:rPr>
            </w:pPr>
            <w:r>
              <w:rPr>
                <w:rFonts w:ascii="Arial" w:cs="Arial" w:eastAsia="Arial" w:hAnsi="Arial"/>
                <w:sz w:val="16"/>
                <w:szCs w:val="16"/>
                <w:color w:val="auto"/>
              </w:rPr>
              <w:t>(amounts in thousands)</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other and prepaid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28,889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19,796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professional liability claims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Accrued workers’ compensation claims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5"/>
                <w:shd w:val="clear" w:color="auto" w:fill="CCEEFF"/>
              </w:rPr>
              <w:t>Share-based compensation</w:t>
            </w:r>
          </w:p>
        </w:tc>
        <w:tc>
          <w:tcPr>
            <w:tcW w:w="5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 carryforwards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36,415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(37,345)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35,226</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Indefinite intangibles (a)</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Tax on unrepatriated earnings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0" w:type="dxa"/>
            <w:vAlign w:val="bottom"/>
          </w:tcPr>
          <w:p>
            <w:pPr>
              <w:spacing w:after="0"/>
              <w:rPr>
                <w:sz w:val="1"/>
                <w:szCs w:val="1"/>
                <w:color w:val="auto"/>
              </w:rPr>
            </w:pP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Net deferred taxes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58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58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the valuation allowance recorded in 2019, the Company changed its presentation of deferred tax assets and liabilities related to indefinite-lived intangibles to conform with the methodology used in calculating the valuation allowance.</w:t>
      </w:r>
    </w:p>
    <w:p>
      <w:pPr>
        <w:spacing w:after="0" w:line="17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 of June 30, 2019, the Company assessed the available positive and negative evidence to estimate whether sufficient future taxable income will be generated to permit realization of its existing deferred tax assets. A significant piece of objective negative evidence evaluated was the cumulative loss incurred over the three-year period ended June 30, 2019. On the basis of all evidence evaluated as of June 30, 2019, the Company recorded an additional valuation allowance of $36.0 million ($35.8 million of which was recorded as income tax expense and $0.2 million as a reduction of other comprehensive income) to reduce the portion of the deferred tax asset that is not more likely than not to be realized. As of December 31, 2019, the Company maintained a valuation allowance of $37.3 million.</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 ended December 31, 2018, the Company maintained a valuation allowance of $1.2 million on a portion of state net operating losses not more likely than not realizable.</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year ended December 31, 2017, predominantly on the basis of a reassessment of the amount of its deferred tax assets that are more likely than not to be realized, the Company reduced its valuation allowance by $45.4 million (comprised of $15.7 million related to U.S. net operating losses, $4.4 million related to state net operating losses, and $25.3 million related to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24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net deferred tax assets). The Company maintained a valuation allowance on a portion of state net operating losses not more likely than not realizable.</w:t>
      </w:r>
    </w:p>
    <w:p>
      <w:pPr>
        <w:spacing w:after="0" w:line="2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December 22, 2017, the 2017 Tax Act was signed into legislation which, among other changes, reduced the corporate federal income tax rate from 35% to 21% effective for the Company's year ended December 31, 2018. The Company recorded income tax expense of $8.0 million, primarily due to a re-measurement of its deferred tax assets and liabilities in the fourth</w:t>
      </w:r>
    </w:p>
    <w:p>
      <w:pPr>
        <w:ind w:right="160"/>
        <w:spacing w:after="0" w:line="261" w:lineRule="auto"/>
        <w:rPr>
          <w:sz w:val="20"/>
          <w:szCs w:val="20"/>
          <w:color w:val="auto"/>
        </w:rPr>
      </w:pPr>
      <w:r>
        <w:rPr>
          <w:rFonts w:ascii="Arial" w:cs="Arial" w:eastAsia="Arial" w:hAnsi="Arial"/>
          <w:sz w:val="18"/>
          <w:szCs w:val="18"/>
          <w:color w:val="auto"/>
        </w:rPr>
        <w:t>quarter of 2017. The impact of the Global Intangible Low-Taxed Income provision, the transition tax on the deemed repatriation of deferred foreign income, and any future tax impact associated with basis differences on foreign subsidiaries were immaterial.</w:t>
      </w:r>
    </w:p>
    <w:p>
      <w:pPr>
        <w:spacing w:after="0" w:line="18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December 31, 2019, the Company had approximately $80.7 million and $132.8 million of federal and state net operating loss carryforwards, respectively, and an immaterial amount of foreign net operating loss carryforwards. The net operating losses expire as follows: federal between 2032 and 2039, state between 2020 and 2039, and foreign between 2020 and 2024. As a result of the 2017 Tax Act, federal and certain state net operating losses generated in 2019 and 2018 carry forward indefinitely.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U.S. federal statutory rate to income tax expense (benefit)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w w:val="96"/>
              </w:rPr>
              <w:t>(amounts in thousands)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at U.S. statutory rate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(5,084)</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items (a)</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tax (benefit) expense</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36,224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Federal rate change</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31,732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Includes non-deductible meals and incidentals, miscellaneous non-deductible items, and beginning in 2018, non-deductible stock-based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3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6"/>
                <w:szCs w:val="16"/>
                <w:color w:val="auto"/>
                <w:w w:val="90"/>
                <w:shd w:val="clear" w:color="auto" w:fill="CCEEFF"/>
              </w:rPr>
              <w:t>(amounts in thousands)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Balance at January 1</w:t>
            </w:r>
          </w:p>
        </w:tc>
        <w:tc>
          <w:tcPr>
            <w:tcW w:w="24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5,412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5,180</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Additions based on tax positions related to the current year</w:t>
            </w: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8"/>
              </w:rPr>
              <w:t>(Reductions) additions based on tax positions related to prior years</w:t>
            </w: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shd w:val="clear" w:color="auto" w:fill="CCEEFF"/>
              </w:rPr>
              <w:t>Reductions based on settlements of tax positions related to prior years</w:t>
            </w: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8"/>
              </w:rPr>
              <w:t>Reductions as a result of a lapse of applicable statute of limitations</w:t>
            </w: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 Tax Act federal tax rate change</w:t>
            </w:r>
          </w:p>
        </w:tc>
        <w:tc>
          <w:tcPr>
            <w:tcW w:w="1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3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December 31</w:t>
            </w:r>
          </w:p>
        </w:tc>
        <w:tc>
          <w:tcPr>
            <w:tcW w:w="24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5,792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5300" w:type="dxa"/>
            <w:vAlign w:val="bottom"/>
          </w:tcPr>
          <w:p>
            <w:pPr>
              <w:spacing w:after="0"/>
              <w:rPr>
                <w:sz w:val="24"/>
                <w:szCs w:val="24"/>
                <w:color w:val="auto"/>
              </w:rPr>
            </w:pPr>
          </w:p>
        </w:tc>
        <w:tc>
          <w:tcPr>
            <w:tcW w:w="2400" w:type="dxa"/>
            <w:vAlign w:val="bottom"/>
            <w:gridSpan w:val="2"/>
          </w:tcPr>
          <w:p>
            <w:pPr>
              <w:jc w:val="right"/>
              <w:ind w:right="1800"/>
              <w:spacing w:after="0"/>
              <w:rPr>
                <w:sz w:val="20"/>
                <w:szCs w:val="20"/>
                <w:color w:val="auto"/>
              </w:rPr>
            </w:pPr>
            <w:r>
              <w:rPr>
                <w:rFonts w:ascii="Arial" w:cs="Arial" w:eastAsia="Arial" w:hAnsi="Arial"/>
                <w:sz w:val="18"/>
                <w:szCs w:val="18"/>
                <w:color w:val="auto"/>
              </w:rPr>
              <w:t>F- 37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243"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Short-term unrecognized tax benefits are included in other current liabilities in the consolidated balance sheets and were $0.1 million as of December 31, 2018 and 2017. There were no short-term unrecognized tax benefits as of December 31, 2019. Long-term unrecognized tax benefits are included in other long-term liabilities in the consolidated balance sheets and were $0.7 million, $0.6 million, and $0.5 million as of December 31, 2019, 2018, and 2017, respectively. See Note 7 - Balance Sheet Details. As of December 31, 2019, 2018, and 2017, the Company had unrecognized tax benefits, which would affect the effective tax rate if recognized, of $6.0 million, $5.6 million, and $4.0 million, respectively.</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During the years ended December 31, 2019 and 2018, interest and penalties were immaterial. During the year ended December 31, 2017, the Company recognized a decrease in interest and penalties of $0.2 million, related to statute expirations. The Company has accrued $0.3 million for the payment of interest and penalties at December 31, 2019 and 2018, and $0.2 million at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Tax years 2012 through 2018 remain open to examination by certain taxing jurisdictions to which the Company is subject to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an authorized share repurchase program, during the year ended December 31, 2018, the Company repurchased and retired 432,439 shares of its Common Stock for $5.0 million, at an average market price of $11.54 per share. During the years ended December 31, 2019 and 2017, the Company did not repurchase any shares of its Common Stock under this program.</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December 31, 2019, the Company has 510,004 shares of Common Stock under the current share repurchase program available to repurchase, subject to certain conditions in the Company's Loan Agreement. The Company may repurchase up to an aggregate amount not to exceed $5.0 million in any fiscal year, or an unlimited amount if the Company meets certain conditions as described in its ABL Credit Agreement.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17, 2017, the Company issued 3,175,584 shares to its prior Convertible Notes noteholders. See Note 8 -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Company's 2014 Omnibus Incentive Plan (2014 Plan) provides for the issuance of stock options, stock appreciation rights, restricted stock, performance shares, and performance-based cash awards that may be granted with the intent to comply with the “performance-based compensation” exception under Section 162(m) of the Internal Revenue Code, and other stock-based awards, all as defined by the 2014 Plan, to eligible employees, consultants and non-employee Directors. On May 23, 2017, the Company's shareholders approved an amendment and restatement of its 2014 Plan (2017 Plan) which, among others, included the following modifications: (i) a 2,000,000 share increase of the aggregate share reserve to 6,100,000 shares; (ii) extension of the 2014 Plan until May 23, 2027; and (iii) re-approval of the Section 162(m) performance goals so that certain incentive awards granted to certain executive officers of the Company may qualify as exempt performance-based compensation. Previously, the limitation did not apply to performance-based awards. However, Section 162(m) of the Internal Revenue Code updated in conjunction with the 2017 Tax Act in November 2018 limits a publicly-held corporation’s federal tax deduction for compensation paid to “covered employees” to $1.0 million per year, for non-performance and performance shares.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Under the 2017 Plan, the Compensation Committee of the Company’s Board of Directors (the Committee), has the discretion to determine the terms of the awards at the time of the grant provided, however, that in the case of stock options and stock appreciation rights (share options): (i) the exercise price per share of the award is not less than 100% (or, in the case of 10% or more stockholders, the exercise price of the incentive stock options (ISOs) granted may not be less than 110%) of the fair market value of the common stock at the time of the grant; and (ii) the term of the award will be no more than 10 years after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24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date the option is granted (or, shall not exceed five years, in the case of a 10% or more stockholder). In the case of restricted stock, the purchase price may be zero to the extent permitted by applicable law.</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Restricted stock awards granted under the Company’s 2017 Plan entitle the holder to receive, at the end of a vesting period, a specified number of shares of the Company’s common stock. Share-based compensation expense is measured by the market value of the Company’s stock on the date of grant. The shares vest ratably over a three year period ending on the anniversary date of the grant, and vesting is subject to the employee's continuing employment. There is no partial vesting and any unvested portion is forfeited. Pursuant to the 2017 Plan, the number of target shares that are issued for performance-based stock awards are determined based on the level of attainment of the targets.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restricted stock awards and performance stock awards activity issued under the 2017 Plan for the year ended December 31, 2019:</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Restricted Stock Awards</w:t>
            </w:r>
          </w:p>
        </w:tc>
        <w:tc>
          <w:tcPr>
            <w:tcW w:w="30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Target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1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January 1, 2019</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589,120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837,099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192,939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7.06</w:t>
            </w:r>
          </w:p>
        </w:tc>
      </w:tr>
      <w:tr>
        <w:trPr>
          <w:trHeight w:val="27"/>
        </w:trPr>
        <w:tc>
          <w:tcPr>
            <w:tcW w:w="5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(331,395)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(98,030)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(193,531)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12.14</w:t>
            </w:r>
          </w:p>
        </w:tc>
      </w:tr>
      <w:tr>
        <w:trPr>
          <w:trHeight w:val="27"/>
        </w:trPr>
        <w:tc>
          <w:tcPr>
            <w:tcW w:w="5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awards, December 31, 2019</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996,794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364,557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r>
      <w:tr>
        <w:trPr>
          <w:trHeight w:val="20"/>
        </w:trPr>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March 31, 2019, 2018, and 2017, the Company awarded performance stock awards totaling 192,939, 238,328, and 181,067, respectively. If the minimum level of performance is attained for the 2019, 2018, and 2017 awards, restricted stock will be issued with a vesting date of March 31, 2022, 2021, and 2020, respectively. The level of attainment will be certified within 30 days of the vest date. During the first quarter of 2017, the Committee approved a 48% level of attainment for the 2016 performance-based share awards, resulting in the issuance of 66,692 performance shares that vested on December 31, 2018.</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2019, the Company had approximately $5.6 million of total unrecognized compensation cost related to non-vested restricted stock awards which may be adjusted for future changes in forfeitures. The Company expects to recognize such cost over a weighted average period of 2.00 years. The fair value of shares vested was approximately $2.6 million, $2.5 million, and $3.7 million for the years ended December 31, 2019, 2018, and 2017, respectively.</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2019, the Company had approximately $0.7 million of total unrecognized compensation cost related to performance stock awards which may be adjusted for future changes in forfeitures. The Company expects to recognize such cost over a weighted average period of 1.57 years, the remaining service period. The fair value of shares vested was $0.5 million and $1.6 million for the years ended December 31, 2018 and 2017, respectively. No shares vested for the year ended December 31, 2019.</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2019, 2018, and 2017, the Company did not issue stock options or stock appreciation rights. The following table represents information about stock options and stock appreciation rights exercised in each year.</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color w:val="auto"/>
                <w:w w:val="90"/>
              </w:rPr>
              <w:t>(amounts in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intrinsic value of options exercised</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stock appreciation rights can only be settled with stock or cash, at the discretion of the Committee. The stock appreciation rights vested 25% per year over a 4 year period and expire after 7 years. The Company’s policy is to issue new shares from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24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 (continued)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authorized but unissued balance of common stock outstanding or shares of common stock reacquired by the Company if stock appreciation rights are settled with stock.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recorded compensation expense for stock options based on the estimated fair value of the options on the date of grant using the Black-Scholes option-pricing model. Due to the adoption of the 2014 Plan (previously titled the 2007 Stock Incentive Plan), no further grants have been issued under the Company’s 1999 Plans referred to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Option Plan and Equity Participation Plan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Company’s activities with respect to all of its share option plans (issued under the 2014 Plan and the 1999 Plan) for the year ended December 31,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(amounts</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Option Price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 (in years)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 thousands)</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options outstanding, January 1, 2019</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51,500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$4.35-$5.21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$4.35-$5.21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260" w:type="dxa"/>
            <w:vAlign w:val="bottom"/>
          </w:tcPr>
          <w:p>
            <w:pPr>
              <w:jc w:val="right"/>
              <w:spacing w:after="0"/>
              <w:rPr>
                <w:sz w:val="20"/>
                <w:szCs w:val="20"/>
                <w:color w:val="auto"/>
              </w:rPr>
            </w:pPr>
            <w:r>
              <w:rPr>
                <w:rFonts w:ascii="Arial" w:cs="Arial" w:eastAsia="Arial" w:hAnsi="Arial"/>
                <w:sz w:val="18"/>
                <w:szCs w:val="18"/>
                <w:color w:val="auto"/>
              </w:rPr>
              <w:t>(11,000)</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$4.35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Share options outstanding and exercisable, December 31,</w:t>
            </w:r>
          </w:p>
        </w:tc>
        <w:tc>
          <w:tcPr>
            <w:tcW w:w="1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As of December 31, 2019, the Company had 8,000 share options outstanding, all of which were vested at a weighted average exercise price of $5.21, intrinsic value of $0.1 million, and a weighted average contractual life of 0.42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F- 40</w:t>
      </w:r>
    </w:p>
    <w:p>
      <w:pPr>
        <w:sectPr>
          <w:pgSz w:w="11900" w:h="16838" w:orient="portrait"/>
          <w:cols w:equalWidth="0" w:num="1">
            <w:col w:w="11420"/>
          </w:cols>
          <w:pgMar w:left="240" w:top="24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the numerator and denominator for the Company's computation of basic and diluted earnings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1"/>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gridSpan w:val="7"/>
            <w:shd w:val="clear" w:color="auto" w:fill="CCEEFF"/>
          </w:tcPr>
          <w:p>
            <w:pPr>
              <w:jc w:val="center"/>
              <w:ind w:right="210"/>
              <w:spacing w:after="0"/>
              <w:rPr>
                <w:sz w:val="20"/>
                <w:szCs w:val="20"/>
                <w:color w:val="auto"/>
              </w:rPr>
            </w:pPr>
            <w:r>
              <w:rPr>
                <w:rFonts w:ascii="Arial" w:cs="Arial" w:eastAsia="Arial" w:hAnsi="Arial"/>
                <w:sz w:val="16"/>
                <w:szCs w:val="16"/>
                <w:color w:val="auto"/>
                <w:w w:val="89"/>
              </w:rPr>
              <w:t>(amounts in thousands, except per share data)</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shareholders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on Convertible Notes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common shareholders - 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(57,713)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36,626</w:t>
            </w:r>
          </w:p>
        </w:tc>
      </w:tr>
      <w:tr>
        <w:trPr>
          <w:trHeight w:val="31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Effective of diluted shares: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awards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723</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 Diluted</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35,815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35,657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36,166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attributable to common shareholders -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 attributable to common shareholders -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the years 2019, 2018, and 2017, no tax benefits were assumed in the weighted average share calculation due to the Company's net operating loss position.</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represents the securities that could potentially dilute net income per share attributable to common shareholders in the future that were not included in the computation of diluted net income per share attributable to common shareholders because to do so would have been anti-dilutive for the periods presented.</w:t>
      </w:r>
    </w:p>
    <w:p>
      <w:pPr>
        <w:spacing w:after="0" w:line="1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0"/>
              </w:rPr>
              <w:t>(amounts in thousands)</w:t>
            </w:r>
          </w:p>
        </w:tc>
        <w:tc>
          <w:tcPr>
            <w:tcW w:w="1360" w:type="dxa"/>
            <w:vAlign w:val="bottom"/>
            <w:tcBorders>
              <w:bottom w:val="single" w:sz="8" w:color="CCEEFF"/>
            </w:tcBorders>
            <w:shd w:val="clear" w:color="auto" w:fill="CCEEFF"/>
          </w:tcPr>
          <w:p>
            <w:pPr>
              <w:spacing w:after="0"/>
              <w:rPr>
                <w:sz w:val="20"/>
                <w:szCs w:val="20"/>
                <w:color w:val="auto"/>
              </w:rPr>
            </w:pPr>
          </w:p>
        </w:tc>
      </w:tr>
      <w:tr>
        <w:trPr>
          <w:trHeight w:val="264"/>
        </w:trPr>
        <w:tc>
          <w:tcPr>
            <w:tcW w:w="8020" w:type="dxa"/>
            <w:vAlign w:val="bottom"/>
            <w:gridSpan w:val="2"/>
          </w:tcPr>
          <w:p>
            <w:pPr>
              <w:jc w:val="right"/>
              <w:ind w:right="6560"/>
              <w:spacing w:after="0"/>
              <w:rPr>
                <w:sz w:val="20"/>
                <w:szCs w:val="20"/>
                <w:color w:val="auto"/>
              </w:rPr>
            </w:pPr>
            <w:r>
              <w:rPr>
                <w:rFonts w:ascii="Arial" w:cs="Arial" w:eastAsia="Arial" w:hAnsi="Arial"/>
                <w:sz w:val="18"/>
                <w:szCs w:val="18"/>
                <w:color w:val="auto"/>
                <w:w w:val="86"/>
              </w:rPr>
              <w:t>Share-based awards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335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0"/>
        </w:trPr>
        <w:tc>
          <w:tcPr>
            <w:tcW w:w="7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services to entities which are affiliated with certain members of the Company’s Board of Directors, which it believes were conducted on terms equivalent to those prevailing in an arm's-length transaction. Revenue related to these transactions was $0.1 million in both 2019 and 2018, and $4.9 million in 2017. The Company had no accounts receivable due from these entities at December 31, 2019 and a balance due of less than $0.1 million at December 31, 2018.</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 68% ownership interest in Cross Country Talent Acquisition Group, LLC, a joint venture between the Company and a hospital system. The Company generated revenue providing staffing services to the hospital system of $25.0 million, $19.4 million, and $17.9 million in 2019, 2018, and 2017, respectively. At December 31, 2019 and 2018, the Company had a receivable balance of $1.7 million and $2.8 million, respectively, and a payable balance of $0.5 million and $0.3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F- 41</w:t>
      </w:r>
    </w:p>
    <w:p>
      <w:pPr>
        <w:sectPr>
          <w:pgSz w:w="11900" w:h="16838" w:orient="portrait"/>
          <w:cols w:equalWidth="0" w:num="1">
            <w:col w:w="11420"/>
          </w:cols>
          <w:pgMar w:left="2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$0.3 million and $0.4 million, respectively, in rent expense for these premises in 2018 and 2017. In the fourth quarter of 2018, the Company vacated the premises.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reports three business segments – Nurse and Allied Staffing, Physician Staffing, and Search. The Company manages and segments its business based on the services it offers to its customers as described below:</w:t>
      </w:r>
    </w:p>
    <w:p>
      <w:pPr>
        <w:spacing w:after="0" w:line="124" w:lineRule="exact"/>
        <w:rPr>
          <w:sz w:val="20"/>
          <w:szCs w:val="20"/>
          <w:color w:val="auto"/>
        </w:rPr>
      </w:pPr>
    </w:p>
    <w:p>
      <w:pPr>
        <w:ind w:left="660" w:hanging="328"/>
        <w:spacing w:after="0" w:line="255"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Nurse and Allied Staffing - </w:t>
      </w:r>
      <w:r>
        <w:rPr>
          <w:rFonts w:ascii="Arial" w:cs="Arial" w:eastAsia="Arial" w:hAnsi="Arial"/>
          <w:sz w:val="18"/>
          <w:szCs w:val="18"/>
          <w:color w:val="auto"/>
        </w:rPr>
        <w:t>Nurse and Allied Staffing provides traditional staffing, recruiting, and value-added total talent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 care and non-acute care hospitals, government facilities, public schools and charter schools, outpatient clinics, ambulatory care facilities, physician practice groups, retailers, and many other healthcare providers throughout the U.S. Substantially all of the results of the Advantage acquisition has been aggregated with the Company's Nurse and Allied Staffing business segment. See Note 4 - Acquisitions.</w:t>
      </w:r>
    </w:p>
    <w:p>
      <w:pPr>
        <w:spacing w:after="0" w:line="193" w:lineRule="exact"/>
        <w:rPr>
          <w:rFonts w:ascii="Arial" w:cs="Arial" w:eastAsia="Arial" w:hAnsi="Arial"/>
          <w:sz w:val="18"/>
          <w:szCs w:val="18"/>
          <w:i w:val="1"/>
          <w:iCs w:val="1"/>
          <w:color w:val="auto"/>
        </w:rPr>
      </w:pPr>
    </w:p>
    <w:p>
      <w:pPr>
        <w:jc w:val="both"/>
        <w:ind w:left="660" w:right="100" w:hanging="328"/>
        <w:spacing w:after="0" w:line="286" w:lineRule="auto"/>
        <w:tabs>
          <w:tab w:leader="none" w:pos="66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Physician Staffing - </w:t>
      </w:r>
      <w:r>
        <w:rPr>
          <w:rFonts w:ascii="Arial" w:cs="Arial" w:eastAsia="Arial" w:hAnsi="Arial"/>
          <w:sz w:val="17"/>
          <w:szCs w:val="17"/>
          <w:color w:val="auto"/>
        </w:rPr>
        <w:t>Physician Staffing provides physicians in many specialties, as well as certified registered nurse anesthetists, nurse practitioners,</w:t>
      </w:r>
      <w:r>
        <w:rPr>
          <w:rFonts w:ascii="Arial" w:cs="Arial" w:eastAsia="Arial" w:hAnsi="Arial"/>
          <w:sz w:val="17"/>
          <w:szCs w:val="17"/>
          <w:i w:val="1"/>
          <w:iCs w:val="1"/>
          <w:color w:val="auto"/>
        </w:rPr>
        <w:t xml:space="preserve"> </w:t>
      </w:r>
      <w:r>
        <w:rPr>
          <w:rFonts w:ascii="Arial" w:cs="Arial" w:eastAsia="Arial" w:hAnsi="Arial"/>
          <w:sz w:val="17"/>
          <w:szCs w:val="17"/>
          <w:color w:val="auto"/>
        </w:rPr>
        <w:t>and physician assistants as independent contractors on temporary assignments throughout the U.S. at various healthcare facilities, such as acute and non-acute care facilities, medical group practices, government facilities, and managed care organizations.</w:t>
      </w:r>
    </w:p>
    <w:p>
      <w:pPr>
        <w:spacing w:after="0" w:line="165" w:lineRule="exact"/>
        <w:rPr>
          <w:rFonts w:ascii="Arial" w:cs="Arial" w:eastAsia="Arial" w:hAnsi="Arial"/>
          <w:sz w:val="17"/>
          <w:szCs w:val="17"/>
          <w:i w:val="1"/>
          <w:iCs w:val="1"/>
          <w:color w:val="auto"/>
        </w:rPr>
      </w:pPr>
    </w:p>
    <w:p>
      <w:pPr>
        <w:ind w:left="660" w:right="80" w:hanging="328"/>
        <w:spacing w:after="0" w:line="277"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Search - </w:t>
      </w:r>
      <w:r>
        <w:rPr>
          <w:rFonts w:ascii="Arial" w:cs="Arial" w:eastAsia="Arial" w:hAnsi="Arial"/>
          <w:sz w:val="18"/>
          <w:szCs w:val="18"/>
          <w:color w:val="auto"/>
        </w:rPr>
        <w:t>Search includes retained and contingent search services for physicians, healthcare executives, and other healthcare professionals,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recruitment process outsourcing.</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The Company evaluates performance of each segment primarily based on revenue and contribution income. The Company defines contribution income as income or loss from operations before depreciation and amortization, acquisition and integration costs, acquisition-related contingent consideration, restructuring costs, legal settlement charges, impairment charges, and corporate overhead. Contribution income is a financial measure used by the Company when assessing segment performance and is provided 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F- 42</w:t>
      </w:r>
    </w:p>
    <w:p>
      <w:pPr>
        <w:sectPr>
          <w:pgSz w:w="11900" w:h="16838" w:orient="portrait"/>
          <w:cols w:equalWidth="0" w:num="1">
            <w:col w:w="11400"/>
          </w:cols>
          <w:pgMar w:left="240" w:top="243"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Data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(loss)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6"/>
                <w:szCs w:val="16"/>
                <w:color w:val="auto"/>
                <w:w w:val="89"/>
              </w:rPr>
              <w:t>(amounts in thousands)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 from services: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732,815</w:t>
            </w:r>
          </w:p>
        </w:tc>
        <w:tc>
          <w:tcPr>
            <w:tcW w:w="560" w:type="dxa"/>
            <w:vAlign w:val="bottom"/>
            <w:tcBorders>
              <w:bottom w:val="single" w:sz="8" w:color="CCEEFF"/>
            </w:tcBorders>
            <w:gridSpan w:val="3"/>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718,613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756,476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74,605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82,305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93,610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Search</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822,224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816,484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865,048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 (loss):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64,353</w:t>
            </w:r>
          </w:p>
        </w:tc>
        <w:tc>
          <w:tcPr>
            <w:tcW w:w="560" w:type="dxa"/>
            <w:vAlign w:val="bottom"/>
            <w:gridSpan w:val="3"/>
          </w:tcPr>
          <w:p>
            <w:pPr>
              <w:jc w:val="right"/>
              <w:ind w:right="19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66,200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73,825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Search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66,288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78,513</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overhead (a)</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14,075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10,174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Legal settlement charges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14,356</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00" w:firstLine="2"/>
        <w:spacing w:after="0" w:line="277"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second quarter of 2019, the Company merged its permanent search recruitment brands. As a result, for the years ended December 31, 2018 and 2017, $1.7 million and $1.8 million of revenue, respectively, and $0.2 million of contribution income and $0.2 million of contribution loss, respectively, were reclassified from Nurse and Allied Staffing to Search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24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tables contain selected unaudited statements of operations information for each quarter of 2019 and 2018.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First</w:t>
            </w:r>
          </w:p>
        </w:tc>
        <w:tc>
          <w:tcPr>
            <w:tcW w:w="280" w:type="dxa"/>
            <w:vAlign w:val="bottom"/>
          </w:tcPr>
          <w:p>
            <w:pPr>
              <w:spacing w:after="0"/>
              <w:rPr>
                <w:sz w:val="17"/>
                <w:szCs w:val="17"/>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Third</w:t>
            </w:r>
          </w:p>
        </w:tc>
        <w:tc>
          <w:tcPr>
            <w:tcW w:w="28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Fourth</w:t>
            </w: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w:t>
            </w: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195,171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202,757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209,200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215,096</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 (a)</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48,254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51,588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51,006</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53,161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Consolidated net loss</w:t>
            </w:r>
          </w:p>
        </w:tc>
        <w:tc>
          <w:tcPr>
            <w:tcW w:w="2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(51,270)</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(2,697)</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(51,674)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Net loss per share attributable to common shareholders - Basic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common shareholders - Diluted (b)</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33"/>
        </w:trPr>
        <w:tc>
          <w:tcPr>
            <w:tcW w:w="6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First</w:t>
            </w:r>
          </w:p>
        </w:tc>
        <w:tc>
          <w:tcPr>
            <w:tcW w:w="30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Second</w:t>
            </w:r>
          </w:p>
        </w:tc>
        <w:tc>
          <w:tcPr>
            <w:tcW w:w="30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Third</w:t>
            </w:r>
          </w:p>
        </w:tc>
        <w:tc>
          <w:tcPr>
            <w:tcW w:w="280" w:type="dxa"/>
            <w:vAlign w:val="bottom"/>
          </w:tcPr>
          <w:p>
            <w:pPr>
              <w:spacing w:after="0"/>
              <w:rPr>
                <w:sz w:val="17"/>
                <w:szCs w:val="17"/>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Fourth</w:t>
            </w: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Quarter</w:t>
            </w:r>
          </w:p>
        </w:tc>
        <w:tc>
          <w:tcPr>
            <w:tcW w:w="3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Quarter</w:t>
            </w:r>
          </w:p>
        </w:tc>
        <w:tc>
          <w:tcPr>
            <w:tcW w:w="28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Quarter</w:t>
            </w:r>
          </w:p>
        </w:tc>
      </w:tr>
      <w:tr>
        <w:trPr>
          <w:trHeight w:val="33"/>
        </w:trPr>
        <w:tc>
          <w:tcPr>
            <w:tcW w:w="65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0" w:type="dxa"/>
            <w:vAlign w:val="bottom"/>
            <w:gridSpan w:val="6"/>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3800" w:type="dxa"/>
            <w:vAlign w:val="bottom"/>
            <w:tcBorders>
              <w:top w:val="single" w:sz="8" w:color="auto"/>
              <w:bottom w:val="single" w:sz="8" w:color="CCEEFF"/>
            </w:tcBorders>
            <w:gridSpan w:val="6"/>
            <w:shd w:val="clear" w:color="auto" w:fill="CCEEFF"/>
          </w:tcPr>
          <w:p>
            <w:pPr>
              <w:jc w:val="right"/>
              <w:spacing w:after="0"/>
              <w:rPr>
                <w:sz w:val="20"/>
                <w:szCs w:val="20"/>
                <w:color w:val="auto"/>
              </w:rPr>
            </w:pPr>
            <w:r>
              <w:rPr>
                <w:rFonts w:ascii="Arial" w:cs="Arial" w:eastAsia="Arial" w:hAnsi="Arial"/>
                <w:sz w:val="16"/>
                <w:szCs w:val="16"/>
                <w:color w:val="auto"/>
              </w:rPr>
              <w:t>(amounts in thousands, except per share data)</w:t>
            </w: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Revenue from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210,288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204,572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200,717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200,907</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 (a)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53,753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53,689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51,562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50,559</w:t>
            </w: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Consolidated net income (loss)</w:t>
            </w: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1,920</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(19,343)</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(19,691)</w:t>
            </w:r>
          </w:p>
        </w:tc>
      </w:tr>
      <w:tr>
        <w:trPr>
          <w:trHeight w:val="237"/>
        </w:trPr>
        <w:tc>
          <w:tcPr>
            <w:tcW w:w="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common shareholders - Basic (b)</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0.05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(0.55)</w:t>
            </w:r>
          </w:p>
        </w:tc>
      </w:tr>
      <w:tr>
        <w:trPr>
          <w:trHeight w:val="33"/>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common shareholders - Diluted (b)</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________________</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8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depreciation and amortization.</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 the quarterly per share amounts may not equal amounts reported for year-to-date due to the effects of rounding and changes in the number of weighted average shares outstanding used in the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are the most significant items that impact the comparability and presentation of our consolidated data:</w:t>
      </w:r>
    </w:p>
    <w:p>
      <w:pPr>
        <w:spacing w:after="0" w:line="225" w:lineRule="exact"/>
        <w:rPr>
          <w:sz w:val="20"/>
          <w:szCs w:val="20"/>
          <w:color w:val="auto"/>
        </w:rPr>
      </w:pPr>
    </w:p>
    <w:p>
      <w:pPr>
        <w:ind w:left="820" w:right="140" w:hanging="326"/>
        <w:spacing w:after="0" w:line="25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second and third quarter of 2019, the Company recorded non-cash impairment charges of $14.5 million related to the trade names of Nurse and Allied Staffing, and $1.8 million related to ceasing use of certain leased properties, respectively. During the fourth quarter of 2018, the Company recorded non-cash impairment charges of $22.4 million related to the goodwill and trade names of Physician Staffing. See Note 5 - Goodwill, Trade Names, and Other Intangible Assets.</w:t>
      </w:r>
    </w:p>
    <w:p>
      <w:pPr>
        <w:spacing w:after="0" w:line="2"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accelerated certain finite-lived trade names as part of a rebranding strategy. This resulted in additional amortization expense related to the Company's Nurse and Allied Staffing segment in the second and fourth quarters of $0.1 million and $2.0 million, respectively, and in the second and third quarters, $0.5 million and $0.3 million, respectively, related to the Physician Staffing segment.</w:t>
      </w:r>
    </w:p>
    <w:p>
      <w:pPr>
        <w:spacing w:after="0" w:line="1" w:lineRule="exact"/>
        <w:rPr>
          <w:rFonts w:ascii="Arial" w:cs="Arial" w:eastAsia="Arial" w:hAnsi="Arial"/>
          <w:sz w:val="18"/>
          <w:szCs w:val="18"/>
          <w:color w:val="auto"/>
        </w:rPr>
      </w:pPr>
    </w:p>
    <w:p>
      <w:pPr>
        <w:ind w:left="820" w:right="840" w:hanging="326"/>
        <w:spacing w:after="0" w:line="250"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second quarter of 2019, the Company recorded $1.6 million in legal settlement charges related to the resolution of a medical malpractice lawsuit and settlement of a wage and hour class action lawsuit.</w:t>
      </w:r>
    </w:p>
    <w:p>
      <w:pPr>
        <w:ind w:left="820" w:right="240" w:hanging="326"/>
        <w:spacing w:after="0" w:line="265"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fourth quarter of 2019, the Company wrote off debt issuance costs related to a reduction in borrowing capacity on its prior revolving credit facility and recognized a loss on early extinguishment of debt related to its refinancing of $1.5 million. See Note 8 - Debt.</w:t>
      </w:r>
    </w:p>
    <w:p>
      <w:pPr>
        <w:ind w:left="820" w:right="340" w:hanging="326"/>
        <w:spacing w:after="0" w:line="302" w:lineRule="auto"/>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incurred applicant tracking system expenses related to its project to replace its legacy system supporting its travel nurse staffing business. In the third and fourth quarters of 2018, the Company recorded expenses of $0.2 million and $0.5 million, respectively. In the first quarter of 2019, the Company recorded expenses of $1.1 million, and recorded costs in each of the remaining three quarters of $0.3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337" w:right="239" w:bottom="1440" w:gutter="0" w:footer="0" w:header="0"/>
        </w:sectPr>
      </w:pPr>
    </w:p>
    <w:bookmarkStart w:id="93" w:name="page94"/>
    <w:bookmarkEnd w:id="93"/>
    <w:p>
      <w:pPr>
        <w:jc w:val="center"/>
        <w:ind w:right="-91"/>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2019</w:t>
      </w:r>
    </w:p>
    <w:p>
      <w:pPr>
        <w:spacing w:after="0" w:line="207" w:lineRule="exact"/>
        <w:rPr>
          <w:sz w:val="20"/>
          <w:szCs w:val="20"/>
          <w:color w:val="auto"/>
        </w:rPr>
      </w:pPr>
    </w:p>
    <w:p>
      <w:pPr>
        <w:ind w:left="272" w:hanging="272"/>
        <w:spacing w:after="0"/>
        <w:tabs>
          <w:tab w:leader="none" w:pos="27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812" w:right="120" w:hanging="326"/>
        <w:spacing w:after="0" w:line="256" w:lineRule="auto"/>
        <w:tabs>
          <w:tab w:leader="none" w:pos="8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On December 1, 2018, the Company acquired AP Staffing, which was accounted for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FASB ASC</w:t>
      </w:r>
      <w:r>
        <w:rPr>
          <w:rFonts w:ascii="Arial" w:cs="Arial" w:eastAsia="Arial" w:hAnsi="Arial"/>
          <w:sz w:val="18"/>
          <w:szCs w:val="18"/>
          <w:i w:val="1"/>
          <w:iCs w:val="1"/>
          <w:color w:val="auto"/>
        </w:rPr>
        <w:t>,</w:t>
      </w:r>
      <w:r>
        <w:rPr>
          <w:rFonts w:ascii="Arial" w:cs="Arial" w:eastAsia="Arial" w:hAnsi="Arial"/>
          <w:sz w:val="18"/>
          <w:szCs w:val="18"/>
          <w:color w:val="auto"/>
        </w:rPr>
        <w:t xml:space="preserve"> using the acquisition method. The results of the acquisition's operations have been included in the consolidated statements of operations from its date of acquisition. See Note 4 - Acquisitions.</w:t>
      </w:r>
    </w:p>
    <w:p>
      <w:pPr>
        <w:ind w:left="812" w:right="20" w:hanging="326"/>
        <w:spacing w:after="0" w:line="250" w:lineRule="auto"/>
        <w:tabs>
          <w:tab w:leader="none" w:pos="8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Income tax expense recorded in the second quarter of 2019 includes $35.8 million of expense related to the establishment of valuation allowances on the Company's deferred tax assets. See Note 14 - Income Taxes.</w:t>
      </w:r>
    </w:p>
    <w:p>
      <w:pPr>
        <w:ind w:left="812" w:hanging="326"/>
        <w:spacing w:after="0" w:line="261" w:lineRule="auto"/>
        <w:tabs>
          <w:tab w:leader="none" w:pos="8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terminated an interest rate hedge related to its Term Loan, recording a loss in the third quarter of 2019 of $1.3 million. See Note 9 - Derivatives.</w:t>
      </w:r>
    </w:p>
    <w:p>
      <w:pPr>
        <w:spacing w:after="0" w:line="18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332"/>
          </w:cols>
          <w:pgMar w:left="248" w:top="243" w:right="31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89"/>
              </w:rPr>
              <w:t>Balance at</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Beginning</w:t>
            </w:r>
          </w:p>
        </w:tc>
        <w:tc>
          <w:tcPr>
            <w:tcW w:w="460" w:type="dxa"/>
            <w:vAlign w:val="bottom"/>
          </w:tcPr>
          <w:p>
            <w:pPr>
              <w:spacing w:after="0"/>
              <w:rPr>
                <w:sz w:val="17"/>
                <w:szCs w:val="17"/>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Charged to</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Write-Offs, Net</w:t>
            </w:r>
          </w:p>
        </w:tc>
        <w:tc>
          <w:tcPr>
            <w:tcW w:w="46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End</w:t>
            </w:r>
          </w:p>
        </w:tc>
      </w:tr>
      <w:tr>
        <w:trPr>
          <w:trHeight w:val="210"/>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299"/>
              <w:spacing w:after="0"/>
              <w:rPr>
                <w:sz w:val="20"/>
                <w:szCs w:val="20"/>
                <w:color w:val="auto"/>
              </w:rPr>
            </w:pPr>
            <w:r>
              <w:rPr>
                <w:rFonts w:ascii="Arial" w:cs="Arial" w:eastAsia="Arial" w:hAnsi="Arial"/>
                <w:sz w:val="16"/>
                <w:szCs w:val="16"/>
                <w:b w:val="1"/>
                <w:bCs w:val="1"/>
                <w:color w:val="auto"/>
                <w:w w:val="92"/>
              </w:rPr>
              <w:t>of Period</w:t>
            </w:r>
          </w:p>
        </w:tc>
        <w:tc>
          <w:tcPr>
            <w:tcW w:w="460" w:type="dxa"/>
            <w:vAlign w:val="bottom"/>
          </w:tcPr>
          <w:p>
            <w:pPr>
              <w:spacing w:after="0"/>
              <w:rPr>
                <w:sz w:val="18"/>
                <w:szCs w:val="18"/>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Operations</w:t>
            </w:r>
          </w:p>
        </w:tc>
        <w:tc>
          <w:tcPr>
            <w:tcW w:w="40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b w:val="1"/>
                <w:bCs w:val="1"/>
                <w:color w:val="auto"/>
                <w:w w:val="87"/>
              </w:rPr>
              <w:t>of Recoveries</w:t>
            </w:r>
          </w:p>
        </w:tc>
        <w:tc>
          <w:tcPr>
            <w:tcW w:w="46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Changes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of Period</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00" w:type="dxa"/>
            <w:vAlign w:val="bottom"/>
            <w:gridSpan w:val="2"/>
          </w:tcPr>
          <w:p>
            <w:pPr>
              <w:jc w:val="center"/>
              <w:ind w:left="19"/>
              <w:spacing w:after="0"/>
              <w:rPr>
                <w:sz w:val="20"/>
                <w:szCs w:val="20"/>
                <w:color w:val="auto"/>
              </w:rPr>
            </w:pPr>
            <w:r>
              <w:rPr>
                <w:rFonts w:ascii="Arial" w:cs="Arial" w:eastAsia="Arial" w:hAnsi="Arial"/>
                <w:sz w:val="16"/>
                <w:szCs w:val="16"/>
                <w:color w:val="auto"/>
                <w:w w:val="90"/>
              </w:rPr>
              <w:t>(amounts in thousands)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3440" w:type="dxa"/>
            <w:vAlign w:val="bottom"/>
            <w:gridSpan w:val="4"/>
          </w:tcPr>
          <w:p>
            <w:pPr>
              <w:ind w:left="40"/>
              <w:spacing w:after="0"/>
              <w:rPr>
                <w:sz w:val="20"/>
                <w:szCs w:val="20"/>
                <w:color w:val="auto"/>
              </w:rPr>
            </w:pPr>
            <w:r>
              <w:rPr>
                <w:rFonts w:ascii="Arial" w:cs="Arial" w:eastAsia="Arial" w:hAnsi="Arial"/>
                <w:sz w:val="16"/>
                <w:szCs w:val="16"/>
                <w:b w:val="1"/>
                <w:bCs w:val="1"/>
                <w:color w:val="auto"/>
              </w:rPr>
              <w:t>Allowances for Accounts Receivable</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
        </w:trPr>
        <w:tc>
          <w:tcPr>
            <w:tcW w:w="4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3,705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3,243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(3,729)</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 $</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3,219</w:t>
            </w: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3,688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5,974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(5,957)</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(a) $</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3,705</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2017</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3,245</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4,705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(4,262)</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 $</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3,688</w:t>
            </w:r>
          </w:p>
        </w:tc>
      </w:tr>
      <w:tr>
        <w:trPr>
          <w:trHeight w:val="324"/>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9"/>
              </w:rPr>
              <w:t>Valuation Allowance for Deferred Tax Assets</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2019</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1,189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36,224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37,345</w:t>
            </w:r>
          </w:p>
        </w:tc>
      </w:tr>
      <w:tr>
        <w:trPr>
          <w:trHeight w:val="33"/>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Year Ended December 31, 2018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1,076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w:t>
            </w:r>
          </w:p>
        </w:tc>
      </w:tr>
      <w:tr>
        <w:trPr>
          <w:trHeight w:val="237"/>
        </w:trPr>
        <w:tc>
          <w:tcPr>
            <w:tcW w:w="3440" w:type="dxa"/>
            <w:vAlign w:val="bottom"/>
            <w:gridSpan w:val="4"/>
          </w:tcPr>
          <w:p>
            <w:pPr>
              <w:ind w:left="40"/>
              <w:spacing w:after="0"/>
              <w:rPr>
                <w:sz w:val="20"/>
                <w:szCs w:val="20"/>
                <w:color w:val="auto"/>
              </w:rPr>
            </w:pPr>
            <w:r>
              <w:rPr>
                <w:rFonts w:ascii="Arial" w:cs="Arial" w:eastAsia="Arial" w:hAnsi="Arial"/>
                <w:sz w:val="16"/>
                <w:szCs w:val="16"/>
                <w:color w:val="auto"/>
              </w:rPr>
              <w:t>Year Ended December 31, 2017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46,454</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(3,007)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(43,333)</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(b) $</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360" w:type="dxa"/>
            <w:vAlign w:val="bottom"/>
          </w:tcPr>
          <w:p>
            <w:pPr>
              <w:ind w:left="40"/>
              <w:spacing w:after="0"/>
              <w:rPr>
                <w:sz w:val="20"/>
                <w:szCs w:val="20"/>
                <w:color w:val="auto"/>
              </w:rPr>
            </w:pPr>
            <w:r>
              <w:rPr>
                <w:rFonts w:ascii="Arial" w:cs="Arial" w:eastAsia="Arial" w:hAnsi="Arial"/>
                <w:sz w:val="16"/>
                <w:szCs w:val="16"/>
                <w:color w:val="auto"/>
              </w:rPr>
              <w:t>(c)</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249"/>
        </w:trPr>
        <w:tc>
          <w:tcPr>
            <w:tcW w:w="254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02" w:lineRule="exact"/>
        <w:rPr>
          <w:sz w:val="20"/>
          <w:szCs w:val="20"/>
          <w:color w:val="auto"/>
        </w:rPr>
      </w:pPr>
    </w:p>
    <w:p>
      <w:pPr>
        <w:ind w:left="300" w:hanging="238"/>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w:t>
      </w:r>
    </w:p>
    <w:p>
      <w:pPr>
        <w:spacing w:after="0" w:line="23" w:lineRule="exact"/>
        <w:rPr>
          <w:rFonts w:ascii="Arial" w:cs="Arial" w:eastAsia="Arial" w:hAnsi="Arial"/>
          <w:sz w:val="18"/>
          <w:szCs w:val="18"/>
          <w:color w:val="auto"/>
        </w:rPr>
      </w:pPr>
    </w:p>
    <w:p>
      <w:pPr>
        <w:ind w:left="320" w:hanging="258"/>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Release of valuation allowances on the Company’s deferred tax assets.</w:t>
      </w:r>
    </w:p>
    <w:p>
      <w:pPr>
        <w:spacing w:after="0" w:line="9" w:lineRule="exact"/>
        <w:rPr>
          <w:rFonts w:ascii="Arial" w:cs="Arial" w:eastAsia="Arial" w:hAnsi="Arial"/>
          <w:sz w:val="18"/>
          <w:szCs w:val="18"/>
          <w:color w:val="auto"/>
        </w:rPr>
      </w:pPr>
    </w:p>
    <w:p>
      <w:pPr>
        <w:ind w:left="300" w:hanging="238"/>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Valuation allowance on deferred tax asset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420"/>
          </w:cols>
          <w:pgMar w:left="240" w:top="769" w:right="239" w:bottom="1440" w:gutter="0" w:footer="0" w:header="0"/>
        </w:sectPr>
      </w:pPr>
    </w:p>
    <w:bookmarkStart w:id="95" w:name="page96"/>
    <w:bookmarkEnd w:id="95"/>
    <w:p>
      <w:pPr>
        <w:ind w:left="10180"/>
        <w:spacing w:after="0"/>
        <w:rPr>
          <w:sz w:val="20"/>
          <w:szCs w:val="20"/>
          <w:color w:val="auto"/>
        </w:rPr>
      </w:pPr>
      <w:r>
        <w:rPr>
          <w:rFonts w:ascii="Arial" w:cs="Arial" w:eastAsia="Arial" w:hAnsi="Arial"/>
          <w:sz w:val="22"/>
          <w:szCs w:val="22"/>
          <w:b w:val="1"/>
          <w:bCs w:val="1"/>
          <w:u w:val="single" w:color="auto"/>
          <w:color w:val="auto"/>
        </w:rPr>
        <w:t>EXHIBIT 4.4</w:t>
      </w:r>
    </w:p>
    <w:p>
      <w:pPr>
        <w:spacing w:after="0" w:line="256" w:lineRule="exact"/>
        <w:rPr>
          <w:sz w:val="20"/>
          <w:szCs w:val="20"/>
          <w:color w:val="auto"/>
        </w:rPr>
      </w:pPr>
    </w:p>
    <w:p>
      <w:pPr>
        <w:jc w:val="center"/>
        <w:ind w:left="260" w:right="80"/>
        <w:spacing w:after="0" w:line="282" w:lineRule="auto"/>
        <w:rPr>
          <w:sz w:val="20"/>
          <w:szCs w:val="20"/>
          <w:color w:val="auto"/>
        </w:rPr>
      </w:pPr>
      <w:r>
        <w:rPr>
          <w:rFonts w:ascii="Arial" w:cs="Arial" w:eastAsia="Arial" w:hAnsi="Arial"/>
          <w:sz w:val="18"/>
          <w:szCs w:val="18"/>
          <w:b w:val="1"/>
          <w:bCs w:val="1"/>
          <w:color w:val="auto"/>
        </w:rPr>
        <w:t>DESCRIPTION OF THE COMPANY’S SECURITIES REGISTERED PURSUANT TO SECTION 12 OF THE SECURITIES EXCHANGE ACT OF 1934</w:t>
      </w: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Cross Country Healthcare, Inc. (the “Company,” “we,” and “our”) has one class of securities registered under Section 12 of the Securities Exchange Act of 1934, as amended: the Company’s common stock, par value $.0001 per share (the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the Company’s Amended and Restated Articles of Incorporation, the total number of shares the Company has authority to issue is 110,000,000, of which 100,000,000 are shares of common stock, par value $.0001 per share (“Common Stock”), and 10,000,000 are shares of preferred stock, par value $.01 per share (“Preferred Stock”).</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description is a summary and does not purport to be complete. It is subject to and qualified in its entirety by reference to our Amended and Restated Certificate of Incorporation and our Bylaws, each of which is incorporated by reference as an exhibit to the Annual Report on Form 10-K of which this Exhibit 4.4 is a part. The terms of these securities also may be affected by the General Corporation Law of the State of Delaware (the “DGCL”). We encourage you to read our Amended and Restated Certificate of Incorporation, our Bylaws and the applicable provisions of the DGCL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Each holder of record of Common Stock is entitled to one vote for each share of Common Stock in such holder's name on the books of the Company. Holders of shares of Common Stock do not have cumulative voting rights. The voting, dividend and liquidation rights of the holders of the Common Stock are subject to and qualified by the rights of the holders of any then outstanding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freely transferable.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Holders of Common Stock are entitled to share equally, on a per share basis, in dividends, if any, that may be declared by the Company’s board of directors at such times and in such amounts as it may determine in its sole discretion, subject to preferential dividend rights of any then outstanding Preferred Stock and provisions of the DGCL.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any liquidation, dissolution or winding up of the Company, whether voluntary or involuntary, after the payment or provisions for payment of all debts and liabilities of the Company and all preferential amounts to which the holders of any then outstanding Preferred Stock are entitled with respect to the distribution of assets in liquidation, the holders of Common Stock shall be entitled to share ratably in the remaining assets of the Company available for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Redemption or Conversion Rights</w:t>
      </w:r>
    </w:p>
    <w:p>
      <w:pPr>
        <w:spacing w:after="0" w:line="2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Common Stock is not redeemable, is not subject to sinking fund provisions, does not have any conversion rights and is not subject to call. No holder of any Common Stock has any preemptive right to subscribe for any Company securities of any kind or class.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Stock</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board of directors is authorized to issue preferred stock that may have voting rights and, if convertible into common stock, could increase the number of shares of common stock outstanding.</w:t>
      </w:r>
    </w:p>
    <w:p>
      <w:pPr>
        <w:sectPr>
          <w:pgSz w:w="11900" w:h="16838" w:orient="portrait"/>
          <w:cols w:equalWidth="0" w:num="1">
            <w:col w:w="11420"/>
          </w:cols>
          <w:pgMar w:left="240" w:top="342" w:right="239" w:bottom="1440" w:gutter="0" w:footer="0" w:header="0"/>
        </w:sectPr>
      </w:pPr>
    </w:p>
    <w:bookmarkStart w:id="96" w:name="page97"/>
    <w:bookmarkEnd w:id="96"/>
    <w:p>
      <w:pPr>
        <w:spacing w:after="0"/>
        <w:rPr>
          <w:sz w:val="20"/>
          <w:szCs w:val="20"/>
          <w:color w:val="auto"/>
        </w:rPr>
      </w:pPr>
      <w:r>
        <w:rPr>
          <w:rFonts w:ascii="Arial" w:cs="Arial" w:eastAsia="Arial" w:hAnsi="Arial"/>
          <w:sz w:val="25"/>
          <w:szCs w:val="25"/>
          <w:b w:val="1"/>
          <w:bCs w:val="1"/>
          <w:color w:val="FFFFFF"/>
        </w:rPr>
        <w:drawing>
          <wp:anchor simplePos="0" relativeHeight="251657728" behindDoc="1" locked="0" layoutInCell="0" allowOverlap="1">
            <wp:simplePos x="0" y="0"/>
            <wp:positionH relativeFrom="page">
              <wp:posOffset>654685</wp:posOffset>
            </wp:positionH>
            <wp:positionV relativeFrom="page">
              <wp:posOffset>226060</wp:posOffset>
            </wp:positionV>
            <wp:extent cx="6148705" cy="771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48705" cy="771525"/>
                    </a:xfrm>
                    <a:prstGeom prst="rect">
                      <a:avLst/>
                    </a:prstGeom>
                    <a:noFill/>
                  </pic:spPr>
                </pic:pic>
              </a:graphicData>
            </a:graphic>
          </wp:anchor>
        </w:drawing>
        <w:t>CCH P</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14.1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345A87"/>
        </w:rPr>
        <w:t>Business Ethics Policy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345A87"/>
        </w:rPr>
        <w:t>Purpose</w:t>
      </w:r>
    </w:p>
    <w:p>
      <w:pPr>
        <w:spacing w:after="0" w:line="279"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20"/>
          <w:szCs w:val="20"/>
          <w:color w:val="auto"/>
        </w:rPr>
        <w:t>It is Cross Country Healthcare, Inc.’s (the “Company” or “CCH”) policy that all business, including that of its subsidiaries, is to be conducted in strict accordance with the law and in keeping with the highest level of business ethics.</w:t>
      </w:r>
    </w:p>
    <w:p>
      <w:pPr>
        <w:spacing w:after="0" w:line="42" w:lineRule="exact"/>
        <w:rPr>
          <w:sz w:val="20"/>
          <w:szCs w:val="20"/>
          <w:color w:val="auto"/>
        </w:rPr>
      </w:pPr>
    </w:p>
    <w:p>
      <w:pPr>
        <w:ind w:left="120" w:right="2120"/>
        <w:spacing w:after="0" w:line="260" w:lineRule="auto"/>
        <w:rPr>
          <w:sz w:val="20"/>
          <w:szCs w:val="20"/>
          <w:color w:val="auto"/>
        </w:rPr>
      </w:pPr>
      <w:r>
        <w:rPr>
          <w:rFonts w:ascii="Arial" w:cs="Arial" w:eastAsia="Arial" w:hAnsi="Arial"/>
          <w:sz w:val="20"/>
          <w:szCs w:val="20"/>
          <w:color w:val="auto"/>
        </w:rPr>
        <w:t>Without limiting the scope of this general precept, your attention is specifically directed to the following policies on Conflicts of Interest and Improper Payments and Accounting Records.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345A87"/>
        </w:rPr>
        <w:t>A. Conflicts of Interest</w:t>
      </w:r>
    </w:p>
    <w:p>
      <w:pPr>
        <w:spacing w:after="0" w:line="271" w:lineRule="exact"/>
        <w:rPr>
          <w:sz w:val="20"/>
          <w:szCs w:val="20"/>
          <w:color w:val="auto"/>
        </w:rPr>
      </w:pPr>
    </w:p>
    <w:p>
      <w:pPr>
        <w:jc w:val="both"/>
        <w:ind w:left="120"/>
        <w:spacing w:after="0" w:line="269" w:lineRule="auto"/>
        <w:rPr>
          <w:sz w:val="20"/>
          <w:szCs w:val="20"/>
          <w:color w:val="auto"/>
        </w:rPr>
      </w:pPr>
      <w:r>
        <w:rPr>
          <w:rFonts w:ascii="Arial" w:cs="Arial" w:eastAsia="Arial" w:hAnsi="Arial"/>
          <w:sz w:val="19"/>
          <w:szCs w:val="19"/>
          <w:color w:val="auto"/>
        </w:rPr>
        <w:t>Under established principles of law and Company policy, every director, officer and employee of the Company and its subsidiaries has a duty of undivided loyalty to the Company. Accordingly, personnel, if confronted with a choice between the interests of the Company and personal economic interests or obligations or duties to others, must act in the interests of the Company.</w:t>
      </w:r>
    </w:p>
    <w:p>
      <w:pPr>
        <w:spacing w:after="0" w:line="76" w:lineRule="exact"/>
        <w:rPr>
          <w:sz w:val="20"/>
          <w:szCs w:val="20"/>
          <w:color w:val="auto"/>
        </w:rPr>
      </w:pPr>
    </w:p>
    <w:p>
      <w:pPr>
        <w:jc w:val="both"/>
        <w:ind w:left="120"/>
        <w:spacing w:after="0" w:line="260" w:lineRule="auto"/>
        <w:rPr>
          <w:sz w:val="20"/>
          <w:szCs w:val="20"/>
          <w:color w:val="auto"/>
        </w:rPr>
      </w:pPr>
      <w:r>
        <w:rPr>
          <w:rFonts w:ascii="Arial" w:cs="Arial" w:eastAsia="Arial" w:hAnsi="Arial"/>
          <w:sz w:val="20"/>
          <w:szCs w:val="20"/>
          <w:color w:val="auto"/>
        </w:rPr>
        <w:t>While it is not possible to describe all situations that may involve potential or actual conflicts of interest, the following are examples of activities that should generally be avoided:</w:t>
      </w:r>
    </w:p>
    <w:p>
      <w:pPr>
        <w:spacing w:after="0" w:line="96" w:lineRule="exact"/>
        <w:rPr>
          <w:sz w:val="20"/>
          <w:szCs w:val="20"/>
          <w:color w:val="auto"/>
        </w:rPr>
      </w:pPr>
    </w:p>
    <w:p>
      <w:pPr>
        <w:jc w:val="both"/>
        <w:ind w:left="760" w:hanging="320"/>
        <w:spacing w:after="0" w:line="260" w:lineRule="auto"/>
        <w:tabs>
          <w:tab w:leader="none" w:pos="7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Receipt of compensation, gifts, entertainment, discounts, services, loans or anything of value from suppliers, customers or other persons with whom the Company and its subsidiaries do business or any competitor of the Company or its subsidiaries (other than the receipt of minor gifts, entertainment, discounts, services or things of value not exceeding $200 in value in any one year from any one firm or person.</w:t>
      </w:r>
    </w:p>
    <w:p>
      <w:pPr>
        <w:spacing w:after="0" w:line="16" w:lineRule="exact"/>
        <w:rPr>
          <w:rFonts w:ascii="Arial" w:cs="Arial" w:eastAsia="Arial" w:hAnsi="Arial"/>
          <w:sz w:val="20"/>
          <w:szCs w:val="20"/>
          <w:color w:val="auto"/>
        </w:rPr>
      </w:pPr>
    </w:p>
    <w:p>
      <w:pPr>
        <w:ind w:left="760" w:hanging="320"/>
        <w:spacing w:after="0" w:line="272"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Retention of a stock or other financial interest in any firm described above. This would not usually apply to the investment in securities of a publicly held corporation listed on a national securities exchange or traded in the over-the-counter market, unless the investor's judgment in transactions involving Cross Country and its subsidiaries might be affected by reason of the size of the investment, the amount of business done with the Company and its subsidiaries or other factors. As a general rule, a 2% or less aggregate interest by a person, members of his/her family and associated individuals or companies would present no problem.</w:t>
      </w:r>
    </w:p>
    <w:p>
      <w:pPr>
        <w:spacing w:after="0" w:line="2" w:lineRule="exact"/>
        <w:rPr>
          <w:rFonts w:ascii="Arial" w:cs="Arial" w:eastAsia="Arial" w:hAnsi="Arial"/>
          <w:sz w:val="18"/>
          <w:szCs w:val="18"/>
          <w:color w:val="auto"/>
        </w:rPr>
      </w:pPr>
    </w:p>
    <w:p>
      <w:pPr>
        <w:ind w:left="760" w:hanging="320"/>
        <w:spacing w:after="0" w:line="246" w:lineRule="auto"/>
        <w:tabs>
          <w:tab w:leader="none" w:pos="66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Acting as a director, officer, consultant, agent, employee, independent contractor or in some other capacity for a person or firm described above. In addition, certain statutes and regulations prohibit or restrict individuals from holding interlocking directorships and offices in certain situations. All directors and officers of the Company</w:t>
      </w:r>
    </w:p>
    <w:p>
      <w:pPr>
        <w:spacing w:after="0" w:line="2" w:lineRule="exact"/>
        <w:rPr>
          <w:rFonts w:ascii="Arial" w:cs="Arial" w:eastAsia="Arial" w:hAnsi="Arial"/>
          <w:sz w:val="20"/>
          <w:szCs w:val="20"/>
          <w:color w:val="auto"/>
        </w:rPr>
      </w:pPr>
    </w:p>
    <w:p>
      <w:pPr>
        <w:ind w:left="760" w:right="400"/>
        <w:spacing w:after="0" w:line="263" w:lineRule="auto"/>
        <w:rPr>
          <w:rFonts w:ascii="Arial" w:cs="Arial" w:eastAsia="Arial" w:hAnsi="Arial"/>
          <w:sz w:val="20"/>
          <w:szCs w:val="20"/>
          <w:color w:val="auto"/>
        </w:rPr>
      </w:pPr>
      <w:r>
        <w:rPr>
          <w:rFonts w:ascii="Arial" w:cs="Arial" w:eastAsia="Arial" w:hAnsi="Arial"/>
          <w:sz w:val="20"/>
          <w:szCs w:val="20"/>
          <w:color w:val="auto"/>
        </w:rPr>
        <w:t>are required to inform the Chief Executive Officer prior to accepting any directorship or office with another corporation to ensure compliance with any such statutory requirements.</w:t>
      </w:r>
    </w:p>
    <w:p>
      <w:pPr>
        <w:spacing w:after="0" w:line="1" w:lineRule="exact"/>
        <w:rPr>
          <w:rFonts w:ascii="Arial" w:cs="Arial" w:eastAsia="Arial" w:hAnsi="Arial"/>
          <w:sz w:val="20"/>
          <w:szCs w:val="20"/>
          <w:color w:val="auto"/>
        </w:rPr>
      </w:pPr>
    </w:p>
    <w:p>
      <w:pPr>
        <w:ind w:left="760" w:hanging="320"/>
        <w:spacing w:after="0" w:line="260" w:lineRule="auto"/>
        <w:tabs>
          <w:tab w:leader="none" w:pos="661"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Existence of an interest in any transaction involving the Company or its subsidiaries where such interest does or may affect the objective and impartial representation of the Company.</w:t>
      </w:r>
    </w:p>
    <w:p>
      <w:pPr>
        <w:spacing w:after="0" w:line="1" w:lineRule="exact"/>
        <w:rPr>
          <w:rFonts w:ascii="Arial" w:cs="Arial" w:eastAsia="Arial" w:hAnsi="Arial"/>
          <w:sz w:val="20"/>
          <w:szCs w:val="20"/>
          <w:color w:val="auto"/>
        </w:rPr>
      </w:pPr>
    </w:p>
    <w:p>
      <w:pPr>
        <w:ind w:left="1980" w:hanging="190"/>
        <w:spacing w:after="0"/>
        <w:tabs>
          <w:tab w:leader="none" w:pos="1980" w:val="left"/>
        </w:tabs>
        <w:numPr>
          <w:ilvl w:val="1"/>
          <w:numId w:val="31"/>
        </w:numPr>
        <w:rPr>
          <w:rFonts w:ascii="Arial" w:cs="Arial" w:eastAsia="Arial" w:hAnsi="Arial"/>
          <w:sz w:val="20"/>
          <w:szCs w:val="20"/>
          <w:color w:val="auto"/>
        </w:rPr>
      </w:pPr>
      <w:r>
        <w:rPr>
          <w:rFonts w:ascii="Arial" w:cs="Arial" w:eastAsia="Arial" w:hAnsi="Arial"/>
          <w:sz w:val="20"/>
          <w:szCs w:val="20"/>
          <w:color w:val="auto"/>
        </w:rPr>
        <w:t>Disclosure or other misuse of confidential information concerning Cross Country and its subsidiaries.</w:t>
      </w:r>
    </w:p>
    <w:p>
      <w:pPr>
        <w:spacing w:after="0" w:line="27" w:lineRule="exact"/>
        <w:rPr>
          <w:sz w:val="20"/>
          <w:szCs w:val="20"/>
          <w:color w:val="auto"/>
        </w:rPr>
      </w:pPr>
    </w:p>
    <w:p>
      <w:pPr>
        <w:ind w:left="760" w:hanging="320"/>
        <w:spacing w:after="0" w:line="260" w:lineRule="auto"/>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Speculation or dealing in goods, commodities or products purchased, sold or otherwise dealt in or required or utilized by the Company and its subsidiaries.</w:t>
      </w:r>
    </w:p>
    <w:p>
      <w:pPr>
        <w:spacing w:after="0" w:line="1" w:lineRule="exact"/>
        <w:rPr>
          <w:rFonts w:ascii="Arial" w:cs="Arial" w:eastAsia="Arial" w:hAnsi="Arial"/>
          <w:sz w:val="20"/>
          <w:szCs w:val="20"/>
          <w:color w:val="auto"/>
        </w:rPr>
      </w:pPr>
    </w:p>
    <w:p>
      <w:pPr>
        <w:jc w:val="both"/>
        <w:ind w:left="760" w:hanging="320"/>
        <w:spacing w:after="0" w:line="254" w:lineRule="auto"/>
        <w:tabs>
          <w:tab w:leader="none" w:pos="7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Appropriation to oneself of a business opportunity in which the Company or a subsidiary might reasonably be expected to be interested, without first making available the opportunity to the Company or subsidiary. For instance, a person might learn of a business, an invention or other property that is for sale and which the Company or a subsidiary might be interested in acquiring. A person who fails to disclose this knowledge to the Company and acquires the property may be legally accountable to the Company for any profits that might be</w:t>
      </w:r>
    </w:p>
    <w:p>
      <w:pPr>
        <w:ind w:left="760"/>
        <w:spacing w:after="0"/>
        <w:rPr>
          <w:rFonts w:ascii="Arial" w:cs="Arial" w:eastAsia="Arial" w:hAnsi="Arial"/>
          <w:sz w:val="20"/>
          <w:szCs w:val="20"/>
          <w:color w:val="auto"/>
        </w:rPr>
      </w:pPr>
      <w:r>
        <w:rPr>
          <w:rFonts w:ascii="Arial" w:cs="Arial" w:eastAsia="Arial" w:hAnsi="Arial"/>
          <w:sz w:val="20"/>
          <w:szCs w:val="20"/>
          <w:color w:val="auto"/>
        </w:rPr>
        <w:t>realized.</w:t>
      </w:r>
    </w:p>
    <w:p>
      <w:pPr>
        <w:sectPr>
          <w:pgSz w:w="11900" w:h="16838" w:orient="portrait"/>
          <w:cols w:equalWidth="0" w:num="1">
            <w:col w:w="11420"/>
          </w:cols>
          <w:pgMar w:left="240" w:top="1319" w:right="239" w:bottom="1440" w:gutter="0" w:footer="0" w:header="0"/>
        </w:sectPr>
      </w:pPr>
    </w:p>
    <w:bookmarkStart w:id="97" w:name="page98"/>
    <w:bookmarkEnd w:id="97"/>
    <w:p>
      <w:pPr>
        <w:spacing w:after="0" w:line="3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48705" cy="771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148705" cy="771525"/>
                    </a:xfrm>
                    <a:prstGeom prst="rect">
                      <a:avLst/>
                    </a:prstGeom>
                    <a:noFill/>
                  </pic:spPr>
                </pic:pic>
              </a:graphicData>
            </a:graphic>
          </wp:anchor>
        </w:drawing>
      </w:r>
    </w:p>
    <w:p>
      <w:pPr>
        <w:jc w:val="both"/>
        <w:spacing w:after="0" w:line="269" w:lineRule="auto"/>
        <w:rPr>
          <w:sz w:val="20"/>
          <w:szCs w:val="20"/>
          <w:color w:val="auto"/>
        </w:rPr>
      </w:pPr>
      <w:r>
        <w:rPr>
          <w:rFonts w:ascii="Arial" w:cs="Arial" w:eastAsia="Arial" w:hAnsi="Arial"/>
          <w:sz w:val="19"/>
          <w:szCs w:val="19"/>
          <w:color w:val="auto"/>
        </w:rPr>
        <w:t>Interests, relationships or activities of the type described above which are held or taken by (a) family members, or (b) any trust or estate in which either the employee or family members have a substantial interest, or (c) any partnership, corporation or other firm of which the employee is a partner, director or officer or in which either the employee or family members have a substantial interest.</w:t>
      </w:r>
    </w:p>
    <w:p>
      <w:pPr>
        <w:spacing w:after="0" w:line="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It is not the Company’s desire to discourage or limit the freedom of Company personnel to engage in and maintain those outside activities and interests that do not interfere with the performance of their duties. It is only when there is a possible conflict of interest that the Company is concerned. Where a conflict or potential conflict does develop, the person should disclose promptly and fully to the Company (see paragraph D for reporting requirements) all pertinent facts so that the Company can assess the situation and take appropriate action, which may include disqualifying the person from participating in a particular transaction, requiring the person to terminate the outside</w:t>
      </w:r>
    </w:p>
    <w:p>
      <w:pPr>
        <w:spacing w:after="0" w:line="4"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interest or other action. Failure to disclose an actual or potential conflict of interest may result in disciplinary action, up to and including an unpaid suspension or termination of the individual’s employment or relationship with the Company.</w:t>
      </w:r>
    </w:p>
    <w:p>
      <w:pPr>
        <w:spacing w:after="0" w:line="23" w:lineRule="exact"/>
        <w:rPr>
          <w:sz w:val="20"/>
          <w:szCs w:val="20"/>
          <w:color w:val="auto"/>
        </w:rPr>
      </w:pPr>
    </w:p>
    <w:p>
      <w:pPr>
        <w:spacing w:after="0"/>
        <w:rPr>
          <w:sz w:val="20"/>
          <w:szCs w:val="20"/>
          <w:color w:val="auto"/>
        </w:rPr>
      </w:pPr>
      <w:r>
        <w:rPr>
          <w:rFonts w:ascii="Arial" w:cs="Arial" w:eastAsia="Arial" w:hAnsi="Arial"/>
          <w:sz w:val="31"/>
          <w:szCs w:val="31"/>
          <w:b w:val="1"/>
          <w:bCs w:val="1"/>
          <w:color w:val="345A87"/>
        </w:rPr>
        <w:t>B. Improper Payments and Accounting Records</w:t>
      </w:r>
    </w:p>
    <w:p>
      <w:pPr>
        <w:spacing w:after="0" w:line="3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 strict policy against making or maintaining any improper, disguised or questionable payments, accounting records, or financial reports of any kind. In addition to the Company's policy, there are numerous laws that may impose civil and criminal penalties for such acts not only upon the Company but upon the individuals concerned as well.</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Without limiting the scope of the foregoing statement, attention is specifically called to the following:</w:t>
      </w:r>
    </w:p>
    <w:p>
      <w:pPr>
        <w:spacing w:after="0" w:line="121" w:lineRule="exact"/>
        <w:rPr>
          <w:sz w:val="20"/>
          <w:szCs w:val="20"/>
          <w:color w:val="auto"/>
        </w:rPr>
      </w:pPr>
    </w:p>
    <w:p>
      <w:pPr>
        <w:ind w:left="640" w:right="20" w:hanging="320"/>
        <w:spacing w:after="0" w:line="260" w:lineRule="auto"/>
        <w:tabs>
          <w:tab w:leader="none" w:pos="52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use, directly or indirectly, of any funds or other assets of the Company or of any subsidiary for any purpose which would be in violation of any applicable law or regulation or would otherwise be unlawful is strictly prohibited.</w:t>
      </w:r>
    </w:p>
    <w:p>
      <w:pPr>
        <w:spacing w:after="0" w:line="14" w:lineRule="exact"/>
        <w:rPr>
          <w:rFonts w:ascii="Arial" w:cs="Arial" w:eastAsia="Arial" w:hAnsi="Arial"/>
          <w:sz w:val="20"/>
          <w:szCs w:val="20"/>
          <w:color w:val="auto"/>
        </w:rPr>
      </w:pPr>
    </w:p>
    <w:p>
      <w:pPr>
        <w:ind w:left="640" w:hanging="320"/>
        <w:spacing w:after="0" w:line="243" w:lineRule="auto"/>
        <w:tabs>
          <w:tab w:leader="none" w:pos="541" w:val="left"/>
        </w:tabs>
        <w:numPr>
          <w:ilvl w:val="0"/>
          <w:numId w:val="33"/>
        </w:numPr>
        <w:rPr>
          <w:rFonts w:ascii="Arial" w:cs="Arial" w:eastAsia="Arial" w:hAnsi="Arial"/>
          <w:sz w:val="20"/>
          <w:szCs w:val="20"/>
          <w:color w:val="auto"/>
        </w:rPr>
      </w:pPr>
      <w:r>
        <w:rPr>
          <w:rFonts w:ascii="Arial" w:cs="Arial" w:eastAsia="Arial" w:hAnsi="Arial"/>
          <w:sz w:val="20"/>
          <w:szCs w:val="20"/>
          <w:color w:val="auto"/>
        </w:rPr>
        <w:t>Even though lawful, the use, directly or indirectly, of any funds or other assets of the Company or any subsidiary for political contributions of any kind or in any form (whether cash, other property services or the furnishing of facilities), or the establishment or administration by the Company or any subsidiary of any committee or other organization for the raising or making of political contributions, is generally prohibited, whether within or without the United States. In jurisdictions where political contributions are lawful, exceptions to the prohibition may be authorized in rare cases and in limited amounts only in writing by one of the officers of the Company.</w:t>
      </w:r>
    </w:p>
    <w:p>
      <w:pPr>
        <w:spacing w:after="0" w:line="20" w:lineRule="exact"/>
        <w:rPr>
          <w:rFonts w:ascii="Arial" w:cs="Arial" w:eastAsia="Arial" w:hAnsi="Arial"/>
          <w:sz w:val="20"/>
          <w:szCs w:val="20"/>
          <w:color w:val="auto"/>
        </w:rPr>
      </w:pPr>
    </w:p>
    <w:p>
      <w:pPr>
        <w:ind w:left="640" w:hanging="320"/>
        <w:spacing w:after="0" w:line="260" w:lineRule="auto"/>
        <w:tabs>
          <w:tab w:leader="none" w:pos="541"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undisclosed or unrecorded bank account or other fund or asset of the Company or of any subsidiary shall be established or maintained for any purpose.</w:t>
      </w:r>
    </w:p>
    <w:p>
      <w:pPr>
        <w:spacing w:after="0" w:line="1" w:lineRule="exact"/>
        <w:rPr>
          <w:rFonts w:ascii="Arial" w:cs="Arial" w:eastAsia="Arial" w:hAnsi="Arial"/>
          <w:sz w:val="20"/>
          <w:szCs w:val="20"/>
          <w:color w:val="auto"/>
        </w:rPr>
      </w:pPr>
    </w:p>
    <w:p>
      <w:pPr>
        <w:ind w:left="640" w:right="20" w:hanging="320"/>
        <w:spacing w:after="0" w:line="260" w:lineRule="auto"/>
        <w:tabs>
          <w:tab w:leader="none" w:pos="5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funds and assets of the Company and its subsidiaries shall be fully and properly recorded in the appropriate books and records of the Company and its subsidiaries.</w:t>
      </w:r>
    </w:p>
    <w:p>
      <w:pPr>
        <w:spacing w:after="0" w:line="1" w:lineRule="exact"/>
        <w:rPr>
          <w:rFonts w:ascii="Arial" w:cs="Arial" w:eastAsia="Arial" w:hAnsi="Arial"/>
          <w:sz w:val="20"/>
          <w:szCs w:val="20"/>
          <w:color w:val="auto"/>
        </w:rPr>
      </w:pPr>
    </w:p>
    <w:p>
      <w:pPr>
        <w:ind w:left="640" w:hanging="320"/>
        <w:spacing w:after="0" w:line="264" w:lineRule="auto"/>
        <w:tabs>
          <w:tab w:leader="none" w:pos="5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false, misleading or artificial entries shall be made or permitted for any reason in the books and records of the Company or of any subsidiary. All transactions shall be appropriately authorized, evidenced by proper supporting documentation and recorded in accordance with generally accepted accounting practices.</w:t>
      </w:r>
    </w:p>
    <w:p>
      <w:pPr>
        <w:spacing w:after="0" w:line="10" w:lineRule="exact"/>
        <w:rPr>
          <w:rFonts w:ascii="Arial" w:cs="Arial" w:eastAsia="Arial" w:hAnsi="Arial"/>
          <w:sz w:val="20"/>
          <w:szCs w:val="20"/>
          <w:color w:val="auto"/>
        </w:rPr>
      </w:pPr>
    </w:p>
    <w:p>
      <w:pPr>
        <w:ind w:left="640" w:hanging="320"/>
        <w:spacing w:after="0" w:line="237" w:lineRule="auto"/>
        <w:tabs>
          <w:tab w:leader="none" w:pos="514"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transaction shall be effected and no payment shall be made on behalf of the Company or any of its subsidiaries with the intention or understanding that any part of the transaction or payment is effected or made for any purpose other than as described in the supporting documents and as described in the books and records of the Company.</w:t>
      </w:r>
    </w:p>
    <w:p>
      <w:pPr>
        <w:spacing w:after="0" w:line="1" w:lineRule="exact"/>
        <w:rPr>
          <w:rFonts w:ascii="Arial" w:cs="Arial" w:eastAsia="Arial" w:hAnsi="Arial"/>
          <w:sz w:val="20"/>
          <w:szCs w:val="20"/>
          <w:color w:val="auto"/>
        </w:rPr>
      </w:pPr>
    </w:p>
    <w:p>
      <w:pPr>
        <w:ind w:left="520" w:hanging="200"/>
        <w:spacing w:after="0"/>
        <w:tabs>
          <w:tab w:leader="none" w:pos="5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payments shall be made in accordance with prevailing exchange control and tax regulations.</w:t>
      </w:r>
    </w:p>
    <w:p>
      <w:pPr>
        <w:spacing w:after="0" w:line="46" w:lineRule="exact"/>
        <w:rPr>
          <w:rFonts w:ascii="Arial" w:cs="Arial" w:eastAsia="Arial" w:hAnsi="Arial"/>
          <w:sz w:val="20"/>
          <w:szCs w:val="20"/>
          <w:color w:val="auto"/>
        </w:rPr>
      </w:pPr>
    </w:p>
    <w:p>
      <w:pPr>
        <w:ind w:left="640" w:right="20" w:hanging="320"/>
        <w:spacing w:after="0" w:line="260" w:lineRule="auto"/>
        <w:tabs>
          <w:tab w:leader="none" w:pos="541" w:val="left"/>
        </w:tabs>
        <w:numPr>
          <w:ilvl w:val="0"/>
          <w:numId w:val="33"/>
        </w:numPr>
        <w:rPr>
          <w:rFonts w:ascii="Arial" w:cs="Arial" w:eastAsia="Arial" w:hAnsi="Arial"/>
          <w:sz w:val="20"/>
          <w:szCs w:val="20"/>
          <w:color w:val="auto"/>
        </w:rPr>
      </w:pPr>
      <w:r>
        <w:rPr>
          <w:rFonts w:ascii="Arial" w:cs="Arial" w:eastAsia="Arial" w:hAnsi="Arial"/>
          <w:sz w:val="20"/>
          <w:szCs w:val="20"/>
          <w:color w:val="auto"/>
        </w:rPr>
        <w:t>No bribes, kickbacks, payoffs or other illegal or improper payments shall be made to commercial customers or suppliers or their intermediaries or to governmental officials for any purpose.</w:t>
      </w:r>
    </w:p>
    <w:p>
      <w:pPr>
        <w:sectPr>
          <w:pgSz w:w="11900" w:h="16838" w:orient="portrait"/>
          <w:cols w:equalWidth="0" w:num="1">
            <w:col w:w="11300"/>
          </w:cols>
          <w:pgMar w:left="360" w:top="1440" w:right="23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191885"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91885" cy="771525"/>
                    </a:xfrm>
                    <a:prstGeom prst="rect">
                      <a:avLst/>
                    </a:prstGeom>
                    <a:noFill/>
                  </pic:spPr>
                </pic:pic>
              </a:graphicData>
            </a:graphic>
          </wp:anchor>
        </w:drawing>
      </w:r>
    </w:p>
    <w:p>
      <w:pPr>
        <w:spacing w:after="0" w:line="354" w:lineRule="exact"/>
        <w:rPr>
          <w:sz w:val="20"/>
          <w:szCs w:val="20"/>
          <w:color w:val="auto"/>
        </w:rPr>
      </w:pPr>
    </w:p>
    <w:p>
      <w:pPr>
        <w:ind w:left="4"/>
        <w:spacing w:after="0"/>
        <w:rPr>
          <w:sz w:val="20"/>
          <w:szCs w:val="20"/>
          <w:color w:val="auto"/>
        </w:rPr>
      </w:pPr>
      <w:r>
        <w:rPr>
          <w:rFonts w:ascii="Arial" w:cs="Arial" w:eastAsia="Arial" w:hAnsi="Arial"/>
          <w:sz w:val="31"/>
          <w:szCs w:val="31"/>
          <w:b w:val="1"/>
          <w:bCs w:val="1"/>
          <w:color w:val="345A87"/>
        </w:rPr>
        <w:t>C. Improper Use and Disclosure of Confidential Information</w:t>
      </w:r>
    </w:p>
    <w:p>
      <w:pPr>
        <w:spacing w:after="0" w:line="312" w:lineRule="exact"/>
        <w:rPr>
          <w:sz w:val="20"/>
          <w:szCs w:val="20"/>
          <w:color w:val="auto"/>
        </w:rPr>
      </w:pPr>
    </w:p>
    <w:p>
      <w:pPr>
        <w:ind w:left="4"/>
        <w:spacing w:after="0"/>
        <w:rPr>
          <w:sz w:val="20"/>
          <w:szCs w:val="20"/>
          <w:color w:val="auto"/>
        </w:rPr>
      </w:pPr>
      <w:r>
        <w:rPr>
          <w:rFonts w:ascii="Arial" w:cs="Arial" w:eastAsia="Arial" w:hAnsi="Arial"/>
          <w:sz w:val="19"/>
          <w:szCs w:val="19"/>
          <w:color w:val="auto"/>
        </w:rPr>
        <w:t>Information is one of our most valuable corporate assets, and open and effective dissemination of information is critical to our success.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20"/>
          <w:szCs w:val="20"/>
          <w:color w:val="auto"/>
        </w:rPr>
        <w:t>However, much of our Company’s business information is confidential or proprietary.</w:t>
      </w:r>
    </w:p>
    <w:p>
      <w:pPr>
        <w:spacing w:after="0" w:line="65" w:lineRule="exact"/>
        <w:rPr>
          <w:sz w:val="20"/>
          <w:szCs w:val="20"/>
          <w:color w:val="auto"/>
        </w:rPr>
      </w:pPr>
    </w:p>
    <w:p>
      <w:pPr>
        <w:jc w:val="both"/>
        <w:ind w:left="4"/>
        <w:spacing w:after="0" w:line="244" w:lineRule="auto"/>
        <w:rPr>
          <w:sz w:val="20"/>
          <w:szCs w:val="20"/>
          <w:color w:val="auto"/>
        </w:rPr>
      </w:pPr>
      <w:r>
        <w:rPr>
          <w:rFonts w:ascii="Arial" w:cs="Arial" w:eastAsia="Arial" w:hAnsi="Arial"/>
          <w:sz w:val="20"/>
          <w:szCs w:val="20"/>
          <w:color w:val="auto"/>
        </w:rPr>
        <w:t>It is also our Company’s policy that all employees must treat what they learn about our employees, customers and suppliers and each of their businesses as confidential information. The protection of such information is of the highest importance and must be discharged with the greatest care for the Company to merit the continued confidence of such persons. Confidential information is information a company would consider private, which is not common knowledge outside of that company and which an employee of the Company has learned as a result of his or her employment by the Company.</w:t>
      </w:r>
    </w:p>
    <w:p>
      <w:pPr>
        <w:spacing w:after="0" w:line="73" w:lineRule="exact"/>
        <w:rPr>
          <w:sz w:val="20"/>
          <w:szCs w:val="20"/>
          <w:color w:val="auto"/>
        </w:rPr>
      </w:pPr>
    </w:p>
    <w:p>
      <w:pPr>
        <w:jc w:val="both"/>
        <w:ind w:left="4"/>
        <w:spacing w:after="0" w:line="250" w:lineRule="auto"/>
        <w:rPr>
          <w:sz w:val="20"/>
          <w:szCs w:val="20"/>
          <w:color w:val="auto"/>
        </w:rPr>
      </w:pPr>
      <w:r>
        <w:rPr>
          <w:rFonts w:ascii="Arial" w:cs="Arial" w:eastAsia="Arial" w:hAnsi="Arial"/>
          <w:sz w:val="20"/>
          <w:szCs w:val="20"/>
          <w:color w:val="auto"/>
        </w:rPr>
        <w:t>During the term of their employment and thereafter, employees of the Company are prohibited, except as required by law or as specifically authorized by the Company’s Corporate Compliance Officer, from disclosing, directly or indirectly, to anyone outside the Company, confidential information concerning the Company. Examples of such information include:</w:t>
      </w:r>
    </w:p>
    <w:p>
      <w:pPr>
        <w:spacing w:after="0" w:line="92" w:lineRule="exact"/>
        <w:rPr>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Financial data (operating results, capital plans and expenditures, budget, etc.);</w:t>
      </w:r>
    </w:p>
    <w:p>
      <w:pPr>
        <w:spacing w:after="0" w:line="26" w:lineRule="exact"/>
        <w:rPr>
          <w:rFonts w:ascii="Arial" w:cs="Arial" w:eastAsia="Arial" w:hAnsi="Arial"/>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Business forecasts and financial analyses;</w:t>
      </w:r>
    </w:p>
    <w:p>
      <w:pPr>
        <w:spacing w:after="0" w:line="26" w:lineRule="exact"/>
        <w:rPr>
          <w:rFonts w:ascii="Arial" w:cs="Arial" w:eastAsia="Arial" w:hAnsi="Arial"/>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Development plans and strategies;</w:t>
      </w:r>
    </w:p>
    <w:p>
      <w:pPr>
        <w:spacing w:after="0" w:line="26" w:lineRule="exact"/>
        <w:rPr>
          <w:rFonts w:ascii="Arial" w:cs="Arial" w:eastAsia="Arial" w:hAnsi="Arial"/>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Business programs, policies, plans, manuals, strategies and methods of operations;</w:t>
      </w:r>
    </w:p>
    <w:p>
      <w:pPr>
        <w:spacing w:after="0" w:line="26" w:lineRule="exact"/>
        <w:rPr>
          <w:rFonts w:ascii="Arial" w:cs="Arial" w:eastAsia="Arial" w:hAnsi="Arial"/>
          <w:sz w:val="20"/>
          <w:szCs w:val="20"/>
          <w:color w:val="auto"/>
        </w:rPr>
      </w:pPr>
    </w:p>
    <w:p>
      <w:pPr>
        <w:ind w:left="644" w:hanging="320"/>
        <w:spacing w:after="0"/>
        <w:tabs>
          <w:tab w:leader="none" w:pos="6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Customer and supplier lists and identity of outside consultants as well as customer identities and other basic customer information;</w:t>
      </w:r>
    </w:p>
    <w:p>
      <w:pPr>
        <w:spacing w:after="0" w:line="49" w:lineRule="exact"/>
        <w:rPr>
          <w:rFonts w:ascii="Arial" w:cs="Arial" w:eastAsia="Arial" w:hAnsi="Arial"/>
          <w:sz w:val="18"/>
          <w:szCs w:val="18"/>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Information obtained during the course of employment about another company, supplier or customer;</w:t>
      </w:r>
    </w:p>
    <w:p>
      <w:pPr>
        <w:spacing w:after="0" w:line="26" w:lineRule="exact"/>
        <w:rPr>
          <w:rFonts w:ascii="Arial" w:cs="Arial" w:eastAsia="Arial" w:hAnsi="Arial"/>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Marketing and advertising plans, programs, strategies, analyses and research;</w:t>
      </w:r>
    </w:p>
    <w:p>
      <w:pPr>
        <w:spacing w:after="0" w:line="26" w:lineRule="exact"/>
        <w:rPr>
          <w:rFonts w:ascii="Arial" w:cs="Arial" w:eastAsia="Arial" w:hAnsi="Arial"/>
          <w:sz w:val="20"/>
          <w:szCs w:val="20"/>
          <w:color w:val="auto"/>
        </w:rPr>
      </w:pPr>
    </w:p>
    <w:p>
      <w:pPr>
        <w:ind w:left="524" w:hanging="200"/>
        <w:spacing w:after="0"/>
        <w:tabs>
          <w:tab w:leader="none" w:pos="524" w:val="left"/>
        </w:tabs>
        <w:numPr>
          <w:ilvl w:val="1"/>
          <w:numId w:val="34"/>
        </w:numPr>
        <w:rPr>
          <w:rFonts w:ascii="Arial" w:cs="Arial" w:eastAsia="Arial" w:hAnsi="Arial"/>
          <w:sz w:val="20"/>
          <w:szCs w:val="20"/>
          <w:color w:val="auto"/>
        </w:rPr>
      </w:pPr>
      <w:r>
        <w:rPr>
          <w:rFonts w:ascii="Arial" w:cs="Arial" w:eastAsia="Arial" w:hAnsi="Arial"/>
          <w:sz w:val="20"/>
          <w:szCs w:val="20"/>
          <w:color w:val="auto"/>
        </w:rPr>
        <w:t>Pricing and product programs, plans, strategies, analyses and research.</w:t>
      </w:r>
    </w:p>
    <w:p>
      <w:pPr>
        <w:spacing w:after="0" w:line="47" w:lineRule="exact"/>
        <w:rPr>
          <w:rFonts w:ascii="Arial" w:cs="Arial" w:eastAsia="Arial" w:hAnsi="Arial"/>
          <w:sz w:val="20"/>
          <w:szCs w:val="20"/>
          <w:color w:val="auto"/>
        </w:rPr>
      </w:pPr>
    </w:p>
    <w:p>
      <w:pPr>
        <w:ind w:left="384" w:hanging="384"/>
        <w:spacing w:after="0"/>
        <w:tabs>
          <w:tab w:leader="none" w:pos="384" w:val="left"/>
        </w:tabs>
        <w:numPr>
          <w:ilvl w:val="0"/>
          <w:numId w:val="35"/>
        </w:numPr>
        <w:rPr>
          <w:rFonts w:ascii="Arial" w:cs="Arial" w:eastAsia="Arial" w:hAnsi="Arial"/>
          <w:sz w:val="31"/>
          <w:szCs w:val="31"/>
          <w:b w:val="1"/>
          <w:bCs w:val="1"/>
          <w:color w:val="345A87"/>
        </w:rPr>
      </w:pPr>
      <w:r>
        <w:rPr>
          <w:rFonts w:ascii="Arial" w:cs="Arial" w:eastAsia="Arial" w:hAnsi="Arial"/>
          <w:sz w:val="31"/>
          <w:szCs w:val="31"/>
          <w:b w:val="1"/>
          <w:bCs w:val="1"/>
          <w:color w:val="345A87"/>
        </w:rPr>
        <w:t>Reporting Requirements</w:t>
      </w:r>
    </w:p>
    <w:p>
      <w:pPr>
        <w:spacing w:after="0" w:line="298" w:lineRule="exact"/>
        <w:rPr>
          <w:sz w:val="20"/>
          <w:szCs w:val="20"/>
          <w:color w:val="auto"/>
        </w:rPr>
      </w:pPr>
    </w:p>
    <w:p>
      <w:pPr>
        <w:jc w:val="both"/>
        <w:ind w:left="4"/>
        <w:spacing w:after="0" w:line="242" w:lineRule="auto"/>
        <w:rPr>
          <w:sz w:val="20"/>
          <w:szCs w:val="20"/>
          <w:color w:val="auto"/>
        </w:rPr>
      </w:pPr>
      <w:r>
        <w:rPr>
          <w:rFonts w:ascii="Arial" w:cs="Arial" w:eastAsia="Arial" w:hAnsi="Arial"/>
          <w:sz w:val="20"/>
          <w:szCs w:val="20"/>
          <w:color w:val="auto"/>
        </w:rPr>
        <w:t>As part of its commitment to ethical and legal conduct, the Company expects its employees to bring to the attention of Company management and to Corporate Compliance Officer, William J. Burns, or any of the people Corporate Compliance Officer designates, information about suspected violations of the Business Ethics Policy or of law by any Company employee or agent. Employees are required to come forward with any such information, without regard to the identity or position of the suspected offender. The Company will treat the information in a confidential manner (consistent with appropriate evaluation and investigation) and will seek to ensure that no acts of retribution or retaliation will be taken against anyone for making a report. Because failure to report criminal activity can itself be understood to condone the crime, we emphasize the importance of reporting. Failure to report knowledge of wrongdoing may result in disciplinary action against those who fail to report.</w:t>
      </w:r>
    </w:p>
    <w:p>
      <w:pPr>
        <w:spacing w:after="0" w:line="63" w:lineRule="exact"/>
        <w:rPr>
          <w:sz w:val="20"/>
          <w:szCs w:val="20"/>
          <w:color w:val="auto"/>
        </w:rPr>
      </w:pPr>
    </w:p>
    <w:p>
      <w:pPr>
        <w:jc w:val="both"/>
        <w:ind w:left="4"/>
        <w:spacing w:after="0" w:line="247" w:lineRule="auto"/>
        <w:rPr>
          <w:sz w:val="20"/>
          <w:szCs w:val="20"/>
          <w:color w:val="auto"/>
        </w:rPr>
      </w:pPr>
      <w:r>
        <w:rPr>
          <w:rFonts w:ascii="Arial" w:cs="Arial" w:eastAsia="Arial" w:hAnsi="Arial"/>
          <w:sz w:val="20"/>
          <w:szCs w:val="20"/>
          <w:color w:val="auto"/>
        </w:rPr>
        <w:t xml:space="preserve">Information about known or suspected violations by an employee or agent should be reported promptly to a member of management, Corporate Compliance Officer or the </w:t>
      </w:r>
      <w:r>
        <w:rPr>
          <w:rFonts w:ascii="Arial" w:cs="Arial" w:eastAsia="Arial" w:hAnsi="Arial"/>
          <w:sz w:val="20"/>
          <w:szCs w:val="20"/>
          <w:b w:val="1"/>
          <w:bCs w:val="1"/>
          <w:color w:val="auto"/>
        </w:rPr>
        <w:t>CCH Ethics/Fraud Hotline, call (800) 354-7197</w:t>
      </w:r>
      <w:r>
        <w:rPr>
          <w:rFonts w:ascii="Arial" w:cs="Arial" w:eastAsia="Arial" w:hAnsi="Arial"/>
          <w:sz w:val="20"/>
          <w:szCs w:val="20"/>
          <w:color w:val="auto"/>
        </w:rPr>
        <w:t>.</w:t>
      </w:r>
    </w:p>
    <w:p>
      <w:pPr>
        <w:spacing w:after="0" w:line="2" w:lineRule="exact"/>
        <w:rPr>
          <w:sz w:val="20"/>
          <w:szCs w:val="20"/>
          <w:color w:val="auto"/>
        </w:rPr>
      </w:pPr>
    </w:p>
    <w:p>
      <w:pPr>
        <w:ind w:left="4" w:right="320"/>
        <w:spacing w:after="0" w:line="298" w:lineRule="auto"/>
        <w:rPr>
          <w:sz w:val="20"/>
          <w:szCs w:val="20"/>
          <w:color w:val="auto"/>
        </w:rPr>
      </w:pPr>
      <w:r>
        <w:rPr>
          <w:rFonts w:ascii="Arial" w:cs="Arial" w:eastAsia="Arial" w:hAnsi="Arial"/>
          <w:sz w:val="18"/>
          <w:szCs w:val="18"/>
          <w:color w:val="auto"/>
        </w:rPr>
        <w:t>Whenever practical, an employee should do so in writing. Reports of violations will be investigated under Corporate Compliance Officer’s supervision, as he or she finds appropriate. Employees are expected to cooperate in the investigation of reported violations.</w:t>
      </w:r>
    </w:p>
    <w:p>
      <w:pPr>
        <w:spacing w:after="0" w:line="10" w:lineRule="exact"/>
        <w:rPr>
          <w:sz w:val="20"/>
          <w:szCs w:val="20"/>
          <w:color w:val="auto"/>
        </w:rPr>
      </w:pPr>
    </w:p>
    <w:p>
      <w:pPr>
        <w:jc w:val="both"/>
        <w:ind w:left="4"/>
        <w:spacing w:after="0" w:line="246" w:lineRule="auto"/>
        <w:rPr>
          <w:sz w:val="20"/>
          <w:szCs w:val="20"/>
          <w:color w:val="auto"/>
        </w:rPr>
      </w:pPr>
      <w:r>
        <w:rPr>
          <w:rFonts w:ascii="Arial" w:cs="Arial" w:eastAsia="Arial" w:hAnsi="Arial"/>
          <w:sz w:val="20"/>
          <w:szCs w:val="20"/>
          <w:color w:val="auto"/>
        </w:rPr>
        <w:t>The Corporate Compliance Officer will not, to the extent practical and appropriate under the circumstances, disclose the identity of anyone who reports a suspected violation or who participates in the investigation. Employees should be aware that the Corporate Compliance Officer, and those assisting him or her, are obligated to act in the best interests of the Company, and do not act as a personal representative or lawyer for employees.</w:t>
      </w:r>
    </w:p>
    <w:p>
      <w:pPr>
        <w:sectPr>
          <w:pgSz w:w="11900" w:h="16838" w:orient="portrait"/>
          <w:cols w:equalWidth="0" w:num="1">
            <w:col w:w="11304"/>
          </w:cols>
          <w:pgMar w:left="356" w:top="1440" w:right="239" w:bottom="1440" w:gutter="0" w:footer="0" w:header="0"/>
        </w:sectPr>
      </w:pPr>
    </w:p>
    <w:bookmarkStart w:id="99" w:name="page100"/>
    <w:bookmarkEnd w:id="99"/>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6294755"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294755" cy="788670"/>
                    </a:xfrm>
                    <a:prstGeom prst="rect">
                      <a:avLst/>
                    </a:prstGeom>
                    <a:noFill/>
                  </pic:spPr>
                </pic:pic>
              </a:graphicData>
            </a:graphic>
          </wp:anchor>
        </w:drawing>
      </w:r>
    </w:p>
    <w:p>
      <w:pPr>
        <w:jc w:val="both"/>
        <w:ind w:left="20"/>
        <w:spacing w:after="0" w:line="260" w:lineRule="auto"/>
        <w:rPr>
          <w:sz w:val="20"/>
          <w:szCs w:val="20"/>
          <w:color w:val="auto"/>
        </w:rPr>
      </w:pPr>
      <w:r>
        <w:rPr>
          <w:rFonts w:ascii="Arial" w:cs="Arial" w:eastAsia="Arial" w:hAnsi="Arial"/>
          <w:sz w:val="20"/>
          <w:szCs w:val="20"/>
          <w:color w:val="auto"/>
        </w:rPr>
        <w:t>If you have any questions at any time concerning the foregoing, we suggest that you discuss them with your supervisor or a person designated by the head of the division or subsidiary in which you are employed.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 xml:space="preserve">Please note, to report compliance violations anonymously to the </w:t>
      </w:r>
      <w:r>
        <w:rPr>
          <w:rFonts w:ascii="Arial" w:cs="Arial" w:eastAsia="Arial" w:hAnsi="Arial"/>
          <w:sz w:val="20"/>
          <w:szCs w:val="20"/>
          <w:b w:val="1"/>
          <w:bCs w:val="1"/>
          <w:color w:val="auto"/>
        </w:rPr>
        <w:t>CCH Ethics/Fraud Hotline, call (800) 354-7197.</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345A87"/>
        </w:rPr>
        <w:t>E. Vendors and Contractors</w:t>
      </w:r>
    </w:p>
    <w:p>
      <w:pPr>
        <w:spacing w:after="0" w:line="338" w:lineRule="exact"/>
        <w:rPr>
          <w:sz w:val="20"/>
          <w:szCs w:val="20"/>
          <w:color w:val="auto"/>
        </w:rPr>
      </w:pPr>
    </w:p>
    <w:p>
      <w:pPr>
        <w:spacing w:after="0"/>
        <w:rPr>
          <w:sz w:val="20"/>
          <w:szCs w:val="20"/>
          <w:color w:val="auto"/>
        </w:rPr>
      </w:pPr>
      <w:r>
        <w:rPr>
          <w:rFonts w:ascii="Arial" w:cs="Arial" w:eastAsia="Arial" w:hAnsi="Arial"/>
          <w:sz w:val="25"/>
          <w:szCs w:val="25"/>
          <w:b w:val="1"/>
          <w:bCs w:val="1"/>
          <w:color w:val="345A87"/>
        </w:rPr>
        <w:t>Purpose</w:t>
      </w:r>
    </w:p>
    <w:p>
      <w:pPr>
        <w:spacing w:after="0" w:line="320"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CCH’s policy is that the conduct of employees and others who do business with or on behalf of CCH shall be based upon high ethical standards and in compliance with the law. This section covers a wide range of business practices and procedures that may be relevant to CCH’s vendors and contractors. This section is not intended to cover every issue that may arise, but it sets out basic principles to guide vendors and contractors in their dealings relating to CCH.</w:t>
      </w:r>
    </w:p>
    <w:p>
      <w:pPr>
        <w:spacing w:after="0" w:line="83"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 xml:space="preserve">CCH is committed to being a responsible corporate citizen and so expects its vendors and contractors to comply with both the letter and spirit of CCH’s Business Ethics Policy and to avoid even the appearance of impropriety by its vendors and contractors and CCH’s employees. CCH’s Business Ethics Policy is available from CCH’s Human Resources Department or on its internet website at </w:t>
      </w:r>
      <w:r>
        <w:rPr>
          <w:rFonts w:ascii="Arial" w:cs="Arial" w:eastAsia="Arial" w:hAnsi="Arial"/>
          <w:sz w:val="20"/>
          <w:szCs w:val="20"/>
          <w:u w:val="single" w:color="auto"/>
          <w:color w:val="4F81BA"/>
        </w:rPr>
        <w:t>h</w:t>
      </w:r>
      <w:r>
        <w:rPr>
          <w:rFonts w:ascii="Arial" w:cs="Arial" w:eastAsia="Arial" w:hAnsi="Arial"/>
          <w:sz w:val="20"/>
          <w:szCs w:val="20"/>
          <w:color w:val="4F81BA"/>
        </w:rPr>
        <w:t>ttp://ir.crosscountryhealthcare.com/corporate-governance</w:t>
      </w:r>
      <w:r>
        <w:rPr>
          <w:rFonts w:ascii="Arial" w:cs="Arial" w:eastAsia="Arial" w:hAnsi="Arial"/>
          <w:sz w:val="20"/>
          <w:szCs w:val="20"/>
          <w:color w:val="000000"/>
        </w:rPr>
        <w:t>.</w:t>
      </w:r>
    </w:p>
    <w:p>
      <w:pPr>
        <w:spacing w:after="0" w:line="83" w:lineRule="exact"/>
        <w:rPr>
          <w:sz w:val="20"/>
          <w:szCs w:val="20"/>
          <w:color w:val="auto"/>
        </w:rPr>
      </w:pPr>
    </w:p>
    <w:p>
      <w:pPr>
        <w:jc w:val="both"/>
        <w:ind w:left="20"/>
        <w:spacing w:after="0" w:line="278" w:lineRule="auto"/>
        <w:rPr>
          <w:sz w:val="20"/>
          <w:szCs w:val="20"/>
          <w:color w:val="auto"/>
        </w:rPr>
      </w:pPr>
      <w:r>
        <w:rPr>
          <w:rFonts w:ascii="Arial" w:cs="Arial" w:eastAsia="Arial" w:hAnsi="Arial"/>
          <w:sz w:val="18"/>
          <w:szCs w:val="18"/>
          <w:color w:val="auto"/>
        </w:rPr>
        <w:t>Any vendor or contractor who violates the standards of the Business Ethics Policy will jeopardize their relationship with CCH, including possible termination of the relationship. If you become aware of a situation that you believe may violate CCH’s Business Ethics Policy, you should report your concerns immediately in accordance with the procedures described in Section 9 (Reporting Procedures) below. No adverse action will be taken against anyone for making a complaint or disclosing information in good faith, and anyone who retaliates against a person who in good faith reports any violation or suspected violation will be subject to disciplinary action.</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1. Compliance with Laws, Rules and Regulations</w:t>
      </w:r>
    </w:p>
    <w:p>
      <w:pPr>
        <w:spacing w:after="0" w:line="235"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Obeying the law, both in letter and in spirit, is the foundation on which CCH’s ethical standards are built. All CCH vendors and contractors must respect and obey the laws of the cities, counties and states which we operate. Although not everyone is expected to know the details of these laws, it is important to know enough to determine when to seek advice from vendors’ or contractors’ counsel and to inform CCH of any such matters.</w:t>
      </w:r>
    </w:p>
    <w:p>
      <w:pPr>
        <w:spacing w:after="0" w:line="83" w:lineRule="exact"/>
        <w:rPr>
          <w:sz w:val="20"/>
          <w:szCs w:val="20"/>
          <w:color w:val="auto"/>
        </w:rPr>
      </w:pPr>
    </w:p>
    <w:p>
      <w:pPr>
        <w:jc w:val="both"/>
        <w:ind w:left="20" w:right="20"/>
        <w:spacing w:after="0" w:line="260" w:lineRule="auto"/>
        <w:rPr>
          <w:sz w:val="20"/>
          <w:szCs w:val="20"/>
          <w:color w:val="auto"/>
        </w:rPr>
      </w:pPr>
      <w:r>
        <w:rPr>
          <w:rFonts w:ascii="Arial" w:cs="Arial" w:eastAsia="Arial" w:hAnsi="Arial"/>
          <w:sz w:val="20"/>
          <w:szCs w:val="20"/>
          <w:color w:val="auto"/>
        </w:rPr>
        <w:t>If you are uncertain as to whether a course of action is in compliance with the law, you should ask for guidance from your legal advisors or contact.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 Workplace Safety and Security</w:t>
      </w:r>
    </w:p>
    <w:p>
      <w:pPr>
        <w:spacing w:after="0" w:line="235"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CCH strives to provide a safe and healthy work environment. Vendors and contractors working on CCH property have the responsibility for maintaining a safe and healthy workplace by following safety and health rules and practices and reporting accidents, injuries and unsafe equipment, practices or conditions to CCH’s Human Resource Department.</w:t>
      </w:r>
    </w:p>
    <w:p>
      <w:pPr>
        <w:spacing w:after="0" w:line="78"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Vendors and contractors are required to report to the work site in condition to perform their duties, free from the influence of drugs or alcohol. The use, possession or distribution of illegal or unauthorized drugs or alcohol on CCH time or on CCH premises will not be tolerated.</w:t>
      </w:r>
    </w:p>
    <w:p>
      <w:pPr>
        <w:spacing w:after="0" w:line="51" w:lineRule="exact"/>
        <w:rPr>
          <w:sz w:val="20"/>
          <w:szCs w:val="20"/>
          <w:color w:val="auto"/>
        </w:rPr>
      </w:pPr>
    </w:p>
    <w:p>
      <w:pPr>
        <w:jc w:val="both"/>
        <w:ind w:left="20"/>
        <w:spacing w:after="0" w:line="316" w:lineRule="auto"/>
        <w:rPr>
          <w:sz w:val="20"/>
          <w:szCs w:val="20"/>
          <w:color w:val="auto"/>
        </w:rPr>
      </w:pPr>
      <w:r>
        <w:rPr>
          <w:rFonts w:ascii="Arial" w:cs="Arial" w:eastAsia="Arial" w:hAnsi="Arial"/>
          <w:sz w:val="18"/>
          <w:szCs w:val="18"/>
          <w:color w:val="auto"/>
        </w:rPr>
        <w:t>Violence, threatening behavior and harassment are not permitted. Firearms and other weapons are strictly prohibited on CCH property or on the person of anyone while conducting CCH business, unless authorized in writing for special circumstances by CCH’s CEO.</w:t>
      </w:r>
    </w:p>
    <w:p>
      <w:pPr>
        <w:sectPr>
          <w:pgSz w:w="11900" w:h="16838" w:orient="portrait"/>
          <w:cols w:equalWidth="0" w:num="1">
            <w:col w:w="11160"/>
          </w:cols>
          <w:pgMar w:left="500" w:top="1440" w:right="239" w:bottom="1440" w:gutter="0" w:footer="0" w:header="0"/>
        </w:sectPr>
      </w:pPr>
    </w:p>
    <w:bookmarkStart w:id="100" w:name="page101"/>
    <w:bookmarkEnd w:id="100"/>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6260465" cy="788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260465" cy="78867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3. Conflicts of Interest</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Business decisions must be based solely on what is best for CCH and not improperly influenced by personal, family or other business interests. Vendors or contractors dealing with vendors on behalf of CCH are expected to avoid conflicts of interest that could be detrimental to CCH. In addition, vendors and contractors are expected to respect CCH’s conflicts of interest policy described here with respect to their dealings with CCH employees, so that CCH employees can remain in compliance.</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“conflict of interest” exists when a person’s private interest interferes in any way with the interests of CCH or makes it difficult for a person to perform his or her work for CCH objectively and effectively. Conflicts of interest may also arise when an employee, vendor/contractor, a member of his or her family or other business associates, receives personal benefits as a result of his or her position or relationship with CCH.</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Conflicts of interest by CCH employees are prohibited unless disclosed and approved. Similarly, vendors or contractors dealing with a vendor on behalf of CCH must disclose potential conflicts with that vendor to their CCH contacts, so that arrangements can be made to avoid the conflicts. Actions or situations that might involve a conflict of interest, or the appearance of one, require disclosure and include the following:</w:t>
      </w:r>
    </w:p>
    <w:p>
      <w:pPr>
        <w:spacing w:after="0" w:line="97" w:lineRule="exact"/>
        <w:rPr>
          <w:sz w:val="20"/>
          <w:szCs w:val="20"/>
          <w:color w:val="auto"/>
        </w:rPr>
      </w:pPr>
    </w:p>
    <w:p>
      <w:pPr>
        <w:ind w:left="380" w:hanging="328"/>
        <w:spacing w:after="0"/>
        <w:tabs>
          <w:tab w:leader="none" w:pos="3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Employee, vendor/contractor (or a family member or other business associate) working for a CCH vendor or contractor.</w:t>
      </w:r>
    </w:p>
    <w:p>
      <w:pPr>
        <w:spacing w:after="0" w:line="20" w:lineRule="exact"/>
        <w:rPr>
          <w:rFonts w:ascii="Arial" w:cs="Arial" w:eastAsia="Arial" w:hAnsi="Arial"/>
          <w:sz w:val="20"/>
          <w:szCs w:val="20"/>
          <w:color w:val="auto"/>
        </w:rPr>
      </w:pPr>
    </w:p>
    <w:p>
      <w:pPr>
        <w:ind w:left="380" w:right="1580" w:hanging="328"/>
        <w:spacing w:after="0" w:line="267" w:lineRule="auto"/>
        <w:tabs>
          <w:tab w:leader="none" w:pos="3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Employee, vendor/contractor (or a family member or other business associate) holding a financial interest in a CCH vendor or contractor.</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CCH’s employees and vendors/contractors may not solicit, accept or retain any gift, entertainment, trip, loan, discount, guarantee of an obligation, service, or other benefit from any organization or person doing business with CCH, other than (i) modest gifts or entertainment as part of normal business courtesy that would not influence, or reasonably appear to influence, an officer or employee to act in any manner not in the best interest of CCH subject or (ii) a nominal benefit that has been disclosed and approved in accordance with this policy.</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Notwithstanding anything in this policy to the contrary, vendors and contractors who offer gifts and entertainment with a value greater than $200 (cash or non-cash) to a CCH employee must obtain the pre-approval of such offer from CCH’s CFO or General Counsel. Likewise, no gifts or entertainment with a value greater than $200 (cash or non-cash) shall be offered by a CCH employee to a vendor or contractor without obtaining prior written approval from the Company’s CFO or General Counsel.</w:t>
      </w:r>
    </w:p>
    <w:p>
      <w:pPr>
        <w:spacing w:after="0" w:line="55" w:lineRule="exact"/>
        <w:rPr>
          <w:sz w:val="20"/>
          <w:szCs w:val="20"/>
          <w:color w:val="auto"/>
        </w:rPr>
      </w:pPr>
    </w:p>
    <w:p>
      <w:pPr>
        <w:spacing w:after="0"/>
        <w:rPr>
          <w:sz w:val="20"/>
          <w:szCs w:val="20"/>
          <w:color w:val="auto"/>
        </w:rPr>
      </w:pPr>
      <w:r>
        <w:rPr>
          <w:rFonts w:ascii="Arial" w:cs="Arial" w:eastAsia="Arial" w:hAnsi="Arial"/>
          <w:sz w:val="19"/>
          <w:szCs w:val="19"/>
          <w:color w:val="auto"/>
        </w:rPr>
        <w:t>Conflicts of interest may not always be clear-cut, so if you have a question, you should consult with CCH’s CFO or General Counsel.</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Privileged Access and Information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Vendors and contractors may not use CCH property, information, or position for improper personal gain, or to compete with CCH directly or indirectly. Vendors and contractors are prohibited from taking for themselves personally or for their families or other business associate opportunities that are discovered through the use of CCH property, information or position.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Confidentiality</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Vendors and contractors must maintain the confidentiality of all proprietary information entrusted to them by CCH or others with whom CCH does business, except when disclosure is authorized by CCH’s Legal Department or required by laws or regulations. Confidential information includes all nonpublic information that, if disclosed, might be of use to competitors, or harmful to CCH or others with whom CCH does business. It also includes non-public information that vendors, contractors, customers and other companies have entrusted to CCH. Proprietary information includes intellectual</w:t>
      </w:r>
    </w:p>
    <w:p>
      <w:pPr>
        <w:sectPr>
          <w:pgSz w:w="11900" w:h="16838" w:orient="portrait"/>
          <w:cols w:equalWidth="0" w:num="1">
            <w:col w:w="11140"/>
          </w:cols>
          <w:pgMar w:left="520" w:top="1440" w:right="239" w:bottom="1440" w:gutter="0" w:footer="0" w:header="0"/>
        </w:sectPr>
      </w:pPr>
    </w:p>
    <w:bookmarkStart w:id="101" w:name="page102"/>
    <w:bookmarkEnd w:id="101"/>
    <w:p>
      <w:pPr>
        <w:jc w:val="both"/>
        <w:spacing w:after="0" w:line="255" w:lineRule="auto"/>
        <w:rPr>
          <w:sz w:val="20"/>
          <w:szCs w:val="20"/>
          <w:color w:val="auto"/>
        </w:rPr>
      </w:pPr>
      <w:r>
        <w:rPr>
          <w:sz w:val="1"/>
          <w:szCs w:val="1"/>
          <w:color w:val="auto"/>
        </w:rPr>
        <w:drawing>
          <wp:inline distT="0" distB="0" distL="0" distR="0">
            <wp:extent cx="6191885" cy="771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extLst>
                    </a:blip>
                    <a:srcRect/>
                    <a:stretch>
                      <a:fillRect/>
                    </a:stretch>
                  </pic:blipFill>
                  <pic:spPr bwMode="auto">
                    <a:xfrm>
                      <a:off x="0" y="0"/>
                      <a:ext cx="6191885" cy="771525"/>
                    </a:xfrm>
                    <a:prstGeom prst="rect">
                      <a:avLst/>
                    </a:prstGeom>
                    <a:noFill/>
                    <a:ln>
                      <a:noFill/>
                    </a:ln>
                  </pic:spPr>
                </pic:pic>
              </a:graphicData>
            </a:graphic>
          </wp:inline>
        </w:drawing>
      </w:r>
      <w:r>
        <w:rPr>
          <w:rFonts w:ascii="Arial" w:cs="Arial" w:eastAsia="Arial" w:hAnsi="Arial"/>
          <w:sz w:val="19"/>
          <w:szCs w:val="19"/>
          <w:color w:val="auto"/>
        </w:rPr>
        <w:t>property such as trade secrets, patents, trademarks, and copyrights, as well as, production and marketing plans, salary information and any unpublished financial data and reports. Unauthorized use or distribution of this information is a violation of CCH policy. Such information is to be used solely for CCH purposes and never for the private gain of a vendor, contractor or any CCH third party. The obligation to preserve and protect confidential or proprietary information continues even after the relationship ends with CCH.</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Protection and Proper Use of Company Assets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CCH’s assets should be used only for the legitimate business purposes of CCH. Vendors and contractors should endeavor to protect CCH’s assets and ensure their proper and efficient use. Protecting CCH’s assets against loss, theft and misuse is everyone’s responsibility. As a CCH vendor or contractor, if you become aware of the theft or misuse of CCH’s assets, immediately report the matter to your CCH contact or report using the procedures described in Section 9 (Reporting Procedures) below.</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Competition and Fair Dealing</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CCH seeks to outperform our competition fairly, honestly and in full compliance with applicable laws, including antitrust laws. CCH seeks competitive advantages through superior performance, never through unethical or illegal business practices. Vendors and contractors should respect the rights of, and deal fairly and honestly with, CCH’s customers, vendors, contractors, competitors and employees. No CCH vendor or contractor should take unfair advantage of anyone through manipulation, concealment, abuse of privileged information, misrepresentation of material facts, or any other intentional unfair-dealing practice.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Antitrust Laws</w:t>
      </w:r>
      <w:r>
        <w:rPr>
          <w:rFonts w:ascii="Arial" w:cs="Arial" w:eastAsia="Arial" w:hAnsi="Arial"/>
          <w:sz w:val="19"/>
          <w:szCs w:val="19"/>
          <w:color w:val="auto"/>
        </w:rPr>
        <w:t>. Antitrust laws, are designed to ensure a fair and competitive free market system. CCH will comply with all applicable antitrust laws. Some of the most serious antitrust offenses occur between competitors, such as agreements to fix prices. Therefore, it is important for vendors and contractors to avoid discussions with CCH’s competitors, on behalf of CCH, regarding:</w:t>
      </w:r>
    </w:p>
    <w:p>
      <w:pPr>
        <w:spacing w:after="0" w:line="211" w:lineRule="exact"/>
        <w:rPr>
          <w:sz w:val="20"/>
          <w:szCs w:val="20"/>
          <w:color w:val="auto"/>
        </w:rPr>
      </w:pP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Financial data (operating results, capital plans and expenditures, budget, etc.);</w:t>
      </w:r>
    </w:p>
    <w:p>
      <w:pPr>
        <w:spacing w:after="0" w:line="15" w:lineRule="exact"/>
        <w:rPr>
          <w:rFonts w:ascii="Arial" w:cs="Arial" w:eastAsia="Arial" w:hAnsi="Arial"/>
          <w:sz w:val="20"/>
          <w:szCs w:val="20"/>
          <w:color w:val="auto"/>
        </w:rPr>
      </w:pP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Business forecasts and financial analyses;</w:t>
      </w: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Development plans and strategies;</w:t>
      </w: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Business programs, policies, plans, manuals, strategies and methods of operations;</w:t>
      </w:r>
    </w:p>
    <w:p>
      <w:pPr>
        <w:ind w:left="700" w:hanging="32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 and supplier lists and identity of outside consultants as well as customer identities and other basic customer information;</w:t>
      </w:r>
    </w:p>
    <w:p>
      <w:pPr>
        <w:spacing w:after="0" w:line="22" w:lineRule="exact"/>
        <w:rPr>
          <w:rFonts w:ascii="Arial" w:cs="Arial" w:eastAsia="Arial" w:hAnsi="Arial"/>
          <w:sz w:val="18"/>
          <w:szCs w:val="18"/>
          <w:color w:val="auto"/>
        </w:rPr>
      </w:pPr>
    </w:p>
    <w:p>
      <w:pPr>
        <w:ind w:left="700" w:right="200" w:hanging="324"/>
        <w:spacing w:after="0" w:line="239" w:lineRule="auto"/>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Information obtained during the course of vendor’s/contractor’s business relationship with CCH about another company, supplier or customer;</w:t>
      </w:r>
    </w:p>
    <w:p>
      <w:pPr>
        <w:spacing w:after="0" w:line="1" w:lineRule="exact"/>
        <w:rPr>
          <w:rFonts w:ascii="Arial" w:cs="Arial" w:eastAsia="Arial" w:hAnsi="Arial"/>
          <w:sz w:val="20"/>
          <w:szCs w:val="20"/>
          <w:color w:val="auto"/>
        </w:rPr>
      </w:pP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Marketing and advertising plans, programs, strategies, analyses and research; and</w:t>
      </w:r>
    </w:p>
    <w:p>
      <w:pPr>
        <w:ind w:left="700" w:hanging="324"/>
        <w:spacing w:after="0"/>
        <w:tabs>
          <w:tab w:leader="none" w:pos="7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Pricing and product programs, plans, strategies, analyses and research.</w:t>
      </w:r>
    </w:p>
    <w:p>
      <w:pPr>
        <w:spacing w:after="0" w:line="78" w:lineRule="exact"/>
        <w:rPr>
          <w:sz w:val="20"/>
          <w:szCs w:val="20"/>
          <w:color w:val="auto"/>
        </w:rPr>
      </w:pPr>
    </w:p>
    <w:p>
      <w:pPr>
        <w:ind w:right="1840"/>
        <w:spacing w:after="0" w:line="260" w:lineRule="auto"/>
        <w:rPr>
          <w:sz w:val="20"/>
          <w:szCs w:val="20"/>
          <w:color w:val="auto"/>
        </w:rPr>
      </w:pPr>
      <w:r>
        <w:rPr>
          <w:rFonts w:ascii="Arial" w:cs="Arial" w:eastAsia="Arial" w:hAnsi="Arial"/>
          <w:sz w:val="20"/>
          <w:szCs w:val="20"/>
          <w:color w:val="auto"/>
        </w:rPr>
        <w:t>If you believe a conversation with a competitor enters an inappropriate area, end the conversation at once and consult CCH’s Legal Department.</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Unauthorized Taking or Use of Information</w:t>
      </w:r>
      <w:r>
        <w:rPr>
          <w:rFonts w:ascii="Arial" w:cs="Arial" w:eastAsia="Arial" w:hAnsi="Arial"/>
          <w:sz w:val="20"/>
          <w:szCs w:val="20"/>
          <w:color w:val="auto"/>
        </w:rPr>
        <w:t>. The unauthorized taking or use of proprietary information from other companies, possessing trade secret information that was obtained without legal authority, or inducing such disclosures by past or present employees of other companies is prohibited.</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Insider Trading</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Vendors and contractors in possession of material information about CCH must abstain from trading in CCH securities until such information is generally and publicly available by means of a press release or other public filing or disclosure by CCH. Such material “inside information” might include earnings estimates, stock and dividend activity, changes of control or management, pending mergers, sales, acquisitions, reserves or other significant business information or</w:t>
      </w:r>
    </w:p>
    <w:p>
      <w:pPr>
        <w:sectPr>
          <w:pgSz w:w="11900" w:h="16838" w:orient="portrait"/>
          <w:cols w:equalWidth="0" w:num="1">
            <w:col w:w="11140"/>
          </w:cols>
          <w:pgMar w:left="520" w:top="356" w:right="239" w:bottom="1440" w:gutter="0" w:footer="0" w:header="0"/>
        </w:sectPr>
      </w:pPr>
    </w:p>
    <w:bookmarkStart w:id="102" w:name="page103"/>
    <w:bookmarkEnd w:id="102"/>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328930</wp:posOffset>
            </wp:positionH>
            <wp:positionV relativeFrom="page">
              <wp:posOffset>226060</wp:posOffset>
            </wp:positionV>
            <wp:extent cx="6191885" cy="77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191885" cy="771525"/>
                    </a:xfrm>
                    <a:prstGeom prst="rect">
                      <a:avLst/>
                    </a:prstGeom>
                    <a:noFill/>
                  </pic:spPr>
                </pic:pic>
              </a:graphicData>
            </a:graphic>
          </wp:anchor>
        </w:drawing>
      </w:r>
    </w:p>
    <w:p>
      <w:pPr>
        <w:jc w:val="both"/>
        <w:spacing w:after="0" w:line="250" w:lineRule="auto"/>
        <w:rPr>
          <w:sz w:val="20"/>
          <w:szCs w:val="20"/>
          <w:color w:val="auto"/>
        </w:rPr>
      </w:pPr>
      <w:r>
        <w:rPr>
          <w:rFonts w:ascii="Arial" w:cs="Arial" w:eastAsia="Arial" w:hAnsi="Arial"/>
          <w:sz w:val="20"/>
          <w:szCs w:val="20"/>
          <w:color w:val="auto"/>
        </w:rPr>
        <w:t>developments. As a CCH vendor or contractor, providing such inside information to others who then trade on it is also strictly prohibited. Trading on inside information is also a violation of federal securities law. If you have any questions, please consult CCH’s Legal Department.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Reporting Procedures</w:t>
      </w:r>
    </w:p>
    <w:p>
      <w:pPr>
        <w:spacing w:after="0" w:line="2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CCH’s vendors and contractors have the responsibility to report violations of CCH’s Business Ethics Policy or other conduct relating to CCH’s business that they suspect may be unethical or in violation of the law. To report a suspected compliance violation or when in doubt about the best course of action to take in a particular situation is, please:</w:t>
      </w:r>
    </w:p>
    <w:p>
      <w:pPr>
        <w:spacing w:after="0" w:line="51" w:lineRule="exact"/>
        <w:rPr>
          <w:sz w:val="20"/>
          <w:szCs w:val="20"/>
          <w:color w:val="auto"/>
        </w:rPr>
      </w:pPr>
    </w:p>
    <w:p>
      <w:pPr>
        <w:ind w:left="440" w:hanging="388"/>
        <w:spacing w:after="0"/>
        <w:tabs>
          <w:tab w:leader="none" w:pos="4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Talk to your contact at CCH or to CCH’s General Counsel or Director of Internal Audit, or</w:t>
      </w:r>
    </w:p>
    <w:p>
      <w:pPr>
        <w:spacing w:after="0" w:line="2" w:lineRule="exact"/>
        <w:rPr>
          <w:rFonts w:ascii="Arial" w:cs="Arial" w:eastAsia="Arial" w:hAnsi="Arial"/>
          <w:sz w:val="20"/>
          <w:szCs w:val="20"/>
          <w:color w:val="auto"/>
        </w:rPr>
      </w:pPr>
    </w:p>
    <w:p>
      <w:pPr>
        <w:ind w:left="380" w:hanging="328"/>
        <w:spacing w:after="0"/>
        <w:tabs>
          <w:tab w:leader="none" w:pos="3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Call the CCH </w:t>
      </w:r>
      <w:r>
        <w:rPr>
          <w:rFonts w:ascii="Arial" w:cs="Arial" w:eastAsia="Arial" w:hAnsi="Arial"/>
          <w:sz w:val="20"/>
          <w:szCs w:val="20"/>
          <w:b w:val="1"/>
          <w:bCs w:val="1"/>
          <w:color w:val="auto"/>
        </w:rPr>
        <w:t>Ethics/Fraud Hotline</w:t>
      </w:r>
      <w:r>
        <w:rPr>
          <w:rFonts w:ascii="Arial" w:cs="Arial" w:eastAsia="Arial" w:hAnsi="Arial"/>
          <w:sz w:val="20"/>
          <w:szCs w:val="20"/>
          <w:color w:val="auto"/>
        </w:rPr>
        <w:t>, it is available 24 hours a day, at (800) 354-7197.</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All such communications will be kept confidential and forwarded directly to the appropriate party,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Reviewed and Approved on November 12, 2019.</w:t>
      </w:r>
    </w:p>
    <w:p>
      <w:pPr>
        <w:sectPr>
          <w:pgSz w:w="11900" w:h="16838" w:orient="portrait"/>
          <w:cols w:equalWidth="0" w:num="1">
            <w:col w:w="11140"/>
          </w:cols>
          <w:pgMar w:left="520" w:top="144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240" w:type="dxa"/>
            <w:vAlign w:val="bottom"/>
          </w:tcPr>
          <w:p>
            <w:pPr>
              <w:ind w:left="520"/>
              <w:spacing w:after="0"/>
              <w:rPr>
                <w:sz w:val="20"/>
                <w:szCs w:val="20"/>
                <w:color w:val="auto"/>
              </w:rPr>
            </w:pPr>
            <w:r>
              <w:rPr>
                <w:rFonts w:ascii="Arial" w:cs="Arial" w:eastAsia="Arial" w:hAnsi="Arial"/>
                <w:sz w:val="18"/>
                <w:szCs w:val="18"/>
                <w:b w:val="1"/>
                <w:bCs w:val="1"/>
                <w:color w:val="auto"/>
              </w:rPr>
              <w:t>LIST OF SUBSIDIARIES</w:t>
            </w:r>
          </w:p>
        </w:tc>
      </w:tr>
      <w:tr>
        <w:trPr>
          <w:trHeight w:val="594"/>
        </w:trPr>
        <w:tc>
          <w:tcPr>
            <w:tcW w:w="418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Subsidiary</w:t>
            </w:r>
          </w:p>
        </w:tc>
        <w:tc>
          <w:tcPr>
            <w:tcW w:w="7240" w:type="dxa"/>
            <w:vAlign w:val="bottom"/>
          </w:tcPr>
          <w:p>
            <w:pPr>
              <w:ind w:left="3740"/>
              <w:spacing w:after="0"/>
              <w:rPr>
                <w:sz w:val="20"/>
                <w:szCs w:val="20"/>
                <w:color w:val="auto"/>
              </w:rPr>
            </w:pPr>
            <w:r>
              <w:rPr>
                <w:rFonts w:ascii="Arial" w:cs="Arial" w:eastAsia="Arial" w:hAnsi="Arial"/>
                <w:sz w:val="18"/>
                <w:szCs w:val="18"/>
                <w:b w:val="1"/>
                <w:bCs w:val="1"/>
                <w:color w:val="auto"/>
              </w:rPr>
              <w:t>Place of Incorporation</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Assignment America,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Cejka Search, Inc.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Credent Verification and Licensing Services,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Holdco (Cyprus) Limited</w:t>
            </w:r>
          </w:p>
        </w:tc>
        <w:tc>
          <w:tcPr>
            <w:tcW w:w="7240" w:type="dxa"/>
            <w:vAlign w:val="bottom"/>
          </w:tcPr>
          <w:p>
            <w:pPr>
              <w:ind w:left="3740"/>
              <w:spacing w:after="0"/>
              <w:rPr>
                <w:sz w:val="20"/>
                <w:szCs w:val="20"/>
                <w:color w:val="auto"/>
              </w:rPr>
            </w:pPr>
            <w:r>
              <w:rPr>
                <w:rFonts w:ascii="Arial" w:cs="Arial" w:eastAsia="Arial" w:hAnsi="Arial"/>
                <w:sz w:val="18"/>
                <w:szCs w:val="18"/>
                <w:color w:val="auto"/>
              </w:rPr>
              <w:t>Cyprus</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Infotech, Pvt. Ltd.</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India</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Cross Country Staffing, Inc.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Cross Country Talent Acquisition Group,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MDA Holdings, Inc.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Medical Doctor Associates,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New Mediscan II, LLC</w:t>
            </w:r>
          </w:p>
        </w:tc>
        <w:tc>
          <w:tcPr>
            <w:tcW w:w="7240" w:type="dxa"/>
            <w:vAlign w:val="bottom"/>
          </w:tcPr>
          <w:p>
            <w:pPr>
              <w:ind w:left="3740"/>
              <w:spacing w:after="0"/>
              <w:rPr>
                <w:sz w:val="20"/>
                <w:szCs w:val="20"/>
                <w:color w:val="auto"/>
              </w:rPr>
            </w:pPr>
            <w:r>
              <w:rPr>
                <w:rFonts w:ascii="Arial" w:cs="Arial" w:eastAsia="Arial" w:hAnsi="Arial"/>
                <w:sz w:val="18"/>
                <w:szCs w:val="18"/>
                <w:color w:val="auto"/>
              </w:rPr>
              <w:t>California</w:t>
            </w:r>
          </w:p>
        </w:tc>
      </w:tr>
      <w:tr>
        <w:trPr>
          <w:trHeight w:val="27"/>
        </w:trPr>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2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OWS, LLC</w:t>
            </w:r>
          </w:p>
        </w:tc>
        <w:tc>
          <w:tcPr>
            <w:tcW w:w="72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color w:val="auto"/>
              </w:rPr>
              <w:t>Delaware</w:t>
            </w:r>
          </w:p>
        </w:tc>
      </w:tr>
      <w:tr>
        <w:trPr>
          <w:trHeight w:val="243"/>
        </w:trPr>
        <w:tc>
          <w:tcPr>
            <w:tcW w:w="4180" w:type="dxa"/>
            <w:vAlign w:val="bottom"/>
            <w:gridSpan w:val="3"/>
          </w:tcPr>
          <w:p>
            <w:pPr>
              <w:ind w:left="40"/>
              <w:spacing w:after="0"/>
              <w:rPr>
                <w:sz w:val="20"/>
                <w:szCs w:val="20"/>
                <w:color w:val="auto"/>
              </w:rPr>
            </w:pPr>
            <w:r>
              <w:rPr>
                <w:rFonts w:ascii="Arial" w:cs="Arial" w:eastAsia="Arial" w:hAnsi="Arial"/>
                <w:sz w:val="18"/>
                <w:szCs w:val="18"/>
                <w:color w:val="auto"/>
              </w:rPr>
              <w:t>Travel Staff, LLC</w:t>
            </w:r>
          </w:p>
        </w:tc>
        <w:tc>
          <w:tcPr>
            <w:tcW w:w="7240" w:type="dxa"/>
            <w:vAlign w:val="bottom"/>
          </w:tcPr>
          <w:p>
            <w:pPr>
              <w:ind w:left="3740"/>
              <w:spacing w:after="0"/>
              <w:rPr>
                <w:sz w:val="20"/>
                <w:szCs w:val="20"/>
                <w:color w:val="auto"/>
              </w:rPr>
            </w:pPr>
            <w:r>
              <w:rPr>
                <w:rFonts w:ascii="Arial" w:cs="Arial" w:eastAsia="Arial" w:hAnsi="Arial"/>
                <w:sz w:val="18"/>
                <w:szCs w:val="18"/>
                <w:color w:val="auto"/>
              </w:rPr>
              <w:t>Delaware</w:t>
            </w:r>
          </w:p>
        </w:tc>
      </w:tr>
      <w:tr>
        <w:trPr>
          <w:trHeight w:val="203"/>
        </w:trPr>
        <w:tc>
          <w:tcPr>
            <w:tcW w:w="1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20" w:type="dxa"/>
            <w:vAlign w:val="bottom"/>
          </w:tcPr>
          <w:p>
            <w:pPr>
              <w:spacing w:after="0"/>
              <w:rPr>
                <w:sz w:val="17"/>
                <w:szCs w:val="17"/>
                <w:color w:val="auto"/>
              </w:rPr>
            </w:pPr>
          </w:p>
        </w:tc>
        <w:tc>
          <w:tcPr>
            <w:tcW w:w="7240" w:type="dxa"/>
            <w:vAlign w:val="bottom"/>
          </w:tcPr>
          <w:p>
            <w:pPr>
              <w:spacing w:after="0"/>
              <w:rPr>
                <w:sz w:val="17"/>
                <w:szCs w:val="17"/>
                <w:color w:val="auto"/>
              </w:rPr>
            </w:pPr>
          </w:p>
        </w:tc>
      </w:tr>
      <w:tr>
        <w:trPr>
          <w:trHeight w:val="237"/>
        </w:trPr>
        <w:tc>
          <w:tcPr>
            <w:tcW w:w="4180" w:type="dxa"/>
            <w:vAlign w:val="bottom"/>
            <w:gridSpan w:val="3"/>
          </w:tcPr>
          <w:p>
            <w:pPr>
              <w:ind w:left="500"/>
              <w:spacing w:after="0"/>
              <w:rPr>
                <w:sz w:val="20"/>
                <w:szCs w:val="20"/>
                <w:color w:val="auto"/>
              </w:rPr>
            </w:pPr>
            <w:r>
              <w:rPr>
                <w:rFonts w:ascii="Arial" w:cs="Arial" w:eastAsia="Arial" w:hAnsi="Arial"/>
                <w:sz w:val="18"/>
                <w:szCs w:val="18"/>
                <w:color w:val="auto"/>
              </w:rPr>
              <w:t>*   Majority-owned joint venture</w:t>
            </w:r>
          </w:p>
        </w:tc>
        <w:tc>
          <w:tcPr>
            <w:tcW w:w="7240" w:type="dxa"/>
            <w:vAlign w:val="bottom"/>
          </w:tcPr>
          <w:p>
            <w:pPr>
              <w:spacing w:after="0"/>
              <w:rPr>
                <w:sz w:val="20"/>
                <w:szCs w:val="20"/>
                <w:color w:val="auto"/>
              </w:rPr>
            </w:pPr>
          </w:p>
        </w:tc>
      </w:tr>
    </w:tbl>
    <w:p>
      <w:pPr>
        <w:sectPr>
          <w:pgSz w:w="11900" w:h="16838" w:orient="portrait"/>
          <w:cols w:equalWidth="0" w:num="1">
            <w:col w:w="11420"/>
          </w:cols>
          <w:pgMar w:left="240" w:top="55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333-145484, 333-188519, 333-196639, and 333-218557 on Form S-8 of our reports dated March 5, 2020, relating to the consolidated financial statements of Cross Country Healthcare, Inc. and subsidiaries, and the effectiveness of Cross Country Healthcare, Inc. and subsidiaries' internal control over financial reporting, appearing in this Annual Report on Form 10-K of Cross Country Healthcare, Inc. for the year ended December 31, 2019.</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9"/>
          <w:szCs w:val="19"/>
          <w:color w:val="auto"/>
        </w:rPr>
        <w:t>Deloitte &amp; Touche LLP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420"/>
          </w:cols>
          <w:pgMar w:left="240" w:top="55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Kevin C. Clark,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33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553"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2019, (the "Periodic Report"), I, Kevin C. Clark,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2020</w:t>
      </w:r>
      <w:r>
        <w:rPr>
          <w:sz w:val="20"/>
          <w:szCs w:val="20"/>
          <w:color w:val="auto"/>
        </w:rPr>
        <w:tab/>
      </w:r>
      <w:r>
        <w:rPr>
          <w:rFonts w:ascii="Arial" w:cs="Arial" w:eastAsia="Arial" w:hAnsi="Arial"/>
          <w:sz w:val="17"/>
          <w:szCs w:val="17"/>
          <w:color w:val="auto"/>
        </w:rPr>
        <w:t>/s/ Kevin C.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Kevin C. Clark</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&amp; Chief Executive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5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connection with the accompanying Annual Report on Form 10-K of Cross Country Healthcare, Inc. (the "Company") for the year ended December 31, 2019,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35"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5, 2020</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Accounting and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lowerRoman"/>
      <w:start w:val="2"/>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Letter"/>
      <w:start w:val="1"/>
    </w:lvl>
    <w:lvl w:ilvl="1">
      <w:lvlJc w:val="left"/>
      <w:lvlText w:val="(%2)"/>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Roman"/>
      <w:start w:val="2"/>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decimal"/>
      <w:start w:val="840"/>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9"/>
    </w:lvl>
    <w:lvl w:ilvl="1">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1"/>
    </w:lvl>
    <w:lvl w:ilvl="1">
      <w:lvlJc w:val="left"/>
      <w:lvlText w:val="%2."/>
      <w:numFmt w:val="decimal"/>
      <w:start w:val="5"/>
    </w:lvl>
  </w:abstractNum>
  <w:abstractNum w:abstractNumId="31">
    <w:nsid w:val="5072367"/>
    <w:multiLevelType w:val="hybridMultilevel"/>
    <w:lvl w:ilvl="0">
      <w:lvlJc w:val="left"/>
      <w:lvlText w:val="%1."/>
      <w:numFmt w:val="decimal"/>
      <w:start w:val="6"/>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upperLetter"/>
      <w:start w:val="1"/>
    </w:lvl>
    <w:lvl w:ilvl="1">
      <w:lvlJc w:val="left"/>
      <w:lvlText w:val="%2."/>
      <w:numFmt w:val="decimal"/>
      <w:start w:val="1"/>
    </w:lvl>
  </w:abstractNum>
  <w:abstractNum w:abstractNumId="34">
    <w:nsid w:val="7724C67E"/>
    <w:multiLevelType w:val="hybridMultilevel"/>
    <w:lvl w:ilvl="0">
      <w:lvlJc w:val="left"/>
      <w:lvlText w:val="%1."/>
      <w:numFmt w:val="upperLetter"/>
      <w:start w:val="4"/>
    </w:lvl>
    <w:lvl w:ilvl="1">
      <w:lvlJc w:val="left"/>
      <w:lvlText w:val="%2"/>
      <w:numFmt w:val="decimal"/>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43" Type="http://schemas.openxmlformats.org/officeDocument/2006/relationships/image" Target="media/image6.png"/><Relationship Id="rId44" Type="http://schemas.openxmlformats.org/officeDocument/2006/relationships/image" Target="media/image7.jpeg"/><Relationship Id="rId45" Type="http://schemas.openxmlformats.org/officeDocument/2006/relationships/image" Target="media/image8.jpeg"/><Relationship Id="rId46" Type="http://schemas.openxmlformats.org/officeDocument/2006/relationships/image" Target="media/image9.jpeg"/><Relationship Id="rId47" Type="http://schemas.openxmlformats.org/officeDocument/2006/relationships/image" Target="media/image10.jpeg"/><Relationship Id="rId48" Type="http://schemas.openxmlformats.org/officeDocument/2006/relationships/image" Target="media/image11.jpeg"/><Relationship Id="rId49" Type="http://schemas.openxmlformats.org/officeDocument/2006/relationships/image" Target="media/image12.jpeg"/><Relationship Id="rId50" Type="http://schemas.openxmlformats.org/officeDocument/2006/relationships/image" Target="media/image13.jpeg"/><Relationship Id="rId5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4" Type="http://schemas.openxmlformats.org/officeDocument/2006/relationships/image" Target="media/image17.png"/><Relationship Id="rId13" Type="http://schemas.openxmlformats.org/officeDocument/2006/relationships/hyperlink" Target="http://www.sec.gov/Archives/edgar/data/1141103/000091205701530091/a2057156zex-3_1.txt" TargetMode="External"/><Relationship Id="rId14" Type="http://schemas.openxmlformats.org/officeDocument/2006/relationships/hyperlink" Target="http://www.sec.gov/Archives/edgar/data/1141103/000162828018002702/ccrn20171231-10kex3x2.htm" TargetMode="External"/><Relationship Id="rId15" Type="http://schemas.openxmlformats.org/officeDocument/2006/relationships/hyperlink" Target="http://www.sec.gov/Archives/edgar/data/1141103/000162828018010300/ccrn20180630-10qex3x1.htm" TargetMode="External"/><Relationship Id="rId16" Type="http://schemas.openxmlformats.org/officeDocument/2006/relationships/hyperlink" Target="http://www.sec.gov/Archives/edgar/data/1141103/000091205701536175/a2061600zex-4_1.txt" TargetMode="External"/><Relationship Id="rId17" Type="http://schemas.openxmlformats.org/officeDocument/2006/relationships/hyperlink" Target="http://www.sec.gov/Archives/edgar/data/1141103/000144530514003563/ccrn20140630-10qex41rsaform.htm" TargetMode="External"/><Relationship Id="rId18" Type="http://schemas.openxmlformats.org/officeDocument/2006/relationships/hyperlink" Target="http://www.sec.gov/Archives/edgar/data/1141103/000144530514003563/ccrn20140630-10qex42psaform.htm" TargetMode="External"/><Relationship Id="rId19" Type="http://schemas.openxmlformats.org/officeDocument/2006/relationships/hyperlink" Target="http://www.sec.gov/Archives/edgar/data/1141103/000104746903010584/a2106509zex-10_19.htm" TargetMode="External"/><Relationship Id="rId20" Type="http://schemas.openxmlformats.org/officeDocument/2006/relationships/hyperlink" Target="http://www.sec.gov/Archives/edgar/data/1141103/000111650207000527/cejkalease1043.htm" TargetMode="External"/><Relationship Id="rId21" Type="http://schemas.openxmlformats.org/officeDocument/2006/relationships/hyperlink" Target="http://www.sec.gov/Archives/edgar/data/1141103/000111650207000527/exhibit1045.htm" TargetMode="External"/><Relationship Id="rId22" Type="http://schemas.openxmlformats.org/officeDocument/2006/relationships/hyperlink" Target="http://www.sec.gov/Archives/edgar/data/1141103/000111650208001825/exhibit105.htm" TargetMode="External"/><Relationship Id="rId23" Type="http://schemas.openxmlformats.org/officeDocument/2006/relationships/hyperlink" Target="http://www.sec.gov/Archives/edgar/data/1141103/000111650207000972/exhibit102.htm" TargetMode="External"/><Relationship Id="rId24" Type="http://schemas.openxmlformats.org/officeDocument/2006/relationships/hyperlink" Target="http://www.sec.gov/Archives/edgar/data/1141103/000119312507218382/dex101.htm" TargetMode="External"/><Relationship Id="rId25" Type="http://schemas.openxmlformats.org/officeDocument/2006/relationships/hyperlink" Target="http://www.sec.gov/Archives/edgar/data/1141103/000144530513001944/exhibit101.htm" TargetMode="External"/><Relationship Id="rId26" Type="http://schemas.openxmlformats.org/officeDocument/2006/relationships/hyperlink" Target="http://www.sec.gov/Archives/edgar/data/1141103/000095013010001422/dex101.htm" TargetMode="External"/><Relationship Id="rId27" Type="http://schemas.openxmlformats.org/officeDocument/2006/relationships/hyperlink" Target="http://www.sec.gov/Archives/edgar/data/1141103/000135448815004495/ccrn_ex101.htm" TargetMode="External"/><Relationship Id="rId28" Type="http://schemas.openxmlformats.org/officeDocument/2006/relationships/hyperlink" Target="http://www.sec.gov/Archives/edgar/data/1141103/000135448815004495/ccrn_ex102.htm" TargetMode="External"/><Relationship Id="rId29" Type="http://schemas.openxmlformats.org/officeDocument/2006/relationships/hyperlink" Target="http://www.sec.gov/Archives/edgar/data/1141103/000135448815004495/ccrn_ex103.htm" TargetMode="External"/><Relationship Id="rId30" Type="http://schemas.openxmlformats.org/officeDocument/2006/relationships/hyperlink" Target="http://www.sec.gov/Archives/edgar/data/1141103/000115752315003645/a51213647ex10_1.htm" TargetMode="External"/><Relationship Id="rId31" Type="http://schemas.openxmlformats.org/officeDocument/2006/relationships/hyperlink" Target="http://www.sec.gov/Archives/edgar/data/1141103/000162828016012724/exhibit1043.htm" TargetMode="External"/><Relationship Id="rId32" Type="http://schemas.openxmlformats.org/officeDocument/2006/relationships/hyperlink" Target="http://www.sec.gov/Archives/edgar/data/1141103/000162828016020835/ccrn2016-09x30x10qex10x1.htm" TargetMode="External"/><Relationship Id="rId33" Type="http://schemas.openxmlformats.org/officeDocument/2006/relationships/hyperlink" Target="http://www.sec.gov/Archives/edgar/data/1141103/000162828016020835/ccrn2016-09x30x10qex10x2.htm" TargetMode="External"/><Relationship Id="rId34" Type="http://schemas.openxmlformats.org/officeDocument/2006/relationships/hyperlink" Target="http://www.sec.gov/Archives/edgar/data/1141103/000165495417005530/ccrn_ex101.htm" TargetMode="External"/><Relationship Id="rId35" Type="http://schemas.openxmlformats.org/officeDocument/2006/relationships/hyperlink" Target="http://www.sec.gov/Archives/edgar/data/1141103/000162828017010809/ccrn2017-09x30x10qex10x1.htm" TargetMode="External"/><Relationship Id="rId36" Type="http://schemas.openxmlformats.org/officeDocument/2006/relationships/hyperlink" Target="http://www.sec.gov/Archives/edgar/data/1141103/000162828018002702/ccrn20171231-10kex10x55.htm" TargetMode="External"/><Relationship Id="rId37" Type="http://schemas.openxmlformats.org/officeDocument/2006/relationships/hyperlink" Target="http://www.sec.gov/Archives/edgar/data/1141103/000115752319000077/a51926439ex10_1.htm" TargetMode="External"/><Relationship Id="rId38" Type="http://schemas.openxmlformats.org/officeDocument/2006/relationships/hyperlink" Target="http://www.sec.gov/Archives/edgar/data/1141103/000115752319000203/a51933754ex10_1.htm" TargetMode="External"/><Relationship Id="rId39" Type="http://schemas.openxmlformats.org/officeDocument/2006/relationships/hyperlink" Target="http://www.sec.gov/Archives/edgar/data/1141103/000114420419019874/tv519018_ex10-1.htm" TargetMode="External"/><Relationship Id="rId40" Type="http://schemas.openxmlformats.org/officeDocument/2006/relationships/hyperlink" Target="http://www.sec.gov/Archives/edgar/data/1141103/000162828019013370/ccrn20190930-10qex10x1.htm" TargetMode="External"/><Relationship Id="rId41" Type="http://schemas.openxmlformats.org/officeDocument/2006/relationships/hyperlink" Target="http://www.sec.gov/Archives/edgar/data/1141103/000162828019013370/ccrn20190930-10qex10x2.htm" TargetMode="External"/><Relationship Id="rId42" Type="http://schemas.openxmlformats.org/officeDocument/2006/relationships/hyperlink" Target="http://www.sec.gov/Archives/edgar/data/1141103/000115752319002114/a5211819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2020-03-05T14:17:34Z</dcterms:created>
  <dcterms:modified xsi:type="dcterms:W3CDTF">2020-03-05T14:17:34Z</dcterms:modified>
</cp:coreProperties>
</file>