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4020" w:right="2100" w:hanging="1541"/>
        <w:spacing w:after="0" w:line="351" w:lineRule="auto"/>
        <w:tabs>
          <w:tab w:leader="none" w:pos="267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-317500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1576705</wp:posOffset>
            </wp:positionH>
            <wp:positionV relativeFrom="paragraph">
              <wp:posOffset>-331470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440" w:right="719" w:bottom="1440" w:gutter="0" w:footer="0" w:header="0"/>
        </w:sectPr>
      </w:pPr>
    </w:p>
    <w:p>
      <w:pPr>
        <w:spacing w:after="0" w:line="48"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0-33169</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13-4066229</w:t>
      </w:r>
    </w:p>
    <w:p>
      <w:pPr>
        <w:spacing w:after="0" w:line="100" w:lineRule="exact"/>
        <w:rPr>
          <w:sz w:val="24"/>
          <w:szCs w:val="24"/>
          <w:color w:val="auto"/>
        </w:rPr>
      </w:pPr>
    </w:p>
    <w:p>
      <w:pPr>
        <w:sectPr>
          <w:pgSz w:w="11900" w:h="16838" w:orient="portrait"/>
          <w:cols w:equalWidth="0" w:num="3">
            <w:col w:w="4640" w:space="720"/>
            <w:col w:w="2920" w:space="720"/>
            <w:col w:w="1860"/>
          </w:cols>
          <w:pgMar w:left="320" w:top="1440" w:right="719" w:bottom="1440" w:gutter="0" w:footer="0" w:header="0"/>
          <w:type w:val="continuous"/>
        </w:sectPr>
      </w:pPr>
    </w:p>
    <w:p>
      <w:pPr>
        <w:jc w:val="center"/>
        <w:ind w:right="760"/>
        <w:spacing w:after="0"/>
        <w:rPr>
          <w:sz w:val="20"/>
          <w:szCs w:val="20"/>
          <w:color w:val="auto"/>
        </w:rPr>
      </w:pPr>
      <w:r>
        <w:rPr>
          <w:rFonts w:ascii="Arial" w:cs="Arial" w:eastAsia="Arial" w:hAnsi="Arial"/>
          <w:sz w:val="15"/>
          <w:szCs w:val="15"/>
          <w:i w:val="1"/>
          <w:iCs w:val="1"/>
          <w:color w:val="auto"/>
        </w:rPr>
        <w:t>(State or other jurisdiction of</w:t>
      </w:r>
    </w:p>
    <w:p>
      <w:pPr>
        <w:spacing w:after="0" w:line="34" w:lineRule="exact"/>
        <w:rPr>
          <w:sz w:val="24"/>
          <w:szCs w:val="24"/>
          <w:color w:val="auto"/>
        </w:rPr>
      </w:pPr>
    </w:p>
    <w:p>
      <w:pPr>
        <w:jc w:val="center"/>
        <w:ind w:right="7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Commission</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5"/>
          <w:szCs w:val="15"/>
          <w:i w:val="1"/>
          <w:iCs w:val="1"/>
          <w:color w:val="auto"/>
        </w:rPr>
        <w:t>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6"/>
          <w:szCs w:val="16"/>
          <w:i w:val="1"/>
          <w:iCs w:val="1"/>
          <w:color w:val="auto"/>
        </w:rPr>
        <w:t>(I.R.S. Employer</w:t>
      </w:r>
    </w:p>
    <w:p>
      <w:pPr>
        <w:spacing w:after="0" w:line="22" w:lineRule="exact"/>
        <w:rPr>
          <w:sz w:val="24"/>
          <w:szCs w:val="24"/>
          <w:color w:val="auto"/>
        </w:rPr>
      </w:pP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157" w:lineRule="exact"/>
        <w:rPr>
          <w:sz w:val="24"/>
          <w:szCs w:val="24"/>
          <w:color w:val="auto"/>
        </w:rPr>
      </w:pPr>
    </w:p>
    <w:p>
      <w:pPr>
        <w:sectPr>
          <w:pgSz w:w="11900" w:h="16838" w:orient="portrait"/>
          <w:cols w:equalWidth="0" w:num="3">
            <w:col w:w="4520" w:space="720"/>
            <w:col w:w="2680" w:space="720"/>
            <w:col w:w="2220"/>
          </w:cols>
          <w:pgMar w:left="320" w:top="1440"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440" w:right="719" w:bottom="1440" w:gutter="0" w:footer="0" w:header="0"/>
          <w:type w:val="continuous"/>
        </w:sectPr>
      </w:pPr>
    </w:p>
    <w:p>
      <w:pPr>
        <w:spacing w:after="0" w:line="176"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080" w:space="720"/>
            <w:col w:w="1960" w:space="720"/>
            <w:col w:w="3380"/>
          </w:cols>
          <w:pgMar w:left="320" w:top="1440" w:right="71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165" w:lineRule="exact"/>
        <w:rPr>
          <w:sz w:val="24"/>
          <w:szCs w:val="24"/>
          <w:color w:val="auto"/>
        </w:rPr>
      </w:pPr>
    </w:p>
    <w:p>
      <w:pPr>
        <w:sectPr>
          <w:pgSz w:w="11900" w:h="16838" w:orient="portrait"/>
          <w:cols w:equalWidth="0" w:num="3">
            <w:col w:w="4420" w:space="720"/>
            <w:col w:w="2180" w:space="720"/>
            <w:col w:w="2820"/>
          </w:cols>
          <w:pgMar w:left="320" w:top="1440" w:right="71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40"/>
        <w:spacing w:after="0" w:line="267" w:lineRule="exact"/>
        <w:rPr>
          <w:sz w:val="20"/>
          <w:szCs w:val="20"/>
          <w:color w:val="auto"/>
        </w:rPr>
      </w:pPr>
      <w:r>
        <w:rPr>
          <w:rFonts w:ascii="Arial" w:cs="Arial" w:eastAsia="Arial" w:hAnsi="Arial"/>
          <w:sz w:val="15"/>
          <w:szCs w:val="15"/>
          <w:color w:val="auto"/>
        </w:rPr>
        <w:t xml:space="preserve">Indicate by checkmark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37,565,758 shares of Common Stock, par value $0.0001 per share,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COVID-19 pandemic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2019, as filed and updated in our Quarterly Reports on Form 10-Q and other filings with the Securities and Exchange Commission.</w:t>
      </w:r>
    </w:p>
    <w:p>
      <w:pPr>
        <w:spacing w:after="0" w:line="17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CROSS COUNTRY HEALTHCARE, INC.</w:t>
            </w:r>
          </w:p>
        </w:tc>
        <w:tc>
          <w:tcPr>
            <w:tcW w:w="20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rPr>
              <w:t>INDEX</w:t>
            </w:r>
          </w:p>
        </w:tc>
        <w:tc>
          <w:tcPr>
            <w:tcW w:w="20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FORM 10-Q</w:t>
            </w:r>
          </w:p>
        </w:tc>
        <w:tc>
          <w:tcPr>
            <w:tcW w:w="200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June 30, 2020</w:t>
            </w:r>
          </w:p>
        </w:tc>
        <w:tc>
          <w:tcPr>
            <w:tcW w:w="200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2000" w:type="dxa"/>
            <w:vAlign w:val="bottom"/>
          </w:tcPr>
          <w:p>
            <w:pPr>
              <w:ind w:left="1520"/>
              <w:spacing w:after="0"/>
              <w:rPr>
                <w:sz w:val="20"/>
                <w:szCs w:val="20"/>
                <w:color w:val="auto"/>
              </w:rPr>
            </w:pPr>
            <w:r>
              <w:rPr>
                <w:rFonts w:ascii="Arial" w:cs="Arial" w:eastAsia="Arial" w:hAnsi="Arial"/>
                <w:sz w:val="18"/>
                <w:szCs w:val="18"/>
                <w:color w:val="auto"/>
                <w:w w:val="91"/>
              </w:rPr>
              <w:t>PAGE</w:t>
            </w:r>
          </w:p>
        </w:tc>
      </w:tr>
      <w:tr>
        <w:trPr>
          <w:trHeight w:val="527"/>
        </w:trPr>
        <w:tc>
          <w:tcPr>
            <w:tcW w:w="888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 FINANCIAL INFORMATION</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r>
      <w:tr>
        <w:trPr>
          <w:trHeight w:val="499"/>
        </w:trPr>
        <w:tc>
          <w:tcPr>
            <w:tcW w:w="84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Financial Statements</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1</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1</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2</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Loss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3</w:t>
              </w:r>
            </w:hyperlink>
          </w:p>
        </w:tc>
      </w:tr>
      <w:tr>
        <w:trPr>
          <w:trHeight w:val="50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4</w:t>
              </w:r>
            </w:hyperlink>
          </w:p>
        </w:tc>
      </w:tr>
      <w:tr>
        <w:trPr>
          <w:trHeight w:val="324"/>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6</w:t>
              </w:r>
            </w:hyperlink>
          </w:p>
        </w:tc>
      </w:tr>
      <w:tr>
        <w:trPr>
          <w:trHeight w:val="540"/>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2000" w:type="dxa"/>
            <w:vAlign w:val="bottom"/>
          </w:tcPr>
          <w:p>
            <w:pPr>
              <w:jc w:val="center"/>
              <w:ind w:left="171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7</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8040" w:type="dxa"/>
            <w:vAlign w:val="bottom"/>
          </w:tcPr>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23</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tc>
        <w:tc>
          <w:tcPr>
            <w:tcW w:w="80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tc>
        <w:tc>
          <w:tcPr>
            <w:tcW w:w="8040" w:type="dxa"/>
            <w:vAlign w:val="bottom"/>
          </w:tcPr>
          <w:p>
            <w:pPr>
              <w:ind w:left="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Controls and Procedures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36</w:t>
              </w:r>
            </w:hyperlink>
          </w:p>
        </w:tc>
      </w:tr>
      <w:tr>
        <w:trPr>
          <w:trHeight w:val="499"/>
        </w:trPr>
        <w:tc>
          <w:tcPr>
            <w:tcW w:w="888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PART II. – OTHER INFORMATION</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37</w:t>
              </w:r>
            </w:hyperlink>
          </w:p>
        </w:tc>
      </w:tr>
      <w:tr>
        <w:trPr>
          <w:trHeight w:val="500"/>
        </w:trPr>
        <w:tc>
          <w:tcPr>
            <w:tcW w:w="84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w:t>
              </w:r>
            </w:hyperlink>
          </w:p>
        </w:tc>
        <w:tc>
          <w:tcPr>
            <w:tcW w:w="8040" w:type="dxa"/>
            <w:vAlign w:val="bottom"/>
          </w:tcPr>
          <w:p>
            <w:pPr>
              <w:ind w:left="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37</w:t>
              </w:r>
            </w:hyperlink>
          </w:p>
        </w:tc>
      </w:tr>
      <w:tr>
        <w:trPr>
          <w:trHeight w:val="459"/>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39</w:t>
              </w:r>
            </w:hyperlink>
          </w:p>
        </w:tc>
      </w:tr>
      <w:tr>
        <w:trPr>
          <w:trHeight w:val="304"/>
        </w:trPr>
        <w:tc>
          <w:tcPr>
            <w:tcW w:w="840" w:type="dxa"/>
            <w:vAlign w:val="bottom"/>
            <w:gridSpan w:val="2"/>
          </w:tcPr>
          <w:p>
            <w:pPr>
              <w:spacing w:after="0"/>
              <w:rPr>
                <w:rFonts w:ascii="Arial" w:cs="Arial" w:eastAsia="Arial" w:hAnsi="Arial"/>
                <w:sz w:val="18"/>
                <w:szCs w:val="18"/>
                <w:u w:val="single" w:color="auto"/>
                <w:color w:val="0000FF"/>
                <w:w w:val="95"/>
              </w:rPr>
            </w:pPr>
            <w:hyperlink w:anchor="page42">
              <w:r>
                <w:rPr>
                  <w:rFonts w:ascii="Arial" w:cs="Arial" w:eastAsia="Arial" w:hAnsi="Arial"/>
                  <w:sz w:val="18"/>
                  <w:szCs w:val="18"/>
                  <w:u w:val="single" w:color="auto"/>
                  <w:color w:val="0000FF"/>
                  <w:w w:val="95"/>
                </w:rPr>
                <w:t>Signatures</w:t>
              </w:r>
            </w:hyperlink>
          </w:p>
        </w:tc>
        <w:tc>
          <w:tcPr>
            <w:tcW w:w="8040" w:type="dxa"/>
            <w:vAlign w:val="bottom"/>
          </w:tcPr>
          <w:p>
            <w:pPr>
              <w:spacing w:after="0"/>
              <w:rPr>
                <w:sz w:val="24"/>
                <w:szCs w:val="24"/>
                <w:color w:val="auto"/>
              </w:rPr>
            </w:pPr>
          </w:p>
        </w:tc>
        <w:tc>
          <w:tcPr>
            <w:tcW w:w="2000" w:type="dxa"/>
            <w:vAlign w:val="bottom"/>
          </w:tcPr>
          <w:p>
            <w:pPr>
              <w:jc w:val="center"/>
              <w:ind w:left="173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40" w:top="891" w:right="6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1,032</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Accounts receivable, net of allowances of $3,617 in 2020 and $3,219 in 2019</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156,104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169,528</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6,097</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Insurance recovery receivable</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5,011</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1,689</w:t>
            </w: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174,552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183,357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$21,416 in 2020 and $23,276 in 2019</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11,832</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16,964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90,924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101,066</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5,900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44,957</w:t>
            </w: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18,298</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352,201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382,374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45,726</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36,274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31,307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lease liabilities - current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4,878</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3,554</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98,781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85,465</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49,101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70,974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19,070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7,523</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26,938</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4,867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4,037</w:t>
            </w: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203,127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218,874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307,985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305,643</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(158,015)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(141,775)</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148,647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162,632</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Noncontrolling interest in subsidiary</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868</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163,500</w:t>
            </w:r>
          </w:p>
        </w:tc>
      </w:tr>
      <w:tr>
        <w:trPr>
          <w:trHeight w:val="247"/>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352,201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382,374</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216,779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202,757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426,843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397,928</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151,169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326,506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298,086</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42,254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45,944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88,135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91,980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915</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3,557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6,541</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811</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1,277</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1,600</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14,502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14,502</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230,467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217,853</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441,285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415,712</w:t>
            </w: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(15,096)</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(17,784)</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2,860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34,758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31,746</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(51,270)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(52,646)</w:t>
            </w:r>
          </w:p>
        </w:tc>
      </w:tr>
      <w:tr>
        <w:trPr>
          <w:trHeight w:val="27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w:t>
            </w:r>
          </w:p>
        </w:tc>
        <w:tc>
          <w:tcPr>
            <w:tcW w:w="2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795</w:t>
            </w:r>
          </w:p>
        </w:tc>
      </w:tr>
      <w:tr>
        <w:trPr>
          <w:trHeight w:val="28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(14,151)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(51,674)</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(16,240)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8"/>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Net loss per share attributable to common shareholders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36,123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35,824</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35,998</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35,763</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LOSS (Unaudited,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(52,646)</w:t>
            </w:r>
          </w:p>
        </w:tc>
      </w:tr>
      <w:tr>
        <w:trPr>
          <w:trHeight w:val="256"/>
        </w:trPr>
        <w:tc>
          <w:tcPr>
            <w:tcW w:w="5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 gain</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loss on interest rate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Reclassification adjustment to statement of operations</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Taxes on other comprehensive loss: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Income tax effect related to unrealized foreign currency translation gain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Income tax effect related to reclassification adjustment to statement of</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Valuation allowance adjustment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(873)</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(51,944)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w:t>
            </w: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shareholders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(52,348)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(54,314)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891" w:right="419" w:bottom="1440" w:gutter="0" w:footer="0" w:header="0"/>
        </w:sectPr>
      </w:pPr>
    </w:p>
    <w:bookmarkStart w:id="6" w:name="page7"/>
    <w:bookmarkEnd w:id="6"/>
    <w:p>
      <w:pPr>
        <w:jc w:val="center"/>
        <w:ind w:right="20"/>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Three Months Ended June 30, 2020 and 2019 (Unaudited, amounts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ind w:left="120"/>
              <w:spacing w:after="0"/>
              <w:rPr>
                <w:sz w:val="20"/>
                <w:szCs w:val="20"/>
                <w:color w:val="auto"/>
              </w:rPr>
            </w:pPr>
            <w:r>
              <w:rPr>
                <w:rFonts w:ascii="Arial" w:cs="Arial" w:eastAsia="Arial" w:hAnsi="Arial"/>
                <w:sz w:val="15"/>
                <w:szCs w:val="15"/>
                <w:b w:val="1"/>
                <w:bCs w:val="1"/>
                <w:color w:val="auto"/>
                <w:w w:val="98"/>
              </w:rPr>
              <w:t>Accumulated Other</w:t>
            </w:r>
          </w:p>
        </w:tc>
        <w:tc>
          <w:tcPr>
            <w:tcW w:w="20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280" w:type="dxa"/>
            <w:vAlign w:val="bottom"/>
            <w:vMerge w:val="restart"/>
          </w:tcPr>
          <w:p>
            <w:pPr>
              <w:jc w:val="right"/>
              <w:ind w:right="144"/>
              <w:spacing w:after="0" w:line="146"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4"/>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2020</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36,092</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305,935</w:t>
            </w:r>
          </w:p>
        </w:tc>
        <w:tc>
          <w:tcPr>
            <w:tcW w:w="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(1,318)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(143,864)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161,402</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Vesting of restricted stock</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83</w:t>
            </w:r>
          </w:p>
        </w:tc>
        <w:tc>
          <w:tcPr>
            <w:tcW w:w="24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compensation</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2,072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2,072</w:t>
            </w: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120"/>
              <w:spacing w:after="0"/>
              <w:rPr>
                <w:sz w:val="20"/>
                <w:szCs w:val="20"/>
                <w:color w:val="auto"/>
              </w:rPr>
            </w:pPr>
            <w:r>
              <w:rPr>
                <w:rFonts w:ascii="Arial" w:cs="Arial" w:eastAsia="Arial" w:hAnsi="Arial"/>
                <w:sz w:val="15"/>
                <w:szCs w:val="15"/>
                <w:color w:val="auto"/>
              </w:rPr>
              <w:t>net of taxes</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Distribution to noncontrolling shareholder</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(14,151)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103</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(14,048)</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36,175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307,985</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(158,015)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ind w:left="120"/>
              <w:spacing w:after="0"/>
              <w:rPr>
                <w:sz w:val="20"/>
                <w:szCs w:val="20"/>
                <w:color w:val="auto"/>
              </w:rPr>
            </w:pPr>
            <w:r>
              <w:rPr>
                <w:rFonts w:ascii="Arial" w:cs="Arial" w:eastAsia="Arial" w:hAnsi="Arial"/>
                <w:sz w:val="15"/>
                <w:szCs w:val="15"/>
                <w:b w:val="1"/>
                <w:bCs w:val="1"/>
                <w:color w:val="auto"/>
                <w:w w:val="98"/>
              </w:rPr>
              <w:t>Accumulated Other</w:t>
            </w:r>
          </w:p>
        </w:tc>
        <w:tc>
          <w:tcPr>
            <w:tcW w:w="20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280" w:type="dxa"/>
            <w:vAlign w:val="bottom"/>
            <w:vMerge w:val="restart"/>
          </w:tcPr>
          <w:p>
            <w:pPr>
              <w:jc w:val="right"/>
              <w:ind w:right="144"/>
              <w:spacing w:after="0" w:line="146"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2019</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35,806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302,802</w:t>
            </w:r>
          </w:p>
        </w:tc>
        <w:tc>
          <w:tcPr>
            <w:tcW w:w="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(1,661)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(85,829)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694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216,010</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Exercise of share options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Vesting of restricted stock</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rPr>
                <w:sz w:val="20"/>
                <w:szCs w:val="20"/>
                <w:color w:val="auto"/>
              </w:rPr>
            </w:pPr>
            <w:r>
              <w:rPr>
                <w:rFonts w:ascii="Arial" w:cs="Arial" w:eastAsia="Arial" w:hAnsi="Arial"/>
                <w:sz w:val="15"/>
                <w:szCs w:val="15"/>
                <w:color w:val="auto"/>
              </w:rPr>
              <w:t>Equity compensation</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1,004</w:t>
            </w:r>
          </w:p>
        </w:tc>
        <w:tc>
          <w:tcPr>
            <w:tcW w:w="220" w:type="dxa"/>
            <w:vAlign w:val="bottom"/>
          </w:tcPr>
          <w:p>
            <w:pPr>
              <w:spacing w:after="0"/>
              <w:rPr>
                <w:sz w:val="18"/>
                <w:szCs w:val="18"/>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1,004</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of taxes</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Arial" w:cs="Arial" w:eastAsia="Arial" w:hAnsi="Arial"/>
                <w:sz w:val="15"/>
                <w:szCs w:val="15"/>
                <w:color w:val="auto"/>
                <w:w w:val="97"/>
              </w:rPr>
              <w:t>Net change in hedging transaction, net of</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120"/>
              <w:spacing w:after="0"/>
              <w:rPr>
                <w:sz w:val="20"/>
                <w:szCs w:val="20"/>
                <w:color w:val="auto"/>
              </w:rPr>
            </w:pPr>
            <w:r>
              <w:rPr>
                <w:rFonts w:ascii="Arial" w:cs="Arial" w:eastAsia="Arial" w:hAnsi="Arial"/>
                <w:sz w:val="15"/>
                <w:szCs w:val="15"/>
                <w:color w:val="auto"/>
              </w:rPr>
              <w:t>taxes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Arial" w:cs="Arial" w:eastAsia="Arial" w:hAnsi="Arial"/>
                <w:sz w:val="15"/>
                <w:szCs w:val="15"/>
                <w:color w:val="auto"/>
              </w:rPr>
              <w:t>(693)</w:t>
            </w:r>
          </w:p>
        </w:tc>
        <w:tc>
          <w:tcPr>
            <w:tcW w:w="20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Distribution to noncontrolling shareholder</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(371)</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(51,674)</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404</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(51,270)</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2019</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35,860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303,795</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(137,503)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CROSS COUNTRY HEALTHCARE,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STOCKHOLDERS' EQUITY</w:t>
      </w:r>
    </w:p>
    <w:p>
      <w:pPr>
        <w:jc w:val="center"/>
        <w:ind w:right="20"/>
        <w:spacing w:after="0"/>
        <w:rPr>
          <w:sz w:val="20"/>
          <w:szCs w:val="20"/>
          <w:color w:val="auto"/>
        </w:rPr>
      </w:pPr>
      <w:r>
        <w:rPr>
          <w:rFonts w:ascii="Arial" w:cs="Arial" w:eastAsia="Arial" w:hAnsi="Arial"/>
          <w:sz w:val="20"/>
          <w:szCs w:val="20"/>
          <w:b w:val="1"/>
          <w:bCs w:val="1"/>
          <w:color w:val="auto"/>
        </w:rPr>
        <w:t>Six Months Ended June 30, 2020 and 2019</w:t>
      </w:r>
    </w:p>
    <w:p>
      <w:pPr>
        <w:jc w:val="center"/>
        <w:ind w:right="20"/>
        <w:spacing w:after="0"/>
        <w:rPr>
          <w:sz w:val="20"/>
          <w:szCs w:val="20"/>
          <w:color w:val="auto"/>
        </w:rPr>
      </w:pPr>
      <w:r>
        <w:rPr>
          <w:rFonts w:ascii="Arial" w:cs="Arial" w:eastAsia="Arial" w:hAnsi="Arial"/>
          <w:sz w:val="20"/>
          <w:szCs w:val="20"/>
          <w:b w:val="1"/>
          <w:bCs w:val="1"/>
          <w:color w:val="auto"/>
        </w:rPr>
        <w:t>(Unaudited, 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Accumulated Other</w:t>
            </w:r>
          </w:p>
        </w:tc>
        <w:tc>
          <w:tcPr>
            <w:tcW w:w="18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300" w:type="dxa"/>
            <w:vAlign w:val="bottom"/>
            <w:vMerge w:val="restart"/>
          </w:tcPr>
          <w:p>
            <w:pPr>
              <w:jc w:val="center"/>
              <w:ind w:right="104"/>
              <w:spacing w:after="0" w:line="146" w:lineRule="exact"/>
              <w:rPr>
                <w:sz w:val="20"/>
                <w:szCs w:val="20"/>
                <w:color w:val="auto"/>
              </w:rPr>
            </w:pPr>
            <w:r>
              <w:rPr>
                <w:rFonts w:ascii="Arial" w:cs="Arial" w:eastAsia="Arial" w:hAnsi="Arial"/>
                <w:sz w:val="15"/>
                <w:szCs w:val="15"/>
                <w:b w:val="1"/>
                <w:bCs w:val="1"/>
                <w:color w:val="auto"/>
                <w:w w:val="88"/>
              </w:rPr>
              <w:t>Comprehensive</w:t>
            </w:r>
          </w:p>
        </w:tc>
        <w:tc>
          <w:tcPr>
            <w:tcW w:w="134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7"/>
                <w:szCs w:val="17"/>
                <w:color w:val="auto"/>
              </w:rPr>
            </w:pPr>
          </w:p>
        </w:tc>
        <w:tc>
          <w:tcPr>
            <w:tcW w:w="880" w:type="dxa"/>
            <w:vAlign w:val="bottom"/>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7"/>
                <w:szCs w:val="17"/>
                <w:color w:val="auto"/>
              </w:rPr>
            </w:pPr>
          </w:p>
        </w:tc>
        <w:tc>
          <w:tcPr>
            <w:tcW w:w="1300" w:type="dxa"/>
            <w:vAlign w:val="bottom"/>
          </w:tcPr>
          <w:p>
            <w:pPr>
              <w:jc w:val="center"/>
              <w:ind w:right="104"/>
              <w:spacing w:after="0"/>
              <w:rPr>
                <w:sz w:val="20"/>
                <w:szCs w:val="20"/>
                <w:color w:val="auto"/>
              </w:rPr>
            </w:pPr>
            <w:r>
              <w:rPr>
                <w:rFonts w:ascii="Arial" w:cs="Arial" w:eastAsia="Arial" w:hAnsi="Arial"/>
                <w:sz w:val="15"/>
                <w:szCs w:val="15"/>
                <w:b w:val="1"/>
                <w:bCs w:val="1"/>
                <w:color w:val="auto"/>
                <w:w w:val="84"/>
              </w:rPr>
              <w:t>Loss, net</w:t>
            </w:r>
          </w:p>
        </w:tc>
        <w:tc>
          <w:tcPr>
            <w:tcW w:w="180" w:type="dxa"/>
            <w:vAlign w:val="bottom"/>
          </w:tcPr>
          <w:p>
            <w:pPr>
              <w:spacing w:after="0"/>
              <w:rPr>
                <w:sz w:val="17"/>
                <w:szCs w:val="17"/>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Pr>
          <w:p>
            <w:pPr>
              <w:spacing w:after="0"/>
              <w:rPr>
                <w:sz w:val="17"/>
                <w:szCs w:val="17"/>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Pr>
          <w:p>
            <w:pPr>
              <w:spacing w:after="0"/>
              <w:rPr>
                <w:sz w:val="17"/>
                <w:szCs w:val="17"/>
                <w:color w:val="auto"/>
              </w:rPr>
            </w:pPr>
          </w:p>
        </w:tc>
        <w:tc>
          <w:tcPr>
            <w:tcW w:w="1100" w:type="dxa"/>
            <w:vAlign w:val="bottom"/>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35,871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305,643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868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5"/>
                <w:szCs w:val="15"/>
                <w:color w:val="auto"/>
              </w:rPr>
              <w:t>Vesting of restricted stock</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304</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(657)</w:t>
            </w:r>
          </w:p>
        </w:tc>
        <w:tc>
          <w:tcPr>
            <w:tcW w:w="220" w:type="dxa"/>
            <w:vAlign w:val="bottom"/>
          </w:tcPr>
          <w:p>
            <w:pPr>
              <w:spacing w:after="0"/>
              <w:rPr>
                <w:sz w:val="18"/>
                <w:szCs w:val="18"/>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compensation</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2,999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2,999</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5"/>
                <w:szCs w:val="15"/>
                <w:color w:val="auto"/>
                <w:w w:val="94"/>
              </w:rPr>
              <w:t>Foreign currency translation adjustment, net</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5"/>
                <w:szCs w:val="15"/>
                <w:color w:val="auto"/>
              </w:rPr>
              <w:t>of taxes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(87)</w:t>
            </w:r>
          </w:p>
        </w:tc>
        <w:tc>
          <w:tcPr>
            <w:tcW w:w="18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to noncontrolling shareholder</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(865)</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income</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(16,240)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424</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(15,816)</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36,175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307,985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(1,327)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(158,015)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1680" w:type="dxa"/>
            <w:vAlign w:val="bottom"/>
            <w:gridSpan w:val="3"/>
          </w:tcPr>
          <w:p>
            <w:pPr>
              <w:jc w:val="right"/>
              <w:ind w:right="26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Additional</w:t>
            </w:r>
          </w:p>
        </w:tc>
        <w:tc>
          <w:tcPr>
            <w:tcW w:w="15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Accumulated Other</w:t>
            </w:r>
          </w:p>
        </w:tc>
        <w:tc>
          <w:tcPr>
            <w:tcW w:w="18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5"/>
                <w:szCs w:val="15"/>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184"/>
              <w:spacing w:after="0" w:line="146"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5"/>
                <w:szCs w:val="5"/>
                <w:color w:val="auto"/>
              </w:rPr>
            </w:pPr>
          </w:p>
        </w:tc>
        <w:tc>
          <w:tcPr>
            <w:tcW w:w="1300" w:type="dxa"/>
            <w:vAlign w:val="bottom"/>
            <w:vMerge w:val="restart"/>
          </w:tcPr>
          <w:p>
            <w:pPr>
              <w:jc w:val="center"/>
              <w:ind w:right="104"/>
              <w:spacing w:after="0" w:line="146" w:lineRule="exact"/>
              <w:rPr>
                <w:sz w:val="20"/>
                <w:szCs w:val="20"/>
                <w:color w:val="auto"/>
              </w:rPr>
            </w:pPr>
            <w:r>
              <w:rPr>
                <w:rFonts w:ascii="Arial" w:cs="Arial" w:eastAsia="Arial" w:hAnsi="Arial"/>
                <w:sz w:val="15"/>
                <w:szCs w:val="15"/>
                <w:b w:val="1"/>
                <w:bCs w:val="1"/>
                <w:color w:val="auto"/>
                <w:w w:val="88"/>
              </w:rPr>
              <w:t>Comprehensive</w:t>
            </w:r>
          </w:p>
        </w:tc>
        <w:tc>
          <w:tcPr>
            <w:tcW w:w="134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5"/>
                <w:szCs w:val="5"/>
                <w:color w:val="auto"/>
              </w:rPr>
            </w:pPr>
          </w:p>
        </w:tc>
        <w:tc>
          <w:tcPr>
            <w:tcW w:w="1200" w:type="dxa"/>
            <w:vAlign w:val="bottom"/>
            <w:vMerge w:val="restart"/>
          </w:tcPr>
          <w:p>
            <w:pPr>
              <w:jc w:val="center"/>
              <w:ind w:right="44"/>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84"/>
              <w:spacing w:after="0" w:line="146"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7"/>
                <w:szCs w:val="17"/>
                <w:color w:val="auto"/>
              </w:rPr>
            </w:pPr>
          </w:p>
        </w:tc>
        <w:tc>
          <w:tcPr>
            <w:tcW w:w="880" w:type="dxa"/>
            <w:vAlign w:val="bottom"/>
          </w:tcPr>
          <w:p>
            <w:pPr>
              <w:jc w:val="right"/>
              <w:ind w:right="184"/>
              <w:spacing w:after="0"/>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7"/>
                <w:szCs w:val="17"/>
                <w:color w:val="auto"/>
              </w:rPr>
            </w:pPr>
          </w:p>
        </w:tc>
        <w:tc>
          <w:tcPr>
            <w:tcW w:w="1300" w:type="dxa"/>
            <w:vAlign w:val="bottom"/>
          </w:tcPr>
          <w:p>
            <w:pPr>
              <w:jc w:val="center"/>
              <w:ind w:right="104"/>
              <w:spacing w:after="0"/>
              <w:rPr>
                <w:sz w:val="20"/>
                <w:szCs w:val="20"/>
                <w:color w:val="auto"/>
              </w:rPr>
            </w:pPr>
            <w:r>
              <w:rPr>
                <w:rFonts w:ascii="Arial" w:cs="Arial" w:eastAsia="Arial" w:hAnsi="Arial"/>
                <w:sz w:val="15"/>
                <w:szCs w:val="15"/>
                <w:b w:val="1"/>
                <w:bCs w:val="1"/>
                <w:color w:val="auto"/>
                <w:w w:val="84"/>
              </w:rPr>
              <w:t>Loss, net</w:t>
            </w:r>
          </w:p>
        </w:tc>
        <w:tc>
          <w:tcPr>
            <w:tcW w:w="180" w:type="dxa"/>
            <w:vAlign w:val="bottom"/>
          </w:tcPr>
          <w:p>
            <w:pPr>
              <w:spacing w:after="0"/>
              <w:rPr>
                <w:sz w:val="17"/>
                <w:szCs w:val="17"/>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Pr>
          <w:p>
            <w:pPr>
              <w:spacing w:after="0"/>
              <w:rPr>
                <w:sz w:val="17"/>
                <w:szCs w:val="17"/>
                <w:color w:val="auto"/>
              </w:rPr>
            </w:pPr>
          </w:p>
        </w:tc>
        <w:tc>
          <w:tcPr>
            <w:tcW w:w="1200" w:type="dxa"/>
            <w:vAlign w:val="bottom"/>
          </w:tcPr>
          <w:p>
            <w:pPr>
              <w:jc w:val="center"/>
              <w:ind w:right="64"/>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Pr>
          <w:p>
            <w:pPr>
              <w:spacing w:after="0"/>
              <w:rPr>
                <w:sz w:val="17"/>
                <w:szCs w:val="17"/>
                <w:color w:val="auto"/>
              </w:rPr>
            </w:pPr>
          </w:p>
        </w:tc>
        <w:tc>
          <w:tcPr>
            <w:tcW w:w="1100" w:type="dxa"/>
            <w:vAlign w:val="bottom"/>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2018</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35,626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303,048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(1,462)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(84,062)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218,198</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Vesting of restricted stock</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(788)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(788)</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5"/>
                <w:szCs w:val="15"/>
                <w:color w:val="auto"/>
              </w:rPr>
              <w:t>Equity compensation</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1,535</w:t>
            </w:r>
          </w:p>
        </w:tc>
        <w:tc>
          <w:tcPr>
            <w:tcW w:w="220" w:type="dxa"/>
            <w:vAlign w:val="bottom"/>
          </w:tcPr>
          <w:p>
            <w:pPr>
              <w:spacing w:after="0"/>
              <w:rPr>
                <w:sz w:val="18"/>
                <w:szCs w:val="18"/>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1,535</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Foreign currency translation adjustment, net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 taxes</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72</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5"/>
                <w:szCs w:val="15"/>
                <w:color w:val="auto"/>
              </w:rPr>
              <w:t>Net change in hedging transaction, net of</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5"/>
                <w:szCs w:val="15"/>
                <w:color w:val="auto"/>
              </w:rPr>
              <w:t>taxes</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(945)</w:t>
            </w:r>
          </w:p>
        </w:tc>
        <w:tc>
          <w:tcPr>
            <w:tcW w:w="18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(945)</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to noncontrolling shareholder</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(738)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income</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(53,441)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795</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(52,646)</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2019</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35,860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303,795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(2,335)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(137,503)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Consolidated 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(52,646)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6,541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1,962</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(benefit) expense</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31,425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2,524</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14,502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1,535</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1,167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13,651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7,669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25,142</w:t>
            </w:r>
          </w:p>
        </w:tc>
      </w:tr>
      <w:tr>
        <w:trPr>
          <w:trHeight w:val="256"/>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Acquisition-related settlements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8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Principal payments on Term Loan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192,827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(14,678)</w:t>
            </w:r>
          </w:p>
        </w:tc>
      </w:tr>
      <w:tr>
        <w:trPr>
          <w:trHeight w:val="16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8,811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16,019</w:t>
            </w: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24,830</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2020.</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2019 included in the Company’s Annual Report on Form 10-K as filed with the Securities and Exchange Commission. The December 31, 2019 condensed consolidated balance sheet included herein was derived from the December 31, 2019 audited consolidated balance sheet included in the Company’s Annual Report on Form 10-K.</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on the condensed consolidated statements of operations and statements of cash flows.</w:t>
      </w:r>
    </w:p>
    <w:p>
      <w:pPr>
        <w:spacing w:after="0" w:line="193" w:lineRule="exact"/>
        <w:rPr>
          <w:sz w:val="20"/>
          <w:szCs w:val="20"/>
          <w:color w:val="auto"/>
        </w:rPr>
      </w:pPr>
    </w:p>
    <w:p>
      <w:pPr>
        <w:ind w:right="63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Coronavirus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primarily include employee termination costs and lease-related exit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Termination Costs</w:t>
            </w:r>
          </w:p>
        </w:tc>
        <w:tc>
          <w:tcPr>
            <w:tcW w:w="200" w:type="dxa"/>
            <w:vAlign w:val="bottom"/>
          </w:tcPr>
          <w:p>
            <w:pPr>
              <w:spacing w:after="0"/>
              <w:rPr>
                <w:sz w:val="20"/>
                <w:szCs w:val="20"/>
                <w:color w:val="auto"/>
              </w:rPr>
            </w:pP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Lease-Related Exit Costs</w:t>
            </w:r>
          </w:p>
        </w:tc>
      </w:tr>
      <w:tr>
        <w:trPr>
          <w:trHeight w:val="27"/>
        </w:trPr>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gridSpan w:val="4"/>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4"/>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7"/>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tcPr>
          <w:p>
            <w:pPr>
              <w:spacing w:after="0"/>
              <w:rPr>
                <w:sz w:val="21"/>
                <w:szCs w:val="21"/>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7"/>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1,167</w:t>
            </w:r>
          </w:p>
        </w:tc>
      </w:tr>
      <w:tr>
        <w:trPr>
          <w:trHeight w:val="27"/>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1,565</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5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775</w:t>
            </w:r>
          </w:p>
        </w:tc>
        <w:tc>
          <w:tcPr>
            <w:tcW w:w="3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ind w:right="40" w:firstLine="8"/>
        <w:spacing w:after="0" w:line="259"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condensed consolidated statements of operations for the six months ended June 30, 2020 also include $0.2 million of legal entity reorganization costs and $0.3 million of ongoing lease costs related to the Company's strategic reduction in its real estate footprint which are included as operating lease liabilities - current and non-current in our condensed consolidated balance sheets, as well as other costs of $0.1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Effective January 1, 2020, the Company adopted ASU No. 2018-13, </w:t>
      </w:r>
      <w:r>
        <w:rPr>
          <w:rFonts w:ascii="Arial" w:cs="Arial" w:eastAsia="Arial" w:hAnsi="Arial"/>
          <w:sz w:val="17"/>
          <w:szCs w:val="17"/>
          <w:i w:val="1"/>
          <w:iCs w:val="1"/>
          <w:color w:val="auto"/>
        </w:rPr>
        <w:t>Fair Value Measurement (Topic 820), Disclosure Framework -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based on the concepts in the Concepts Statement, including the consideration of costs and benefits. The Company has adopted this guidance prospectively with no material impact on its condensed consolidated financial statements.</w:t>
      </w:r>
    </w:p>
    <w:p>
      <w:pPr>
        <w:spacing w:after="0" w:line="19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Effective January 1, 2020, the Company adopted ASU No.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which replaces the incurred loss impairment methodology under current GAAP with a methodology that reflects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requires the use of a forward-looking expected credit loss model for accounts receivable, loans, and other financial instruments. The guidance requires a modified retrospective approach through a cumulative-effect adjustment to retained earnings as of the beginning of the first reporting period in which it is effective. The Company has adopted this guidance using the modified retrospective approach related to its accounts receivable, resulting in no cumulative adjustment to retained earnings and no material impact on its condensed consolidated financial statements. See Note 3 -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CUSTOMER CONTRACTS</w:t>
      </w:r>
    </w:p>
    <w:p>
      <w:pPr>
        <w:spacing w:after="0" w:line="1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revenues from customer contracts are generated from temporary staffing services and other services. Historically, no customer has represented more than 10% of the Company's revenue. During the three months ended June 30, 2020, however, one Nurse and Allied Staffing customer concentrated in the Northeast represented approximately 13% of the Company's revenue, which was due to staffing to support the impacts of COVID-19. Revenue is disaggregated by segment in the following table. Sales and usage-based taxes are excluded from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 June 30, 2020</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193,331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16,081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209,412</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4,767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7,367</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198,098</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16,872</w:t>
            </w:r>
          </w:p>
        </w:tc>
        <w:tc>
          <w:tcPr>
            <w:tcW w:w="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1,809</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216,779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 June 30, 2019</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177,733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16,827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194,560</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3,054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8,197</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180,787</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18,028</w:t>
            </w:r>
          </w:p>
        </w:tc>
        <w:tc>
          <w:tcPr>
            <w:tcW w:w="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3,942</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202,757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Six Months ended June 30, 2020</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34"/>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378,279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33,241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411,520</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8,052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5,459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15,323</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386,331</w:t>
            </w:r>
          </w:p>
        </w:tc>
        <w:tc>
          <w:tcPr>
            <w:tcW w:w="2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35,053</w:t>
            </w:r>
          </w:p>
        </w:tc>
        <w:tc>
          <w:tcPr>
            <w:tcW w:w="2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5,459</w:t>
            </w:r>
          </w:p>
        </w:tc>
        <w:tc>
          <w:tcPr>
            <w:tcW w:w="2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426,843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Six Months ended June 30, 2019</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r>
      <w:tr>
        <w:trPr>
          <w:trHeight w:val="34"/>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350,396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31,981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382,377</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6,028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7,317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15,551</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356,424</w:t>
            </w:r>
          </w:p>
        </w:tc>
        <w:tc>
          <w:tcPr>
            <w:tcW w:w="2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34,187</w:t>
            </w:r>
          </w:p>
        </w:tc>
        <w:tc>
          <w:tcPr>
            <w:tcW w:w="2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7,317</w:t>
            </w:r>
          </w:p>
        </w:tc>
        <w:tc>
          <w:tcPr>
            <w:tcW w:w="2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397,928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our customers which are classified as accounts receivable on the condensed consolidated balance sheets and are presented net of allowances for doubtful accounts and sales allowances. Estimated revenue for the Company's employees', subcontracted employees', and independent contractors’ time worked but not yet billed at June 30, 2020 and December 31, 2019 totaled $45.0 million and $46.1 million,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ind w:right="80"/>
        <w:spacing w:after="0" w:line="272" w:lineRule="auto"/>
        <w:rPr>
          <w:sz w:val="20"/>
          <w:szCs w:val="20"/>
          <w:color w:val="auto"/>
        </w:rPr>
      </w:pPr>
      <w:r>
        <w:rPr>
          <w:rFonts w:ascii="Arial" w:cs="Arial" w:eastAsia="Arial" w:hAnsi="Arial"/>
          <w:sz w:val="17"/>
          <w:szCs w:val="17"/>
          <w:color w:val="auto"/>
        </w:rPr>
        <w:t>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271"/>
              <w:spacing w:after="0"/>
              <w:rPr>
                <w:sz w:val="20"/>
                <w:szCs w:val="20"/>
                <w:color w:val="auto"/>
              </w:rPr>
            </w:pPr>
            <w:r>
              <w:rPr>
                <w:rFonts w:ascii="Arial" w:cs="Arial" w:eastAsia="Arial" w:hAnsi="Arial"/>
                <w:sz w:val="16"/>
                <w:szCs w:val="16"/>
                <w:color w:val="auto"/>
                <w:w w:val="96"/>
              </w:rPr>
              <w:t>(amounts in thousands)</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2,406</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539</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Write-Offs, net of Recoveries</w:t>
            </w:r>
          </w:p>
        </w:tc>
        <w:tc>
          <w:tcPr>
            <w:tcW w:w="22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2,596</w:t>
            </w: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21"/>
                <w:szCs w:val="21"/>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898</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63"/>
        </w:trPr>
        <w:tc>
          <w:tcPr>
            <w:tcW w:w="90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2,962</w:t>
            </w:r>
          </w:p>
        </w:tc>
      </w:tr>
      <w:tr>
        <w:trPr>
          <w:trHeight w:val="21"/>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and adjustments to the reserve are recorded as contra-revenue. The balance of this allowance as of June 30, 2020 and December 31, 2019 was $0.7 million and $0.8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Total comprehensive loss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In accordance with the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$1.4 million and $1.3 million at June 30, 2020 and December 31, 2019, respectively.</w:t>
      </w:r>
    </w:p>
    <w:p>
      <w:pPr>
        <w:spacing w:after="0" w:line="16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income tax impact related to components of other comprehensive loss for the three and six months ended June 30, 2020 and 2019 is reflected on the condensed consolidated statements of comprehensive loss. During the three and six months ended June 30, 2019, the Company established a valuation allowance on its deferred tax assets. As a result, the first quarter's tax impact recorded through other comprehensive income was reversed.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3"/>
                <w:szCs w:val="23"/>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(amounts in thousands, except per share data)</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18"/>
                <w:szCs w:val="18"/>
                <w:color w:val="auto"/>
                <w:w w:val="93"/>
              </w:rPr>
              <w:t>Net loss attributable to common shareholders - Basic and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(51,674)</w:t>
            </w:r>
          </w:p>
        </w:tc>
        <w:tc>
          <w:tcPr>
            <w:tcW w:w="2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(16,240)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(53,441)</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 Basic</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35,824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35,763</w:t>
            </w:r>
          </w:p>
        </w:tc>
        <w:tc>
          <w:tcPr>
            <w:tcW w:w="0" w:type="dxa"/>
            <w:vAlign w:val="bottom"/>
          </w:tcPr>
          <w:p>
            <w:pPr>
              <w:spacing w:after="0"/>
              <w:rPr>
                <w:sz w:val="1"/>
                <w:szCs w:val="1"/>
                <w:color w:val="auto"/>
              </w:rPr>
            </w:pPr>
          </w:p>
        </w:tc>
      </w:tr>
      <w:tr>
        <w:trPr>
          <w:trHeight w:val="243"/>
        </w:trPr>
        <w:tc>
          <w:tcPr>
            <w:tcW w:w="5000" w:type="dxa"/>
            <w:vAlign w:val="bottom"/>
          </w:tcPr>
          <w:p>
            <w:pPr>
              <w:ind w:left="120"/>
              <w:spacing w:after="0"/>
              <w:rPr>
                <w:sz w:val="20"/>
                <w:szCs w:val="20"/>
                <w:color w:val="auto"/>
              </w:rPr>
            </w:pPr>
            <w:r>
              <w:rPr>
                <w:rFonts w:ascii="Arial" w:cs="Arial" w:eastAsia="Arial" w:hAnsi="Arial"/>
                <w:sz w:val="18"/>
                <w:szCs w:val="18"/>
                <w:color w:val="auto"/>
              </w:rPr>
              <w:t>Effect of diluted shares: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awards (a)</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00" w:type="dxa"/>
            <w:vAlign w:val="bottom"/>
          </w:tcPr>
          <w:p>
            <w:pPr>
              <w:ind w:left="12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36,123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35,824</w:t>
            </w: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35,998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35,763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w w:val="92"/>
              </w:rPr>
              <w:t>Net loss per share attributable to common shareholders - Basic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5"/>
        </w:trPr>
        <w:tc>
          <w:tcPr>
            <w:tcW w:w="500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ind w:right="260" w:firstLine="8"/>
        <w:spacing w:after="0" w:line="263"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net loss for the three and six months ended June 30, 2020 and 2019, 75,688, 265,304, 117,259, and 107,222 shares, respectively, were excluded from diluted weighted average shares. For the three and six months ended June 30, 2020 and 2019, no tax benefits were assumed for the potentially dilutive shares due to the Company's net operating loss position.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880" w:type="dxa"/>
            <w:vAlign w:val="bottom"/>
            <w:gridSpan w:val="9"/>
          </w:tcPr>
          <w:p>
            <w:pPr>
              <w:spacing w:after="0"/>
              <w:rPr>
                <w:sz w:val="20"/>
                <w:szCs w:val="20"/>
                <w:color w:val="auto"/>
              </w:rPr>
            </w:pPr>
            <w:r>
              <w:rPr>
                <w:rFonts w:ascii="Arial" w:cs="Arial" w:eastAsia="Arial" w:hAnsi="Arial"/>
                <w:sz w:val="18"/>
                <w:szCs w:val="18"/>
                <w:b w:val="1"/>
                <w:bCs w:val="1"/>
                <w:color w:val="auto"/>
              </w:rPr>
              <w:t>6. GOODWILL, TRADE NAMES, AND OTHER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6"/>
          </w:tcPr>
          <w:p>
            <w:pPr>
              <w:spacing w:after="0"/>
              <w:rPr>
                <w:sz w:val="20"/>
                <w:szCs w:val="20"/>
                <w:color w:val="auto"/>
              </w:rPr>
            </w:pPr>
            <w:r>
              <w:rPr>
                <w:rFonts w:ascii="Arial" w:cs="Arial" w:eastAsia="Arial" w:hAnsi="Arial"/>
                <w:sz w:val="18"/>
                <w:szCs w:val="18"/>
                <w:color w:val="auto"/>
                <w:w w:val="90"/>
              </w:rPr>
              <w:t>The Company had the following acquired intangible assets: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subject to</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30,530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13,796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16,734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30,530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5"/>
              <w:spacing w:after="0"/>
              <w:rPr>
                <w:sz w:val="20"/>
                <w:szCs w:val="20"/>
                <w:color w:val="auto"/>
              </w:rPr>
            </w:pPr>
            <w:r>
              <w:rPr>
                <w:rFonts w:ascii="Arial" w:cs="Arial" w:eastAsia="Arial" w:hAnsi="Arial"/>
                <w:sz w:val="18"/>
                <w:szCs w:val="18"/>
                <w:color w:val="auto"/>
              </w:rPr>
              <w:t>12,269</w:t>
            </w:r>
          </w:p>
        </w:tc>
        <w:tc>
          <w:tcPr>
            <w:tcW w:w="2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49,246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28,115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21,131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26,596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3,487</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1,125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84,580</w:t>
            </w: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45,579</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39,001</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85,108</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8"/>
                <w:szCs w:val="18"/>
                <w:color w:val="auto"/>
              </w:rPr>
              <w:t>40,151</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44,957</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Intangible assets not subject to</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Trade names, indefinite-lived</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80" w:type="dxa"/>
            <w:vAlign w:val="bottom"/>
            <w:gridSpan w:val="9"/>
            <w:vMerge w:val="restart"/>
          </w:tcPr>
          <w:p>
            <w:pPr>
              <w:spacing w:after="0"/>
              <w:rPr>
                <w:sz w:val="20"/>
                <w:szCs w:val="20"/>
                <w:color w:val="auto"/>
              </w:rPr>
            </w:pPr>
            <w:r>
              <w:rPr>
                <w:rFonts w:ascii="Arial" w:cs="Arial" w:eastAsia="Arial" w:hAnsi="Arial"/>
                <w:sz w:val="18"/>
                <w:szCs w:val="18"/>
                <w:color w:val="auto"/>
                <w:w w:val="99"/>
              </w:rPr>
              <w:t>As of June 30, 2020, estimated annual amortization expense is as follows: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88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6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35"/>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Borders>
              <w:top w:val="single" w:sz="8" w:color="auto"/>
            </w:tcBorders>
          </w:tcPr>
          <w:p>
            <w:pPr>
              <w:jc w:val="center"/>
              <w:ind w:right="53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0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006"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Search</w:t>
            </w: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5"/>
          </w:tcPr>
          <w:p>
            <w:pPr>
              <w:ind w:left="560"/>
              <w:spacing w:after="0"/>
              <w:rPr>
                <w:sz w:val="20"/>
                <w:szCs w:val="20"/>
                <w:color w:val="auto"/>
              </w:rPr>
            </w:pPr>
            <w:r>
              <w:rPr>
                <w:rFonts w:ascii="Arial" w:cs="Arial" w:eastAsia="Arial" w:hAnsi="Arial"/>
                <w:sz w:val="18"/>
                <w:szCs w:val="18"/>
                <w:color w:val="auto"/>
              </w:rPr>
              <w:t>(amounts in thousands)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Aggregate goodwill acquired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346,130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411,285</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(9,889)</w:t>
            </w: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Accumulated impairment loss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(259,732)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(300,330)</w:t>
            </w: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net of impairment loss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101,066</w:t>
            </w:r>
          </w:p>
        </w:tc>
      </w:tr>
      <w:tr>
        <w:trPr>
          <w:trHeight w:val="270"/>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Changes to aggregate goodwill in 2020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(10,142)</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of API 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June 30, 2020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Aggregate goodwill acquired</w:t>
            </w:r>
          </w:p>
        </w:tc>
        <w:tc>
          <w:tcPr>
            <w:tcW w:w="2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346,130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411,285</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(9,889)</w:t>
            </w: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Accumulated impairment loss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(259,732)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(310,472)</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of API goodwill</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4"/>
        </w:trPr>
        <w:tc>
          <w:tcPr>
            <w:tcW w:w="4360" w:type="dxa"/>
            <w:vAlign w:val="bottom"/>
          </w:tcPr>
          <w:p>
            <w:pPr>
              <w:ind w:left="120"/>
              <w:spacing w:after="0"/>
              <w:rPr>
                <w:sz w:val="20"/>
                <w:szCs w:val="20"/>
                <w:color w:val="auto"/>
              </w:rPr>
            </w:pPr>
            <w:r>
              <w:rPr>
                <w:rFonts w:ascii="Arial" w:cs="Arial" w:eastAsia="Arial" w:hAnsi="Arial"/>
                <w:sz w:val="18"/>
                <w:szCs w:val="18"/>
                <w:color w:val="auto"/>
              </w:rPr>
              <w:t>Goodwill, net of impairment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86,422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90,924</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COVID-19 pandemic on the business, all reporting units were quantitatively tested. For the Nurse and Allied Staffing and Physician Staffing reporting units no impairment was identified as the fair value was substantially in excess of the carrying amount of goodwill.</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Search reporting unit under-performed relative to management’s expectations in the second quarter of 2020. The lower than expected revenue was driven by: (i) the cancellation or postponement of a significant number of working searches, (ii) the decision to delay the hiring of new revenue producers, and (iii) the loss of customers, which were mostly related to the negative impacts of COVID-19. As a result, the quantitative testing of the Search reporting unit resulted in impairment charges of $10.2 million for its goodwill and $0.3 million for its customer relationships.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order to determine the fair value of the Search reporting unit, the Company used a combination of an income and market approach. The weighting was based on the specific characteristics, risks, and uncertainties of the Search reporting unit. The discounted cash flow that served as the primary basis for the income approach was based on the Company’s discrete financial forecast of revenue, gross profit margins, operating costs, and cash flows. It also considered estimated future results, economic and market conditions including the timing and duration of COVID-19, as well as the impact of planned business and operational strategies. Assumptions used in the market approach were derived including an analysis of a range of valuation multiples of comparable public companies.</w:t>
      </w:r>
    </w:p>
    <w:p>
      <w:pPr>
        <w:spacing w:after="0" w:line="21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June 30, 2020 will prove to be accurate predictions of future performance.</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as impairment charges on the condensed consolidated statements of operations for the three and six months ended June 30, 2019.</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connection with its rebranding efforts, the Company made a decision at the end of 2019 to phase out a trade name by the end of 2020, which as of December 31, 2019 would have been recognized over a weighted average life of 7.5 years. In connection with this decision, the Company expected accelerated amortization related to the trade name of $2.9 million throughout 2020. In the second quarter of 2020, the Company further accelerated its rebranding plan and shortened the estimated remaining life of the trade name. Total accelerated amortization resulting from the changes in the estimated remaining life of the trade name were $1.4 million, or $0.04 per share, and $2.1 million, or $0.06 per share, for the three and six months ended June 30,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(defined below) and entered into an ABL Credit Agreement (Loan Agreement). The Loan Agreement provided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30, 2020, the Company amended its Loan Agreement, which increased the current aggregate committed size of the ABL from $120.0 million to $130.0 million. All other terms, conditions, covenants, and pricing of the Loan Agreement remain the same. The amendment was treated as a modification of debt and, as a result, the associated fees and costs of $0.1 million were included in debt issuance costs and will be amortized ratably over the remaining term of the agreement.</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Availability of the ABL commitments is subject to a borrowing base of up to 85% of secured eligible accounts receivable, subject to adjustment at certain quality levels, plus an amount of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Additionally, the facility contains a provision to increase the aggregate committed size of the facility to $150.0 million. At June 30, 2020, availability under the ABL was $130.0 million and the Company had $49.1 million of borrowings drawn, as well as $19.6 million of letters of credit outstanding related to workers' compensation and professional liability policies, leaving $61.3 million available for borrowing. The balances drawn are presented as revolving credit facility on the condensed consolidated balance sheets and as of June 30, 2020 and December 31, 2019 had a weighted average interest rate of 2.89% and 4.23%, respectively.</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June 30, 2020. Obligations under the ABL are secured by substantially all the assets of the borrowers and guarantors, subject to customary exceptions.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Senior Credit Facility</w:t>
      </w:r>
    </w:p>
    <w:p>
      <w:pPr>
        <w:spacing w:after="0" w:line="11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Company had a prior senior credit facility that included a revolver and term loan. The term loan was payable in quarterly installments and the Company had the right at any time to prepay borrowings in whole or in part, without premium or penalty. In the first and second quarter of 2019, the Company made an optional prepayment on the term loan of $7.5 million and $5.0 million, respectively.</w:t>
      </w:r>
    </w:p>
    <w:p>
      <w:pPr>
        <w:spacing w:after="0" w:line="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Also in the first quarter of 2019, the Company amended its prior senior credit facility to reduce the commitment under the revolving credit facility, among other changes. The amendment was treated as a modification and the fees of $0.6 million paid to its lenders were classified as debt issuance costs.</w:t>
      </w:r>
    </w:p>
    <w:p>
      <w:pPr>
        <w:spacing w:after="0" w:line="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 result of the reduction in borrowing capacity under the revolving credit facility, as well as the reduction in the term loan due to the prepayments in the six months ended June 30, 2019, $0.4 million of debt issuance costs were written off. The amount of the write-off is reflected as loss on early extinguishment of debt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contingent purchase price liabilities for a previously acquired business that were payable annually based on certain performance criteria for the years 2016 through 2019, and a second performance criteria related to 2019 payable in three equal installments. Pursuant to the asset purchase agreement, once the earnout amount related to the second performance criteria for 2019 was determined, a note payable documenting the remaining principal and interest was specified as part of the settlement. In the first quarter of 2020, the total earnout amount related to both 2019 performance criterion of $7.4 million was determined, and $0.1 million was paid by the Company. Pursuant to the note payable, the first installment of $2.4 million was paid in the second quarter of 2020, the second installment of $2.4 million is payable on January 31, 2021, and the third installment of $2.5 million is to be paid, together with interest at a rate of 2% per annum, accruing from April 1, 2020, on January 31, 2022. As of June 30, 2020, the current portion of the note payable in the amount of</w:t>
      </w:r>
    </w:p>
    <w:p>
      <w:pPr>
        <w:spacing w:after="0" w:line="6"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$2.4 million is included in other current liabilities and the long-term portion of $2.5 million is included in other long-term liabilities on the condensed consolidated balance sheets.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Company's lease population of its right-of-use asset and lease liabilities under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During the second quarter of 2020, in connection with the continuing developments from COVID-19, the Company expedited restructuring plans and either reduced or fully vacated leased office space. The Company is in the process of seeking to sublet some of the space where possible. The decision and change in the use of space resulted in a right-of-use asset impairment charge of $3.8 million. This loss was determined by comparing the fair value of the impacted right-of-use assets to the carrying value of the assets as of the impairment measurement date, in accordance with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Where or when applicable, the fair value of the right-of-use assets was based on the estimated sublease income for the space taking into consideration the time period it will take to obtain a subtenant, the applicable discount rate, and the sublease rate. Furthermore, the Company wrote off a total of $0.7 million of leasehold improvements and other property and equipment related to these locations. The measurement of the right-of-use asset impairments, using the assumptions described, is a level 3 measurement.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440" w:type="dxa"/>
            <w:vAlign w:val="bottom"/>
          </w:tcPr>
          <w:p>
            <w:pPr>
              <w:spacing w:after="0"/>
              <w:rPr>
                <w:sz w:val="20"/>
                <w:szCs w:val="20"/>
                <w:color w:val="auto"/>
              </w:rPr>
            </w:pPr>
          </w:p>
        </w:tc>
        <w:tc>
          <w:tcPr>
            <w:tcW w:w="2220" w:type="dxa"/>
            <w:vAlign w:val="bottom"/>
          </w:tcPr>
          <w:p>
            <w:pPr>
              <w:jc w:val="right"/>
              <w:ind w:right="750"/>
              <w:spacing w:after="0"/>
              <w:rPr>
                <w:sz w:val="20"/>
                <w:szCs w:val="20"/>
                <w:color w:val="auto"/>
              </w:rPr>
            </w:pPr>
            <w:r>
              <w:rPr>
                <w:rFonts w:ascii="Arial" w:cs="Arial" w:eastAsia="Arial" w:hAnsi="Arial"/>
                <w:sz w:val="18"/>
                <w:szCs w:val="18"/>
                <w:b w:val="1"/>
                <w:bCs w:val="1"/>
                <w:color w:val="auto"/>
              </w:rPr>
              <w:t>June 30, 2020</w:t>
            </w:r>
          </w:p>
        </w:tc>
        <w:tc>
          <w:tcPr>
            <w:tcW w:w="460" w:type="dxa"/>
            <w:vAlign w:val="bottom"/>
          </w:tcPr>
          <w:p>
            <w:pPr>
              <w:spacing w:after="0"/>
              <w:rPr>
                <w:sz w:val="20"/>
                <w:szCs w:val="20"/>
                <w:color w:val="auto"/>
              </w:rPr>
            </w:pP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8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gridSpan w:val="3"/>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gridSpan w:val="3"/>
          </w:tcPr>
          <w:p>
            <w:pPr>
              <w:jc w:val="right"/>
              <w:ind w:right="1750"/>
              <w:spacing w:after="0"/>
              <w:rPr>
                <w:sz w:val="20"/>
                <w:szCs w:val="20"/>
                <w:color w:val="auto"/>
              </w:rPr>
            </w:pPr>
            <w:r>
              <w:rPr>
                <w:rFonts w:ascii="Arial" w:cs="Arial" w:eastAsia="Arial" w:hAnsi="Arial"/>
                <w:sz w:val="18"/>
                <w:szCs w:val="18"/>
                <w:color w:val="auto"/>
              </w:rPr>
              <w:t>(amounts in thousands)</w:t>
            </w:r>
          </w:p>
        </w:tc>
      </w:tr>
      <w:tr>
        <w:trPr>
          <w:trHeight w:val="27"/>
        </w:trPr>
        <w:tc>
          <w:tcPr>
            <w:tcW w:w="5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11,553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16,964</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4,883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4,878</w:t>
            </w:r>
          </w:p>
        </w:tc>
      </w:tr>
      <w:tr>
        <w:trPr>
          <w:trHeight w:val="27"/>
        </w:trPr>
        <w:tc>
          <w:tcPr>
            <w:tcW w:w="5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16,757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19,070</w:t>
            </w:r>
          </w:p>
        </w:tc>
      </w:tr>
      <w:tr>
        <w:trPr>
          <w:trHeight w:val="378"/>
        </w:trPr>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4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 years</w:t>
            </w:r>
          </w:p>
        </w:tc>
        <w:tc>
          <w:tcPr>
            <w:tcW w:w="4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4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6.26 %</w:t>
            </w:r>
          </w:p>
        </w:tc>
        <w:tc>
          <w:tcPr>
            <w:tcW w:w="4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6.26 %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 as of June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gridSpan w:val="2"/>
          </w:tcPr>
          <w:p>
            <w:pPr>
              <w:jc w:val="right"/>
              <w:ind w:right="370"/>
              <w:spacing w:after="0"/>
              <w:rPr>
                <w:sz w:val="20"/>
                <w:szCs w:val="20"/>
                <w:color w:val="auto"/>
              </w:rPr>
            </w:pPr>
            <w:r>
              <w:rPr>
                <w:rFonts w:ascii="Arial" w:cs="Arial" w:eastAsia="Arial" w:hAnsi="Arial"/>
                <w:sz w:val="18"/>
                <w:szCs w:val="18"/>
                <w:color w:val="auto"/>
              </w:rPr>
              <w:t>(amounts 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2021</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4,763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2024</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Less: amount of lease payments representing interest</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minimum lease payments</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Less: current lease obligations</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lease obligations</w:t>
            </w:r>
          </w:p>
        </w:tc>
        <w:tc>
          <w:tcPr>
            <w:tcW w:w="1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8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Cash paid for amounts included in the measurement of operating lease</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3,654</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3,685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Right-of-use assets acquired under operating lease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631</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3"/>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6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66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1,407</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1,698</w:t>
            </w: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expense</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1,451</w:t>
            </w:r>
          </w:p>
        </w:tc>
        <w:tc>
          <w:tcPr>
            <w:tcW w:w="11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1,949</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659</w:t>
            </w:r>
          </w:p>
        </w:tc>
      </w:tr>
      <w:tr>
        <w:trPr>
          <w:trHeight w:val="540"/>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66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66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2,930</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3,392</w:t>
            </w:r>
          </w:p>
        </w:tc>
      </w:tr>
      <w:tr>
        <w:trPr>
          <w:trHeight w:val="27"/>
        </w:trPr>
        <w:tc>
          <w:tcPr>
            <w:tcW w:w="5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expense</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3,296</w:t>
            </w:r>
          </w:p>
        </w:tc>
        <w:tc>
          <w:tcPr>
            <w:tcW w:w="11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4,108</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1,056</w:t>
            </w: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1,377</w:t>
            </w:r>
          </w:p>
        </w:tc>
      </w:tr>
    </w:tbl>
    <w:p>
      <w:pPr>
        <w:spacing w:after="0" w:line="36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2020,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financial assets/liabilities required to be measured on a recurring basis were its: (1) deferred compensation asset included in other non-current assets; (2) deferred compensation liability included in other long-term liabilities; and (3) contingent consideration liabilities included as other current liabilities and contingent consideration on its condensed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8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Contingent consideration liabilities</w:t>
      </w:r>
      <w:r>
        <w:rPr>
          <w:rFonts w:ascii="Arial" w:cs="Arial" w:eastAsia="Arial" w:hAnsi="Arial"/>
          <w:sz w:val="16"/>
          <w:szCs w:val="16"/>
          <w:color w:val="auto"/>
        </w:rPr>
        <w:t>—Potential earnout payments related to the acquisition of Mediscan were contingent upon meeting certain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through 2019. As of December 31, 2019, the long-term portion of these liabilities has been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As of December 31, 2019, due to the end of the earnout period, the Company measured the fair value of the liability based on the expected payout related to its Mediscan acquisition.</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the first quarter of 2020, the total earnout amounts related to 2019 of $7.4 million was determined, and $0.1 million was paid by the Company. The remaining $7.3 million was documented as a subordinated promissory note payable and is included in other current and other long-term liabilities on the condensed consolidated balance sheets which is not measured at fair value on a recurring basis. See Note 7 -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63" w:lineRule="exact"/>
        <w:rPr>
          <w:sz w:val="20"/>
          <w:szCs w:val="20"/>
          <w:color w:val="auto"/>
        </w:rPr>
      </w:pPr>
    </w:p>
    <w:p>
      <w:pPr>
        <w:ind w:left="7220"/>
        <w:spacing w:after="0"/>
        <w:tabs>
          <w:tab w:leader="none" w:pos="9380" w:val="left"/>
        </w:tabs>
        <w:rPr>
          <w:sz w:val="20"/>
          <w:szCs w:val="20"/>
          <w:color w:val="auto"/>
        </w:rPr>
      </w:pPr>
      <w:r>
        <w:rPr>
          <w:rFonts w:ascii="Arial" w:cs="Arial" w:eastAsia="Arial" w:hAnsi="Arial"/>
          <w:sz w:val="18"/>
          <w:szCs w:val="18"/>
          <w:b w:val="1"/>
          <w:bCs w:val="1"/>
          <w:color w:val="auto"/>
        </w:rPr>
        <w:t>June 30, 2020</w:t>
      </w:r>
      <w:r>
        <w:rPr>
          <w:sz w:val="20"/>
          <w:szCs w:val="20"/>
          <w:color w:val="auto"/>
        </w:rPr>
        <w:tab/>
      </w: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05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6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1062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10628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52" w:lineRule="exact"/>
        <w:rPr>
          <w:sz w:val="20"/>
          <w:szCs w:val="20"/>
          <w:color w:val="auto"/>
        </w:rPr>
      </w:pPr>
    </w:p>
    <w:p>
      <w:pPr>
        <w:ind w:left="240"/>
        <w:spacing w:after="0"/>
        <w:tabs>
          <w:tab w:leader="none" w:pos="6640" w:val="left"/>
          <w:tab w:leader="none" w:pos="8380" w:val="left"/>
          <w:tab w:leader="none" w:pos="9040" w:val="left"/>
          <w:tab w:leader="none" w:pos="1078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830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1062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-127635</wp:posOffset>
            </wp:positionV>
            <wp:extent cx="2905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72" w:lineRule="exact"/>
        <w:rPr>
          <w:sz w:val="20"/>
          <w:szCs w:val="20"/>
          <w:color w:val="auto"/>
        </w:rPr>
      </w:pPr>
    </w:p>
    <w:p>
      <w:pPr>
        <w:ind w:left="240"/>
        <w:spacing w:after="0"/>
        <w:tabs>
          <w:tab w:leader="none" w:pos="6640" w:val="left"/>
          <w:tab w:leader="none" w:pos="8260" w:val="left"/>
          <w:tab w:leader="none" w:pos="9040" w:val="left"/>
          <w:tab w:leader="none" w:pos="1064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3)</w:t>
      </w:r>
    </w:p>
    <w:p>
      <w:pPr>
        <w:spacing w:after="0" w:line="72" w:lineRule="exact"/>
        <w:rPr>
          <w:sz w:val="20"/>
          <w:szCs w:val="20"/>
          <w:color w:val="auto"/>
        </w:rPr>
      </w:pPr>
    </w:p>
    <w:p>
      <w:pPr>
        <w:ind w:left="240"/>
        <w:spacing w:after="0"/>
        <w:tabs>
          <w:tab w:leader="none" w:pos="6640" w:val="left"/>
          <w:tab w:leader="none" w:pos="8480" w:val="left"/>
          <w:tab w:leader="none" w:pos="9040" w:val="left"/>
          <w:tab w:leader="none" w:pos="10640" w:val="left"/>
        </w:tabs>
        <w:rPr>
          <w:sz w:val="20"/>
          <w:szCs w:val="20"/>
          <w:color w:val="auto"/>
        </w:rPr>
      </w:pPr>
      <w:r>
        <w:rPr>
          <w:rFonts w:ascii="Arial" w:cs="Arial" w:eastAsia="Arial" w:hAnsi="Arial"/>
          <w:sz w:val="18"/>
          <w:szCs w:val="18"/>
          <w:color w:val="auto"/>
        </w:rPr>
        <w:t>Contingent consideration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0576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Contingent Consideration</w:t>
            </w:r>
          </w:p>
        </w:tc>
        <w:tc>
          <w:tcPr>
            <w:tcW w:w="1580" w:type="dxa"/>
            <w:vAlign w:val="bottom"/>
          </w:tcPr>
          <w:p>
            <w:pPr>
              <w:spacing w:after="0"/>
              <w:rPr>
                <w:sz w:val="20"/>
                <w:szCs w:val="20"/>
                <w:color w:val="auto"/>
              </w:rPr>
            </w:pPr>
          </w:p>
        </w:tc>
      </w:tr>
      <w:tr>
        <w:trPr>
          <w:trHeight w:val="270"/>
        </w:trPr>
        <w:tc>
          <w:tcPr>
            <w:tcW w:w="5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1580" w:type="dxa"/>
            <w:vAlign w:val="bottom"/>
          </w:tcPr>
          <w:p>
            <w:pPr>
              <w:spacing w:after="0"/>
              <w:rPr>
                <w:sz w:val="23"/>
                <w:szCs w:val="23"/>
                <w:color w:val="auto"/>
              </w:rPr>
            </w:pPr>
          </w:p>
        </w:tc>
      </w:tr>
      <w:tr>
        <w:trPr>
          <w:trHeight w:val="27"/>
        </w:trPr>
        <w:tc>
          <w:tcPr>
            <w:tcW w:w="58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7"/>
        </w:trPr>
        <w:tc>
          <w:tcPr>
            <w:tcW w:w="58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5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6"/>
                <w:szCs w:val="16"/>
                <w:color w:val="auto"/>
                <w:w w:val="90"/>
              </w:rPr>
              <w:t>(amounts in thousands)</w:t>
            </w:r>
          </w:p>
        </w:tc>
        <w:tc>
          <w:tcPr>
            <w:tcW w:w="158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7,689</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Payments</w:t>
            </w:r>
          </w:p>
        </w:tc>
        <w:tc>
          <w:tcPr>
            <w:tcW w:w="15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 expense</w:t>
            </w:r>
          </w:p>
        </w:tc>
        <w:tc>
          <w:tcPr>
            <w:tcW w:w="1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Valuation adjustment</w:t>
            </w:r>
          </w:p>
        </w:tc>
        <w:tc>
          <w:tcPr>
            <w:tcW w:w="15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to other current and long-term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(7,277)</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7,836</w:t>
            </w:r>
          </w:p>
        </w:tc>
      </w:tr>
      <w:tr>
        <w:trPr>
          <w:trHeight w:val="27"/>
        </w:trPr>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 expense</w:t>
            </w:r>
          </w:p>
        </w:tc>
        <w:tc>
          <w:tcPr>
            <w:tcW w:w="1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w:t>
            </w:r>
          </w:p>
        </w:tc>
      </w:tr>
      <w:tr>
        <w:trPr>
          <w:trHeight w:val="264"/>
        </w:trPr>
        <w:tc>
          <w:tcPr>
            <w:tcW w:w="584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58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8,089</w:t>
            </w:r>
          </w:p>
        </w:tc>
      </w:tr>
      <w:tr>
        <w:trPr>
          <w:trHeight w:val="20"/>
        </w:trPr>
        <w:tc>
          <w:tcPr>
            <w:tcW w:w="5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three and six months ended June 30, 2020 included impairment charges to goodwill and other intangible assets related to the Search reporting unit, as well as impairment to right-of-use assets along with related property and equipment in connection with leases that were vacated during the quarter. Accordingly, as of June 30, 2020, these assets were recorded at fair value using level 3 inputs. See Note 6 - Goodwill, Trade Names, and Other Intangible Assets and Note 8 - Leases for more information about these fair value measurements.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The Company’s note payable is included in other current and long-term liabilities on the condensed consolidated balance sheets. Due to its relatively short-term nature, the carrying value of the note payable approximates its fair value. The carrying amount of the Company's ABL approximates fair value because the interest rates are variable and reflective of market rates.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 2020</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520" w:type="dxa"/>
            <w:vAlign w:val="bottom"/>
          </w:tcPr>
          <w:p>
            <w:pPr>
              <w:spacing w:after="0"/>
              <w:rPr>
                <w:sz w:val="18"/>
                <w:szCs w:val="18"/>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Fair</w:t>
            </w:r>
          </w:p>
        </w:tc>
        <w:tc>
          <w:tcPr>
            <w:tcW w:w="30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620" w:type="dxa"/>
            <w:vAlign w:val="bottom"/>
          </w:tcPr>
          <w:p>
            <w:pPr>
              <w:spacing w:after="0"/>
              <w:rPr>
                <w:sz w:val="18"/>
                <w:szCs w:val="18"/>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rPr>
              <w:t>Fair</w:t>
            </w:r>
          </w:p>
        </w:tc>
      </w:tr>
      <w:tr>
        <w:trPr>
          <w:trHeight w:val="234"/>
        </w:trPr>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spacing w:after="0"/>
              <w:rPr>
                <w:sz w:val="20"/>
                <w:szCs w:val="20"/>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62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6"/>
                <w:szCs w:val="16"/>
                <w:color w:val="auto"/>
              </w:rPr>
              <w:t>(amounts in thousands)</w:t>
            </w: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4,851</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4,851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3820" w:type="dxa"/>
            <w:vAlign w:val="bottom"/>
          </w:tcPr>
          <w:p>
            <w:pPr>
              <w:ind w:left="220"/>
              <w:spacing w:after="0"/>
              <w:rPr>
                <w:sz w:val="20"/>
                <w:szCs w:val="20"/>
                <w:color w:val="auto"/>
              </w:rPr>
            </w:pPr>
            <w:r>
              <w:rPr>
                <w:rFonts w:ascii="Arial" w:cs="Arial" w:eastAsia="Arial" w:hAnsi="Arial"/>
                <w:sz w:val="18"/>
                <w:szCs w:val="18"/>
                <w:color w:val="auto"/>
              </w:rPr>
              <w:t>Senior Secured Asset-Based Loan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49,101</w:t>
            </w:r>
          </w:p>
        </w:tc>
        <w:tc>
          <w:tcPr>
            <w:tcW w:w="2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49,101</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21"/>
                <w:szCs w:val="21"/>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70,974</w:t>
            </w:r>
          </w:p>
        </w:tc>
      </w:tr>
      <w:tr>
        <w:trPr>
          <w:trHeight w:val="20"/>
        </w:trPr>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historical collection experience. See Note 3 - Customer Contracts. The Company writes off specific accounts based on an ongoing review of collectability as well as past experience with the customer. The Company’s contract terms typically require payment between 30 to 60 days from the date of invoice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640" w:firstLine="8"/>
        <w:spacing w:after="0" w:line="503"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ind w:right="300"/>
        <w:spacing w:after="0" w:line="263" w:lineRule="auto"/>
        <w:rPr>
          <w:sz w:val="20"/>
          <w:szCs w:val="20"/>
          <w:color w:val="auto"/>
        </w:rPr>
      </w:pPr>
      <w:r>
        <w:rPr>
          <w:rFonts w:ascii="Arial" w:cs="Arial" w:eastAsia="Arial" w:hAnsi="Arial"/>
          <w:sz w:val="18"/>
          <w:szCs w:val="18"/>
          <w:color w:val="auto"/>
        </w:rPr>
        <w:t>During the six months ended June 30, 2020 and 2019, the Company did not repurchase any shares of its Common Stock. As of June 30, 2020, the Company had 510,004 shares of Common Stock under the current share repurchase program available to repurchase, subject to certain conditions in the Company's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May 19, 2020, the Company's shareholders approved the Cross Country Healthcare, Inc. 2020 Omnibus Incentive Plan (2020 Plan), which replaced the 2017 Omnibus Incentive Plan (2017 Plan), and applies to awards granted after May 19, 2020. The remaining shares under the 2017 Plan were cancelled and no further awards will be granted under that plan. The 2020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ind w:right="280"/>
        <w:spacing w:after="0" w:line="286" w:lineRule="auto"/>
        <w:rPr>
          <w:sz w:val="20"/>
          <w:szCs w:val="20"/>
          <w:color w:val="auto"/>
        </w:rPr>
      </w:pPr>
      <w:r>
        <w:rPr>
          <w:rFonts w:ascii="Arial" w:cs="Arial" w:eastAsia="Arial" w:hAnsi="Arial"/>
          <w:sz w:val="17"/>
          <w:szCs w:val="17"/>
          <w:color w:val="auto"/>
        </w:rPr>
        <w:t>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will be subject to a minimum one-year vesting schedule; and (4) awards may be granted under the 2020 Plan until March 24, 2030.</w:t>
      </w:r>
    </w:p>
    <w:p>
      <w:pPr>
        <w:spacing w:after="0" w:line="192"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for the six months ended June 30, 2020:</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2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1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8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8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8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January 1, 2020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996,794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364,557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w:t>
            </w: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829,023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286,415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6.74</w:t>
            </w:r>
          </w:p>
        </w:tc>
      </w:tr>
      <w:tr>
        <w:trPr>
          <w:trHeight w:val="27"/>
        </w:trPr>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(401,902)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(20,570)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(66,185)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14.08</w:t>
            </w:r>
          </w:p>
        </w:tc>
      </w:tr>
      <w:tr>
        <w:trPr>
          <w:trHeight w:val="27"/>
        </w:trPr>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9"/>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June 30, 2020</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1,403,345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584,787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Restricted stock awards granted under the Company’s 2020 Plan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Awards granted to non-employee directors under the 2017 Plan prior to the June 2020 grant vest in three equal installments on the first, second and third anniversaries of the grant date, while restricted shares granted under the 2020 Plan in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18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2017 Plan, the number of target shares that are issued for performance-based stock awards are determined based on the level of attainment of the targets. In the first quarter of 2020, it was determined that the performance stock awards that were granted in 2017 were not earned and, accordingly, those shares were forfeited.</w:t>
      </w:r>
    </w:p>
    <w:p>
      <w:pPr>
        <w:spacing w:after="0" w:line="211"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During the three and six months ended June 30, 2020, $2.1 million and $3.0 million, respectively, was included in selling, general and administrative expenses related to share-based payments, and a net of 82,482 and 303,974 shares, respectively, of Common Stock were issued upon the vesting of restricted stock.</w:t>
      </w:r>
    </w:p>
    <w:p>
      <w:pPr>
        <w:spacing w:after="0" w:line="20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During the three and six months ended June 30, 2019, $1.0 million and $1.5 million, respectively, was included in selling, general and administrative expenses related to share-based payments, and a net of 49,317 and 225,753 shares, respectively, of Common Stock were issued upon the vesting of restricted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DATA</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51" w:lineRule="exact"/>
        <w:rPr>
          <w:sz w:val="20"/>
          <w:szCs w:val="20"/>
          <w:color w:val="auto"/>
        </w:rPr>
      </w:pPr>
    </w:p>
    <w:p>
      <w:pPr>
        <w:jc w:val="both"/>
        <w:ind w:left="660" w:right="100" w:hanging="328"/>
        <w:spacing w:after="0" w:line="257" w:lineRule="auto"/>
        <w:tabs>
          <w:tab w:leader="none" w:pos="49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total talent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214" w:lineRule="exact"/>
        <w:rPr>
          <w:rFonts w:ascii="Arial" w:cs="Arial" w:eastAsia="Arial" w:hAnsi="Arial"/>
          <w:sz w:val="18"/>
          <w:szCs w:val="18"/>
          <w:color w:val="auto"/>
        </w:rPr>
      </w:pPr>
    </w:p>
    <w:p>
      <w:pPr>
        <w:ind w:left="660" w:right="80" w:hanging="328"/>
        <w:spacing w:after="0" w:line="277" w:lineRule="auto"/>
        <w:tabs>
          <w:tab w:leader="none" w:pos="49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provides physicians in many specialties, as well as certified registered nurse anesthetists, nurse practitioners,</w:t>
      </w:r>
      <w:r>
        <w:rPr>
          <w:rFonts w:ascii="Arial" w:cs="Arial" w:eastAsia="Arial" w:hAnsi="Arial"/>
          <w:sz w:val="18"/>
          <w:szCs w:val="18"/>
          <w:i w:val="1"/>
          <w:iCs w:val="1"/>
          <w:color w:val="auto"/>
        </w:rPr>
        <w:t xml:space="preserve"> </w:t>
      </w:r>
      <w:r>
        <w:rPr>
          <w:rFonts w:ascii="Arial" w:cs="Arial" w:eastAsia="Arial" w:hAnsi="Arial"/>
          <w:sz w:val="18"/>
          <w:szCs w:val="18"/>
          <w:color w:val="auto"/>
        </w:rPr>
        <w:t>and physician assistants as independent contractors on temporary assignments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660" w:right="460"/>
        <w:spacing w:after="0" w:line="277" w:lineRule="auto"/>
        <w:rPr>
          <w:sz w:val="20"/>
          <w:szCs w:val="20"/>
          <w:color w:val="auto"/>
        </w:rPr>
      </w:pPr>
      <w:r>
        <w:rPr>
          <w:rFonts w:ascii="Arial" w:cs="Arial" w:eastAsia="Arial" w:hAnsi="Arial"/>
          <w:sz w:val="18"/>
          <w:szCs w:val="18"/>
          <w:color w:val="auto"/>
        </w:rPr>
        <w:t>throughout the United States at various healthcare facilities, such as acute and non-acute care facilities, medical group practices, government facilities, and managed care organizations.</w:t>
      </w:r>
    </w:p>
    <w:p>
      <w:pPr>
        <w:spacing w:after="0" w:line="197" w:lineRule="exact"/>
        <w:rPr>
          <w:sz w:val="20"/>
          <w:szCs w:val="20"/>
          <w:color w:val="auto"/>
        </w:rPr>
      </w:pPr>
    </w:p>
    <w:p>
      <w:pPr>
        <w:ind w:left="660" w:right="60" w:hanging="328"/>
        <w:spacing w:after="0" w:line="277" w:lineRule="auto"/>
        <w:tabs>
          <w:tab w:leader="none" w:pos="49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includes retained and contingent search services for physicians, healthcare executives, and other healthcare professionals,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process outsourcing.</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80" w:type="dxa"/>
            <w:vAlign w:val="bottom"/>
          </w:tcPr>
          <w:p>
            <w:pPr>
              <w:spacing w:after="0"/>
              <w:rPr>
                <w:sz w:val="23"/>
                <w:szCs w:val="23"/>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gridSpan w:val="5"/>
          </w:tcPr>
          <w:p>
            <w:pPr>
              <w:ind w:left="560"/>
              <w:spacing w:after="0"/>
              <w:rPr>
                <w:sz w:val="20"/>
                <w:szCs w:val="20"/>
                <w:color w:val="auto"/>
              </w:rPr>
            </w:pPr>
            <w:r>
              <w:rPr>
                <w:rFonts w:ascii="Arial" w:cs="Arial" w:eastAsia="Arial" w:hAnsi="Arial"/>
                <w:sz w:val="16"/>
                <w:szCs w:val="16"/>
                <w:color w:val="auto"/>
              </w:rPr>
              <w:t>(amounts in thousands)</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198,098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180,787</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386,331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356,424</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18,028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34,187</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3,942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7,317</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216,779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202,757</w:t>
            </w: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426,843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397,928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20,638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16,111</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34,795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30,407</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16,438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35,259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30,716</w:t>
            </w:r>
          </w:p>
        </w:tc>
      </w:tr>
      <w:tr>
        <w:trPr>
          <w:trHeight w:val="256"/>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overhead (a)</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11,439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23,769</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3,557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6,541</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811</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1,277</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1,600</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14,502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14,502</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80" w:firstLine="8"/>
        <w:spacing w:after="0" w:line="277"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June 30, 2020 will not have a material adverse effect on its business, financial condition, results of operations or cash flows. In October 2019, the Company received a grand jury subpoena directed to Advantage On Call whose assets were purchased by Cross Country Healthcare, Inc. in 2017. The subpoena appears to relate to an investigation of home healthcare services and healthcare staffing services. The Company is cooperating with the investigation.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as of June 30, 2020 and December 31, 2019, in its condensed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 xml:space="preserve">For the three and six months ended June 30, 2020 and 2019, the Company calculated its effective tax rate based on year-to-date results, pursuant to the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Topic of the FASB ASC. The Company’s effective tax rate for the three and six months ended June 30, 2020 was 2.6% and 1.3%,</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including the impact of discrete items. Excluding discrete items, the Company's effective tax rate for the three and six months ended June 30, 2020 was negative 1.3% and negative 2.3%, respectively. The Company’s effective tax rate for the three and six months ended June 30, 2019 was negative 210.5% and negative 151.9%, respectively, including the impact of discrete items. Excluding discrete items, the Company’s effective tax rate for the three and six months ended June 30, 2019 was negative 14.8% and 3.8%, respectively.</w:t>
      </w:r>
    </w:p>
    <w:p>
      <w:pPr>
        <w:spacing w:after="0" w:line="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a result of the Company's valuation allowance on substantially all of its domestic deferred tax assets, income tax expense for the three and six months ended June 30, 2020 and 2019 was primarily impacted by the impairment of indefinite-lived intangibles and international and state taxes. Income tax expense for the three and six months ended June 30, 2019 was also impacted by the additional valuation allowance recorded.</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2019, management assessed the available positive and negative evidence to estimate whether sufficient future taxable income would be generated to permit use of its existing deferred tax assets. A significant piece of objective negative evidence evaluated was the cumulative loss incurred over the three-year period ended June 30, 2019. On the basis of this evaluation, an additional valuation allowance of $36.0 million was recorded, of which $35.8 million of which was recorded as income tax expense and $0.2 million as a reduction of other comprehensive income, to reduce the portion of the deferred tax asset that was not more likely than not to be realized.</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Coronavirus Aid, Relief and Economic Security Act, also known as the CARES Act, was signed into law on March 27, 2020. Among other things, the CARES Act provided for an immediate refund of Alternative Minimum Tax credits as compared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to the 2017 Tax Act’s scheduled refunds through 2021. Accordingly, an additional $0.3 million is presented as a current income tax receivable within other current assets in the condensed consolidated balance sheets as of June 30, 2020.</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2020 and December 31, 2019, the Company had a valuation allowance of $39.9 million and $37.3 million, respectively. The valuation allowance applied to all domestic deferred tax assets other than certain deferred tax assets expected to be realized.</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2020, the Company had approximately $0.9 million of unrecognized tax benefits included in other long-term liabilities, $6.6 million, net of deferred taxes, which would affect the effective tax rate if recognized. During the six months ended June 30, 2020, the Company had a gross increase of $0.7 million to its current year unrecognized tax benefits related to federal and state tax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2019 remain open to examination by certain taxing jurisdictions to which the Company is subject to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$2.0 million and $7.7 million for the three and six months ended June 30, 2020, respectively, and $6.3 million and $11.9 million for the three and six months ended June 30, 2019, respectively. At June 30, 2020 and December 31, 2019, the Company had a receivable balance of $0.8 million and $1.7 million, respectively, and a payable balance of $0.1 million and $0.5 million, respectively.</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entered into an arrangement for digital marketing services provided by a firm that is related to Mr. Clark, the Company's Co-Founder and Chief Executive Officer. Mr. Clark is a minority shareholder in the firm's parent company and is a member of the parent company's Board of Directors.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six months ended June 30, 2020, the Company incurred less than $0.1 million and $0.1 million, respectively, and incurred less than $0.1 million for both the three and six months ended June 30, 2019, in expenses related to these fees. At June 30, 2020, the Company had a payable balance of less than $0.1 million.</w:t>
      </w:r>
    </w:p>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first quarter of 2020, the Company entered into a note payable related to contingent consideration assumed as part of a prior period acquisition. The payees of the note are controlled by an employee of the sellers who remained with the Company. The note payable has a balance of $4.9 million at June 30, 2020. See Note 7 -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25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On March 12,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meeting certain criteria, that reference LIBOR or another reference rate expected to be discontinued. When elected, the optional expedients for contract modifications must be applied consistently for all eligible contracts or transactions. The amendments in this update are effective as of March 12, 2020 through December 31, 2022. As of June 30, 2020, the Company is not impacted by this guidance; however, it will continue to assess the potential impact on its debt contracts and future hedging relationships, if applicable, through the effective period.</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and should be applied either on a prospective, retrospective, or modified retrospective basis depending on the amendment. Early adoption of the amendments is permitted. The Company is currently in the process of evaluating this standard and expects to adopt the standard in its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MD&amp;A is provided as a supplement to, and should be read in conjunction with, our Annual Report on Form 10-K for the year ended December 31, 2019, our financial statements and the accompanying notes to our financial statements, as well as the Item 1A. Risk Factors contained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other consultative services for healthcare clients. We recruit and place highly qualified healthcare professionals in virtually every specialty and area of expertise.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office locations, we offer our workforce solutions and we can place clinicians on travel and per diem assignments, local short-term contracts and permanent positions. Our workforce solutions include managed service programs (MSPs), electronic medical record (EMR) transition staffing, recruitment process outsourcing (RPO), internal resource pool (IRP), and other outsourcing and consultative services as described in Item 1. Business in our Annual Report on Form 10-K for the year ended December 31, 2019. By utilizing our various solutions, clients can better plan their personnel needs, talent acquisition and management processes, strategically flex and balance their workforce, access quality healthcare personnel, and provide continuity of care for improved patient outcomes.</w:t>
      </w:r>
    </w:p>
    <w:p>
      <w:pPr>
        <w:spacing w:after="0" w:line="21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the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73" w:lineRule="exact"/>
        <w:rPr>
          <w:sz w:val="20"/>
          <w:szCs w:val="20"/>
          <w:color w:val="auto"/>
        </w:rPr>
      </w:pPr>
    </w:p>
    <w:p>
      <w:pPr>
        <w:ind w:left="660" w:right="60" w:hanging="328"/>
        <w:spacing w:after="0" w:line="275" w:lineRule="auto"/>
        <w:tabs>
          <w:tab w:leader="none" w:pos="49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91% of our total revenue in the second quarter of 2020. The Nurse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Allied Staffing segment provides workforce solutions and traditional staffing, including temporary and permanent placement of travel nurses and allied professionals, as well as per diem and contract nurses and allied personnel. We also staff healthcare personnel and substitute teachers in public and charter schools. We provide flexible workforce solutions to our healthcare clients through diversified offerings designed to meet their unique needs, including MSP, optimal workforce solutions (OWS), EMR, IRP and consulting services.</w:t>
      </w:r>
    </w:p>
    <w:p>
      <w:pPr>
        <w:spacing w:after="0" w:line="203" w:lineRule="exact"/>
        <w:rPr>
          <w:rFonts w:ascii="Arial" w:cs="Arial" w:eastAsia="Arial" w:hAnsi="Arial"/>
          <w:sz w:val="17"/>
          <w:szCs w:val="17"/>
          <w:color w:val="auto"/>
        </w:rPr>
      </w:pPr>
    </w:p>
    <w:p>
      <w:pPr>
        <w:ind w:left="660" w:hanging="328"/>
        <w:spacing w:after="0" w:line="263" w:lineRule="auto"/>
        <w:tabs>
          <w:tab w:leader="none" w:pos="49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8% of our total revenue in the second quarter of 2020.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49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represented approximately 1% of our total revenue in the second quarter of 2020. Search includes retained and contingent search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physicians, healthcare executives, and other healthcare professionals, as well as RPO.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quarter ended June 30, 2020, revenue from services increased 7% year-over-year to $216.8 million, due to increased client demands as a result of spikes in new COVID-19 cases. The increase in revenue was partially offset by revenue declines in our Physician Staffing and Search businesses primarily driven by the changing landscape from the COVID-19 pandemic. Profitability in the second quarter was impacted by $2.3 million of restructuring costs, $1.4 million of accelerated amortization expense in connection with our rebranding initiative, and $0.4 million of costs incurred related to our applicant tracking system replacement. In addition, in the second quarter we recorded $15.0 million of non-cash impairment charges, comprised of $10.5 million of impairment of our Search business and $4.5 million related to real estate restructuring activities. Net loss attributable to common shareholders was $14.2 million, or a loss of $0.39 per share.</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six months ended June 30, 2020, we generated cash flow from operating activities of $33.7 million and repaid a net of $21.9 million on our senior-secured asset-based credit facility (ABL). On June 30, 2020, we amended the 2019 ABL Credit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180"/>
        <w:spacing w:after="0" w:line="263" w:lineRule="auto"/>
        <w:rPr>
          <w:sz w:val="20"/>
          <w:szCs w:val="20"/>
          <w:color w:val="auto"/>
        </w:rPr>
      </w:pPr>
      <w:r>
        <w:rPr>
          <w:rFonts w:ascii="Arial" w:cs="Arial" w:eastAsia="Arial" w:hAnsi="Arial"/>
          <w:sz w:val="18"/>
          <w:szCs w:val="18"/>
          <w:color w:val="auto"/>
        </w:rPr>
        <w:t>Agreement (Loan Agreement), which increased the current aggregate committed size of the ABL from $120.0 million to $130.0 million. As of June 30, 2020, we had $6.2 million of cash and cash equivalents, and availability under the ABL of $130.0 million, with $49.1 million of borrowings drawn under our ABL, and $19.6 million of undrawn letters of credit outstanding, leaving $61.3 million available for borrowing.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Following the initial surge in demand in early March and the early part of the second quarter of 2020, we had nearly 1,000 FTEs on COVID-19 related assignments throughout the United States. The higher demand caused by COVID-19 resulted in one customer concentrated in the Northeast to represent approximately 13% of our revenue. The incremental revenue we generated during the quarter more than offset other COVID-19 related declines across much of our business. From a demand perspective, we have seen an unprecedented level of volatility in the second quarter of 2020, with orders first rising as the pandemic unfolded, and then falling sharply as hospitals nationwide experienced lower census and mandatory deferrals of elective procedures.</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Starting in June 2020 and continuing into the third quarter, orders have risen significantly. The primary growth has been in ICU which we believe to be largely COVID-related, but we are also experiencing increases in some of the hardest hit specialties such as med-surg and OR. However, there remains a significant level of volatility in the market, and we expect the pandemic to likely cause disruption in the healthcare sector for several quarters. As a result, we are expecting a sequential decline in business in the third quarter of 2020, reflecting a significant wind-down of premium-rate COVID assignments, continued lower demand for our Physician business, and the impact from summer break on our education business, with possible school restart challenges due to the continuing pandemic.</w:t>
      </w: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believe our liquidity remains high, ending the quarter with cash of $6.2 million and $61.3 million available for borrowing, which includes an additional $10.0 million from the amendment of the 2019 ABL Credit Agreement. We do not expect the future impacts of COVID-19 to have a significant impact on our ability to maintain compliance with our financial covenants under our revolving credit facility.</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pandemic has provided us an opportunity to accelerate plans of integrating and optimizing our operations, driven by the closure of a significant number of offices and reductions in headcount. During the second quarter of 2020, we refined those plans and identified additional opportunities for greater reductions. In addition, our senior leadership team and board of directors took a voluntary reduction in compensation.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These cost reductions have been enabled by our demonstrated ability to work remotely, as well as the continued deployment of Cross Country Marketplace, our proprietary on-demand staffing platform, and the full implementation of our applicant tracking system across our travel business planned for later in the third quarter of 2020, which we believe will create further efficiencies.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for further discussion about potential additional risks and uncertainties.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Some of the segment financial results analyzed include revenue,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Pr>
          <w:p>
            <w:pPr>
              <w:ind w:left="154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2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rPr>
                <w:sz w:val="20"/>
                <w:szCs w:val="20"/>
                <w:color w:val="auto"/>
              </w:rPr>
            </w:pPr>
            <w:r>
              <w:rPr>
                <w:rFonts w:ascii="Arial" w:cs="Arial" w:eastAsia="Arial" w:hAnsi="Arial"/>
                <w:sz w:val="18"/>
                <w:szCs w:val="18"/>
                <w:color w:val="auto"/>
                <w:w w:val="91"/>
              </w:rPr>
              <w:t>FTEs represent the average number of Nurse and Allied Staffing contract personnel</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20" w:type="dxa"/>
            <w:vAlign w:val="bottom"/>
          </w:tcPr>
          <w:p>
            <w:pPr>
              <w:spacing w:after="0"/>
              <w:rPr>
                <w:sz w:val="22"/>
                <w:szCs w:val="22"/>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6"/>
              </w:rPr>
              <w:t>Average revenue per FTE per day is calculated by dividing the Nurse and Allied</w:t>
            </w:r>
          </w:p>
        </w:tc>
      </w:tr>
      <w:tr>
        <w:trPr>
          <w:trHeight w:val="216"/>
        </w:trPr>
        <w:tc>
          <w:tcPr>
            <w:tcW w:w="3520" w:type="dxa"/>
            <w:vAlign w:val="bottom"/>
          </w:tcPr>
          <w:p>
            <w:pPr>
              <w:spacing w:after="0"/>
              <w:rPr>
                <w:sz w:val="18"/>
                <w:szCs w:val="18"/>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3"/>
              </w:rPr>
              <w:t>Staffing revenue per FTE by the number of days worked in the respective periods.</w:t>
            </w:r>
          </w:p>
        </w:tc>
      </w:tr>
      <w:tr>
        <w:trPr>
          <w:trHeight w:val="216"/>
        </w:trPr>
        <w:tc>
          <w:tcPr>
            <w:tcW w:w="3520" w:type="dxa"/>
            <w:vAlign w:val="bottom"/>
          </w:tcPr>
          <w:p>
            <w:pPr>
              <w:spacing w:after="0"/>
              <w:rPr>
                <w:sz w:val="18"/>
                <w:szCs w:val="18"/>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placement of nurses.</w:t>
            </w:r>
          </w:p>
        </w:tc>
      </w:tr>
      <w:tr>
        <w:trPr>
          <w:trHeight w:val="256"/>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w w:val="99"/>
              </w:rPr>
              <w:t>Days filled is calculated by dividing the total hours invoiced during the period,</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8 hours.</w:t>
            </w:r>
          </w:p>
        </w:tc>
      </w:tr>
      <w:tr>
        <w:trPr>
          <w:trHeight w:val="256"/>
        </w:trPr>
        <w:tc>
          <w:tcPr>
            <w:tcW w:w="3520" w:type="dxa"/>
            <w:vAlign w:val="bottom"/>
          </w:tcPr>
          <w:p>
            <w:pPr>
              <w:spacing w:after="0"/>
              <w:rPr>
                <w:sz w:val="22"/>
                <w:szCs w:val="22"/>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w w:val="94"/>
              </w:rPr>
              <w:t>Revenue per day filled is calculated by dividing revenue as reported by days filled</w:t>
            </w: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6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0"/>
                <w:szCs w:val="20"/>
                <w:color w:val="auto"/>
              </w:rPr>
            </w:pPr>
          </w:p>
        </w:tc>
      </w:tr>
      <w:tr>
        <w:trPr>
          <w:trHeight w:val="270"/>
        </w:trPr>
        <w:tc>
          <w:tcPr>
            <w:tcW w:w="5440" w:type="dxa"/>
            <w:vAlign w:val="bottom"/>
          </w:tcPr>
          <w:p>
            <w:pPr>
              <w:spacing w:after="0"/>
              <w:rPr>
                <w:sz w:val="23"/>
                <w:szCs w:val="23"/>
                <w:color w:val="auto"/>
              </w:rPr>
            </w:pPr>
          </w:p>
        </w:tc>
        <w:tc>
          <w:tcPr>
            <w:tcW w:w="182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5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Legal settlement charges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auto"/>
            </w:tcBorders>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tcPr>
          <w:p>
            <w:pPr>
              <w:spacing w:after="0"/>
              <w:rPr>
                <w:sz w:val="23"/>
                <w:szCs w:val="23"/>
                <w:color w:val="auto"/>
              </w:rPr>
            </w:pPr>
          </w:p>
        </w:tc>
      </w:tr>
      <w:tr>
        <w:trPr>
          <w:trHeight w:val="28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Results for the Three Months Ended June 30, 2020 compared to the Three Months Ended June 30, 2019</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Increase</w:t>
            </w:r>
          </w:p>
        </w:tc>
        <w:tc>
          <w:tcPr>
            <w:tcW w:w="20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Pr>
          <w:p>
            <w:pPr>
              <w:spacing w:after="0"/>
              <w:rPr>
                <w:sz w:val="20"/>
                <w:szCs w:val="20"/>
                <w:color w:val="auto"/>
              </w:rPr>
            </w:pPr>
          </w:p>
        </w:tc>
      </w:tr>
      <w:tr>
        <w:trPr>
          <w:trHeight w:val="270"/>
        </w:trPr>
        <w:tc>
          <w:tcPr>
            <w:tcW w:w="5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r>
      <w:tr>
        <w:trPr>
          <w:trHeight w:val="27"/>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(Amounts in thousands)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166,045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151,169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14,876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Legal settlement charges</w:t>
            </w:r>
          </w:p>
        </w:tc>
        <w:tc>
          <w:tcPr>
            <w:tcW w:w="28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(35,137)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37,222</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auto"/>
            </w:tcBorders>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64"/>
        </w:trPr>
        <w:tc>
          <w:tcPr>
            <w:tcW w:w="556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37,523</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Revenue from services increased 6.9%, to $216.8 million for the three months ended June 30, 2020, as compared to $202.8 million for the three months ended June 30, 2019, driven by an increase in revenue from higher bill-rate COVID-19 related assignments during the quarter in Nurse and Allied Staffing, that more than offset declines in other portions of Nurse and Allied Staffing, Physician Staffing, and Search. See further discussion in Segment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related insurance expenses. Direct operating expenses increased $14.9 million or 9.8%, to $166.0 million for the three months ended June 30, 2020, as compared to $151.2 million for the three months ended June 30, 2019, reflective of the increase in revenue and higher compensation packages for the COVID-19 related assignments. As a percentage of total revenue, direct operating expenses increased to 76.6% compared to 74.6% in the prior year period reflecting a change in the mix of business, primarily as the higher compensation of COVID-19 assignments were generally priced at lower average margins than our normal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general and administrative expenses decreased 8.0%, to $42.3 million for the three months ended June 30, 2020, as compared to $45.9 million for the three months ended June 30, 2019, primarily due to reductions in headcount, lower healthcare costs, reduced travel expenses, and lower rent expense due to the closure of a significant number of offices, which were partially offset by an increase in equity compensation expense and legal fees. As a percentage of total revenue, selling, general</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ind w:right="20"/>
        <w:spacing w:after="0" w:line="277" w:lineRule="auto"/>
        <w:rPr>
          <w:sz w:val="20"/>
          <w:szCs w:val="20"/>
          <w:color w:val="auto"/>
        </w:rPr>
      </w:pPr>
      <w:r>
        <w:rPr>
          <w:rFonts w:ascii="Arial" w:cs="Arial" w:eastAsia="Arial" w:hAnsi="Arial"/>
          <w:sz w:val="18"/>
          <w:szCs w:val="18"/>
          <w:color w:val="auto"/>
        </w:rPr>
        <w:t xml:space="preserve">and administrative expenses decreased to 19.5% for the three months ended June 30, 2020 as compared to 22.7% for the three months ended June 30, 2019. </w:t>
      </w:r>
      <w:r>
        <w:rPr>
          <w:rFonts w:ascii="Arial" w:cs="Arial" w:eastAsia="Arial" w:hAnsi="Arial"/>
          <w:sz w:val="18"/>
          <w:szCs w:val="18"/>
          <w:b w:val="1"/>
          <w:bCs w:val="1"/>
          <w:i w:val="1"/>
          <w:iCs w:val="1"/>
          <w:color w:val="auto"/>
        </w:rPr>
        <w:t>Depreciation and amortization expense</w:t>
      </w:r>
    </w:p>
    <w:p>
      <w:pPr>
        <w:spacing w:after="0" w:line="19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Depreciation and amortization expense for the three months ended June 30, 2020 increased to $3.9 million as compared to $3.6 million for the three months ended June 30, 2019. Amortization expense increased due to accelerated amortization of trade names in our Nurse and Allied and Physician Staffing segments, associated with our rebranding initiatives. See Note 6 - Goodwill, Trade Names, and Other Intangible Assets. As a percentage of revenue, depreciation and amortization expense was 1.8% for the three months ended June 30, 2020 and 1.7% for the three months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Acquisition and integration-related costs include accretion and valuation adjustments on our contingent consideration liability related to the Mediscan acquisition and totaled $0.3 million for the three months ended June 30, 2019. There were no such costs for the three months ended June 30,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Restructuring costs were primarily comprised of employee termination costs, ongoing lease costs related to the Company's strategic reduction of its real estate footprint, and reorganization costs as part of our planned cost savings initiatives and totaled $2.3 million during the three months ended June 30, 2020. During the three months ended June 30, 2019, restructuring costs totaled $0.1 million and were primarily comprised of severance costs incurred in connection with our cost savings initiatives.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Legal settlement charges totaled $1.6 million during the three months ended June 30, 2019 and related to the resolution of a medical malpractice lawsuit in excess of carrier limits, as well as a 2019 California wage and hour class action settlement agreement. There were no similar charges for the three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Non-cash impairment charges totaled $15.0 million for the three months ended June 30, 2020. These were comprised of $10.5 million of impairment of our Search business and $4.5 million related to real estate restructuring activities. As part of evolving our go-to-market strategy, in the second quarter of 2019, we eliminated certain brands across all of our segments as part of our rebranding initiatives. As a result, in the three months ended June 30, 2019, $14.5 million of indefinite-lived trade names related to Nurse and Allied Staffing were written off as impairment charges. See Note 6 - Goodwill, Trade Names, and Other Intangible Assets to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Interest expense was $0.7 million for the three months ended June 30, 2020 as compared to $1.4 million for the three months ended June 30, 2019, due to lower average borrowings and a lower effective rate. The effective interest rate on our borrowings was 3.3% for the three months ended June 30, 2020 compared to 6.4% for the three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Income tax benefit totaled $0.4 million for the three months ended June 30, 2020, compared to income tax expense of $34.8 million for the three months ended June 30, 2019. As a result of the Company's valuation allowance on substantially all of its domestic deferred tax assets, income tax benefit for the three months ended June 30, 2020 was impacted by international and state taxes as well as the impairment of indefinite-lived intangibles. Income tax expense for the three months ended June 30, 2019 included $35.8 million of additional valuation allowance recorded as a discrete item and was also impacted by international and state taxes as well as the impairment of indefinite-lived intangibles. See Note 13 - Income Taxes to our condensed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Six Months Ended June 30, 2020 compared to the Six Months Ended June 30, 2019</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 June 30,</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Increase</w:t>
            </w:r>
          </w:p>
        </w:tc>
        <w:tc>
          <w:tcPr>
            <w:tcW w:w="20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Pr>
          <w:p>
            <w:pPr>
              <w:spacing w:after="0"/>
              <w:rPr>
                <w:sz w:val="20"/>
                <w:szCs w:val="20"/>
                <w:color w:val="auto"/>
              </w:rPr>
            </w:pPr>
          </w:p>
        </w:tc>
      </w:tr>
      <w:tr>
        <w:trPr>
          <w:trHeight w:val="270"/>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r>
      <w:tr>
        <w:trPr>
          <w:trHeight w:val="27"/>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(Amounts in thousands)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326,506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298,086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28,420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(90.5)%</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Legal settlement charges</w:t>
            </w: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36,830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Borders>
              <w:top w:val="single" w:sz="8" w:color="auto"/>
            </w:tcBorders>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64"/>
        </w:trPr>
        <w:tc>
          <w:tcPr>
            <w:tcW w:w="55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(53,441)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37,201</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from services increased 7.3%, to $426.8 million for the six months ended June 30, 2020, as compared to $397.9 million for the six months ended June 30, 2019, reflecting an increase in revenue in both Nurse and Allied Staffing and Physician Staffing, partially offset by declines in Search. Revenue for the six months ended June 30, 2020 reflects growth in all three segments in the first quarter and a high volume of COVID-19 assignments in the second quarter, partially offset by the negative impacts of suspended services resulting from school closures and volume declines of non-COVID assignments. See further discussion in Segment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expenses increased $28.4 million or 9.5%, to $326.5 million for the six months ended June 30, 2020, as compared to $298.1 million for the six months ended June 30, 2019. As a percentage of total revenue, direct operating expenses increased to 76.5% compared to 74.9% in the prior year period reflecting a change in the mix of business, primarily as the higher compensation of COVID-19 assignments were generally priced at a lower average margin.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decreased 4.2%, to $88.1 million for the six months ended June 30, 2020, as compared to $92.0 million for the six months ended June 30, 2019, primarily driven by lower expenses that impacted the quarterly results, coupled with a decrease in consulting expenses. As a percentage of total revenue, selling, general and administrative expenses decreased to 20.6% for the six months ended June 30, 2020 as compared to 23.1% for the six months ended June 30, 2019.</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for the six months ended June 30, 2020 increased to $7.2 million as compared to $6.5 million for the six months ended June 30, 2019. Amortization expense increased due to accelerated amortization of trade names in our Nurse and Allied and Physician Staffing segments, associated with our rebranding initiatives. As a percentage of revenue, depreciation and amortization expense was 1.7% for the six months ended June 30, 2020 and 1.6% for the six months ended June 30,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Acquisition and integration-related costs include costs for prior acquisitions, costs incurred for potential transactions, and accretion and valuation adjustments on our contingent consideration liability related to the Mediscan acquisition. In the first quarter of 2020, the final earnout amount of the contingent consideration related to the Mediscan acquisition was determined, resulting in an additional accrual of $0.1 million. For the six months ended June 30, 2019, costs totaled $0.8 million, and included $0.5 million of accretion and valuation adjustments on the contingent consideration liability and $0.3 million of expenses incurred for potential transactions. See Note 7 -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Restructuring costs were primarily comprised of employee termination costs, ongoing lease costs related to the Company's strategic reduction of its real estate footprint, and reorganization costs as part of our planned cost savings initiatives and totaled $2.9 million during the six months ended June 30, 2020. During the six months ended June 30, 2019, restructuring costs totaled $1.3 million and were primarily comprised of severance costs incurred in connection with our cost savings initiatives.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Legal settlement charges totaled $1.6 million during the six months ended June 30, 2019 and related to the resolution of a medical malpractice lawsuit in excess of carrier limits, as well as a 2019 California wage and hour class action settlement agreement. There were no similar charges for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Non-cash impairment charges totaled $15.0 million for the six months ended June 30, 2020. These were comprised of $10.5 million of impairment of our Search business and $4.5 million related to real estate restructuring activities. As part of evolving our go-to-market strategy, in the second quarter of 2019, we eliminated certain brands across all of our segments as part of our rebranding initiatives. As a result, in the six months ended June 30, 2019, $14.5 million of indefinite-lived trade names related to Nurse and Allied Staffing were written off as impairment charges. See Note 6 - Goodwill, Trade Names, and Other Intangible Assets and Note 8 - Leases to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was $1.6 million for the six months ended June 30, 2020 as compared to $2.9 million for the six months ended June 30, 2019, due to lower average borrowings and a lower effective rate. The effective interest rate on our borrowings was 3.8% for the six months ended June 30, 2020 compared to 6.1% for the six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Loss on early extinguishment of debt was $0.4 million for the six months ended June 30, 2019, relating to the write-off of debt issuance costs primarily in connection with a reduction in borrowing capacity under the revolving credit facility in the first quarter of 2019, as well as optional debt prepayments of $7.5 million and $5.0 million made on our Term Loan in the first and second quarters of 2019, respectively. There were no similar charges for the six months ended June 30,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Income tax benefit totaled $0.2 million for the six months ended June 30, 2020, compared to expense of $31.7 million for the six months ended June 30, 2019. As a result of the Company's valuation allowance on substantially all of its domestic deferred tax assets, income tax benefit for the six months ended June 30, 2020 was impacted by international and state taxes as well as the impairment of indefinite-lived intangibles. Income tax expense for the six months ended June 30, 2019 included $35.8 million of additional valuation allowance recorded as a discrete item and was also impacted by international and state taxes as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well as the impairment of indefinite-lived intangibles. See Note 13 - Income Taxes to our condensed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gridSpan w:val="5"/>
          </w:tcPr>
          <w:p>
            <w:pPr>
              <w:ind w:left="480"/>
              <w:spacing w:after="0"/>
              <w:rPr>
                <w:sz w:val="20"/>
                <w:szCs w:val="20"/>
                <w:color w:val="auto"/>
              </w:rPr>
            </w:pPr>
            <w:r>
              <w:rPr>
                <w:rFonts w:ascii="Arial" w:cs="Arial" w:eastAsia="Arial" w:hAnsi="Arial"/>
                <w:sz w:val="16"/>
                <w:szCs w:val="16"/>
                <w:color w:val="auto"/>
              </w:rPr>
              <w:t>(amounts in thousands)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198,098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180,787</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386,331</w:t>
            </w:r>
          </w:p>
        </w:tc>
        <w:tc>
          <w:tcPr>
            <w:tcW w:w="1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356,424</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18,028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35,053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34,187</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5,459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7,317</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216,779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202,757</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426,843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397,928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20,638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16,111</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34,795</w:t>
            </w:r>
          </w:p>
        </w:tc>
        <w:tc>
          <w:tcPr>
            <w:tcW w:w="1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30,407</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Search</w:t>
            </w:r>
          </w:p>
        </w:tc>
        <w:tc>
          <w:tcPr>
            <w:tcW w:w="3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16,438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35,259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30,716</w:t>
            </w:r>
          </w:p>
        </w:tc>
      </w:tr>
      <w:tr>
        <w:trPr>
          <w:trHeight w:val="270"/>
        </w:trPr>
        <w:tc>
          <w:tcPr>
            <w:tcW w:w="4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overhead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11,439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24,494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23,769</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3,557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7,225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6,541</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811</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1,277</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1,600</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14,502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15,011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14,502</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(15,096)</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2"/>
              </w:rPr>
              <w:t>Three Months Ended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7"/>
              </w:rPr>
              <w:t>June 30,</w:t>
            </w:r>
          </w:p>
        </w:tc>
        <w:tc>
          <w:tcPr>
            <w:tcW w:w="24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22"/>
                <w:szCs w:val="22"/>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w:t>
            </w:r>
          </w:p>
        </w:tc>
        <w:tc>
          <w:tcPr>
            <w:tcW w:w="208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940" w:type="dxa"/>
            <w:vAlign w:val="bottom"/>
            <w:gridSpan w:val="5"/>
          </w:tcPr>
          <w:p>
            <w:pPr>
              <w:spacing w:after="0"/>
              <w:rPr>
                <w:sz w:val="20"/>
                <w:szCs w:val="20"/>
                <w:color w:val="auto"/>
              </w:rPr>
            </w:pPr>
            <w:r>
              <w:rPr>
                <w:rFonts w:ascii="Arial" w:cs="Arial" w:eastAsia="Arial" w:hAnsi="Arial"/>
                <w:sz w:val="16"/>
                <w:szCs w:val="16"/>
                <w:color w:val="auto"/>
              </w:rPr>
              <w:t>FTEs</w:t>
            </w:r>
          </w:p>
        </w:tc>
        <w:tc>
          <w:tcPr>
            <w:tcW w:w="2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5,801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7,016</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(1,215)</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(17.3)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494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600" w:type="dxa"/>
            <w:vAlign w:val="bottom"/>
            <w:tcBorders>
              <w:top w:val="single" w:sz="8" w:color="CCEEFF"/>
            </w:tcBorders>
            <w:gridSpan w:val="4"/>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9,195</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10,754</w:t>
            </w:r>
          </w:p>
        </w:tc>
        <w:tc>
          <w:tcPr>
            <w:tcW w:w="2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(1,559)</w:t>
            </w:r>
          </w:p>
        </w:tc>
        <w:tc>
          <w:tcPr>
            <w:tcW w:w="2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(14.5)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1,835</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1,676</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440"/>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2"/>
              </w:rPr>
              <w:t>Six Months Ended</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7"/>
              </w:rPr>
              <w:t>June 30,</w:t>
            </w:r>
          </w:p>
        </w:tc>
        <w:tc>
          <w:tcPr>
            <w:tcW w:w="24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22"/>
                <w:szCs w:val="22"/>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40" w:type="dxa"/>
            <w:vAlign w:val="bottom"/>
            <w:gridSpan w:val="5"/>
          </w:tcPr>
          <w:p>
            <w:pPr>
              <w:spacing w:after="0"/>
              <w:rPr>
                <w:sz w:val="20"/>
                <w:szCs w:val="20"/>
                <w:color w:val="auto"/>
              </w:rPr>
            </w:pPr>
            <w:r>
              <w:rPr>
                <w:rFonts w:ascii="Arial" w:cs="Arial" w:eastAsia="Arial" w:hAnsi="Arial"/>
                <w:sz w:val="16"/>
                <w:szCs w:val="16"/>
                <w:color w:val="auto"/>
              </w:rPr>
              <w:t>FTEs</w:t>
            </w:r>
          </w:p>
        </w:tc>
        <w:tc>
          <w:tcPr>
            <w:tcW w:w="2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6,473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7,016</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0"/>
              </w:rPr>
              <w:t>Physician Staffing statistical data: (a)</w:t>
            </w:r>
          </w:p>
        </w:tc>
        <w:tc>
          <w:tcPr>
            <w:tcW w:w="236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40" w:type="dxa"/>
            <w:vAlign w:val="bottom"/>
            <w:gridSpan w:val="5"/>
          </w:tcPr>
          <w:p>
            <w:pPr>
              <w:spacing w:after="0"/>
              <w:rPr>
                <w:sz w:val="20"/>
                <w:szCs w:val="20"/>
                <w:color w:val="auto"/>
              </w:rPr>
            </w:pPr>
            <w:r>
              <w:rPr>
                <w:rFonts w:ascii="Arial" w:cs="Arial" w:eastAsia="Arial" w:hAnsi="Arial"/>
                <w:sz w:val="16"/>
                <w:szCs w:val="16"/>
                <w:color w:val="auto"/>
              </w:rPr>
              <w:t>Days filled</w:t>
            </w:r>
          </w:p>
        </w:tc>
        <w:tc>
          <w:tcPr>
            <w:tcW w:w="2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19,394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21,034</w:t>
            </w:r>
          </w:p>
        </w:tc>
        <w:tc>
          <w:tcPr>
            <w:tcW w:w="2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(1,640)</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(7.8)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2020 compared to the Three Months Ended June 30, 2019</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Revenue increased $17.3 million, or 9.6%, to $198.1 million for the three months ended June 30, 2020, compared to $180.8 million for the three months ended June 30, 2019, driven by higher bill-rate COVID-19 related assignments worked by travelers, partly offset by volume declines in other specialties. Volume for the three months ended June 30, 2020 was negatively impacted due to suspended services resulting from school closures as well as a decrease in census at our clients which resulted in lower demand for non-COVID related assignments.</w:t>
      </w:r>
    </w:p>
    <w:p>
      <w:pPr>
        <w:spacing w:after="0" w:line="17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Contribution income increased $4.5 million or 28.1%, to $20.6 million for the three months ended June 30, 2020, compared to $16.1 million for the three months ended June 30, 2019 driven by higher revenue of the COVID-related assignments. As a percentage of segment revenue, contribution income margin was 10.4% for the three months ended June 30, 2020, compared to 8.9% for the three months ended June 30, 2019.</w:t>
      </w:r>
    </w:p>
    <w:p>
      <w:pPr>
        <w:spacing w:after="0" w:line="1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average number of FTEs on contract during the three months ended June 30, 2020 decreased 17.3% from the three months ended June 30, 2019, reflecting a decrease in most specialties partially offset by an increase in travel nurses. The average revenue per FTE per day increased 32.5%, reflecting the higher average bill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decreased $1.2 million, or 6.4%, to $16.9 million for the three months ended June 30, 2020, compared to $18.0 million for the three months ended June 30, 2019, primarily due to reduced demand from our customers as a result of the nationwide reduction in elective procedures.</w:t>
      </w:r>
    </w:p>
    <w:p>
      <w:pPr>
        <w:spacing w:after="0" w:line="14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Contribution income increased $0.7 million, or 140.0% to $1.2 million for the three months ended June 30, 2020, compared to $0.5 million for the three months ended June 30, 2019. As a percentage of segment revenue, contribution income was 7.2% for the three months ended June 30, 2020, compared to 2.8% for the three months ended June 30, 2019, driven by lower selling, general and administrative expenses.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5" w:name="page36"/>
    <w:bookmarkEnd w:id="35"/>
    <w:p>
      <w:pPr>
        <w:ind w:right="380"/>
        <w:spacing w:after="0" w:line="277" w:lineRule="auto"/>
        <w:rPr>
          <w:sz w:val="20"/>
          <w:szCs w:val="20"/>
          <w:color w:val="auto"/>
        </w:rPr>
      </w:pPr>
      <w:r>
        <w:rPr>
          <w:rFonts w:ascii="Arial" w:cs="Arial" w:eastAsia="Arial" w:hAnsi="Arial"/>
          <w:sz w:val="18"/>
          <w:szCs w:val="18"/>
          <w:color w:val="auto"/>
        </w:rPr>
        <w:t>Total days filled for the three months ended June 30, 2020 were 9,195 as compared with 10,754 in the prior year. Revenue per day filled was $1,835 as compared with $1,676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 decreased $2.1 million, or 54.1%, to $1.8 million for the three months ended June 30, 2020, compared to $3.9 million for the three months ended June 30, 2019, due to declines in executive search, RPO, and physician search revenue as a result of the COVID-19 pandemic.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Contribution loss was $1.1 million for the three months ended June 30, 2020, compared to $0.2 million for the three months ended June 30,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$13.2 million for the three months ended June 30, 2020, from $11.4 million for the three months ended June 30, 2019, due to an increase in legal fees and higher equity compensation expense due to the acceleration of vesting of restricted stock awards related to directors who either retired or became retirement eligible. As a percentage of consolidated revenue, corporate overhead was 6.1% for the three months ended June 30, 2020 and 5.6% for the three months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Six Months Ended June 30, 2020 compared to the Six Months Ended June 30, 2019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increased $29.9 million, or 8.4%, to $386.3 million for the six months ended June 30, 2020, compared to $356.4 million for the six months ended June 30, 2019, primarily driven by higher bill-rate COVID-19 related assignments worked by travelers, partly offset by volume declines in other specialties. Volume for the six months ended June 30, 2020 was negatively impacted due to suspended services resulting from school closures as well as a decrease in census at our clients which resulted in lower demand for non-COVID related assignments.</w:t>
      </w:r>
    </w:p>
    <w:p>
      <w:pPr>
        <w:spacing w:after="0" w:line="21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Contribution income increased $4.4 million or 14.4%, to $34.8 million for the six months ended June 30, 2020, compared to $30.4 million for the six months ended June 30, 2019. As a percentage of segment revenue, contribution income margin was 9.0% for the six months ended June 30, 2020, compared to 8.5% for the six months ended June 30, 2019.</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average number of FTEs on contract during the six months ended June 30, 2020 decreased 7.7% from the six months ended June 30, 2019, reflecting the decreased demand for non-COVID related assignments partially offset by the increase in travel nurses. The average Nurse and Allied Staffing revenue per FTE per day increased 16.7%, reflecting higher average bill rates related to increased pricing.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Revenue increased $0.9 million, or 2.5%, to $35.1 million for the six months ended June 30, 2020, compared to $34.2 million for the six months ended June 30, 2019, primarily due to higher bill rates due to mix of business, partially offset by a reduction of volume related to reduced demand as a result of the nationwide reduction in elective procedures.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Contribution income increased $0.9 million, or 102.6% to $1.9 million for the six months ended June 30, 2020, compared to $0.9 million for the six months ended June 30, 2019. As a percentage of segment revenue, contribution income was 5.3% for the six months ended June 30, 2020, compared to 2.7% for the six months ended June 30, 2019, driven by higher revenue and lower selling, general and administrative expenses.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days filled for the six months ended June 30, 2020 were 19,394 as compared with 21,034 in the prior year. Revenue per day filled was $1,807 as compared with $1,625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Revenue decreased $1.9 million, or 25.4%, to $5.5 million for the six months ended June 30, 2020, compared to $7.3 million for the six months ended June 30, 2019, due to declines in executive search and physician search revenue as a result of the COVID-19 pandemic, partially offset by an increase in RPO revenue.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Contribution loss was $1.4 million for the six months ended June 30, 2020, compared to contribution loss of $0.6 million for the six months ended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Corporate overhead increased to $24.5 million for the six months ended June 30, 2020, from $23.8 million for the six months ended June 30, 2019, primarily due to higher equity compensation expense as a result of the acceleration of vesting of restricted stock awards related to directors who either retired or became retirement eligible, partially offset by the impact of our cost savings initiatives. As a percentage of consolidated revenue, corporate overhead was 5.7% for the six months ended June 30, 2020 and 6.0% for the six months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At June 30, 2020, we had $6.2 million in cash and cash equivalents and $49.1 million of borrowings drawn under our ABL. Working capital decreased by $22.1 million to $75.8 million as of June 30, 2020, compared to $97.9 million as of December 31, 2019. As of June 30, 2020, our days' sales outstanding, net of amounts owed to subcontractors, was 49 days representing a 9-day improvement from December 31, 2019.</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in our Form 10-K for the year ended December 31, 2019. Although there is uncertainty related to the anticipated impact of COVID-19 on our future results, we expect to meet our future needs from a combination of cash on hand, operating cash flows, and funds available through the ABL. See debt discussion which follows.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operating activities was $33.7 million in the six months ended June 30, 2020, compared to $25.1 million in the six months ended June 30, 2019, primarily due to stronger collections and the timing of disbursements.</w:t>
      </w:r>
    </w:p>
    <w:p>
      <w:pPr>
        <w:spacing w:after="0" w:line="19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Net cash used in investing activities was $2.5 million in the six months ended June 30, 2020, compared to $1.7 million in the six months ended June 30, 2019. Net cash used in both periods was for capital expenditures, primarily related to the project to replace our applicant tracking system for our travel nurse staffing, and for acquisition-related settlements in the six months ended June 30, 2019.</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used in financing activities during the six months ended June 30, 2020 was $26.0 million, compared to $14.7 million during the six months ended June 30, 2019. During the six months ended June 30, 2020, we used cash to repay borrowing on our ABL of $21.9 million, $2.4 million to pay our note payable, $0.7 million for income taxes on share-based compensation, $0.9 million for noncontrolling shareholder payments, and $0.1 million of contingent consideration. During the six months ended June 30, 2019, we used cash to make optional principal prepayments on our term loan of $12.5 million and paid $0.6 million in debt issuance related to an amendment to our prior senior credit facility. We also used cash to pay $0.8 million for income taxes on share-based compensation, $0.7 million for noncontrolling shareholder payments, and $0.1 million of contingent consideration.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3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30, 2020, we amended the Loan Agreement, which increased the current aggregate committed size of the ABL from $120.0 million to $130.0 million. All other terms, conditions, covenants, and pricing of the Loan Agreement remain the same.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color w:val="auto"/>
        </w:rPr>
        <w:t>At June 30, 2020, availability under the ABL was $130.0 million and we had $49.1 million of borrowings drawn, as well as $19.6 million of letters of credit outstanding, leaving $61.3 million available for borrowing.</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June 30,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applicable to the Company and its subsidiaries, including a covenant to maintain a minimum fixed charge coverage ratio. We were in compliance with the fixed charge coverage ratio covenant as of June 30,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ind w:right="460"/>
        <w:spacing w:after="0" w:line="244" w:lineRule="auto"/>
        <w:rPr>
          <w:sz w:val="20"/>
          <w:szCs w:val="20"/>
          <w:color w:val="auto"/>
        </w:rPr>
      </w:pPr>
      <w:r>
        <w:rPr>
          <w:rFonts w:ascii="Arial" w:cs="Arial" w:eastAsia="Arial" w:hAnsi="Arial"/>
          <w:sz w:val="18"/>
          <w:szCs w:val="18"/>
          <w:color w:val="auto"/>
        </w:rPr>
        <w:t>As of June 30, 2020, we do not have any off-balance sheet arrangements. Our commitments over the next five years did not change materially from December 31, 2019. See Note 12 - Contingencies to our condensed consolidated financial statements.</w:t>
      </w: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2019, filed with the SEC, other than the adoption of ASU No. 2016-13, </w:t>
      </w:r>
      <w:r>
        <w:rPr>
          <w:rFonts w:ascii="Arial" w:cs="Arial" w:eastAsia="Arial" w:hAnsi="Arial"/>
          <w:sz w:val="18"/>
          <w:szCs w:val="18"/>
          <w:i w:val="1"/>
          <w:iCs w:val="1"/>
          <w:color w:val="auto"/>
        </w:rPr>
        <w:t>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as discussed in Note 2 - Summary of Significant Accounting Policies and Note 3 - Customer Contracts to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been exposed to interest rate risk associated with our debt instruments which have had interest based on variable rates. As of June 30, 2020, we are exposed to the risk of fluctuation in interest rates relating to our ABL Credit Agreement (ABL) entered into on October 25, 2019. Our ABL charges us interest at a rate based on either LIBOR or Base Rate (as defined) plus an applicable margin.</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2018, we entered into an interest rate swap agreement, which initially fixed the interest rate on 50% of the amortizing balance on our term debt. The interest rate swap qualified as a cash flow hedge in accordance with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Topic of the FASB ASC and the resulting changes in fair value of the interest rate swap were recorded to other comprehensive (loss) income and reclassified to interest expense over the life of the term debt. In September 2019, in anticipation of entering into the ABL, we terminated our interest rate swap agreement.</w:t>
      </w:r>
    </w:p>
    <w:p>
      <w:pPr>
        <w:spacing w:after="0" w:line="19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 1% change in interest rates on our variable rate debt would have resulted in interest expense fluctuating approximately $0.3 million and $0.4 million for the six months ended June 30, 2020 and 2019, respectively, excluding the impact of the interest rate swap agreement. Considering the effect of our interest rate swap agreement in a 1% change in interest rates on our variable rate debt would have resulted in approximately $0.2 million change in interest expense for the six months ended June 30, 2019. See Note 7 - Debt to our condensed consolidated financial statements.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Form 10-K Item 1A. Risk Factors under "The interest rates under our ABL Credit Agreement may be impacted by the phase-out of the London Interbank Offered Rate (LIBOR)" for discussion of the interest rate risk related to the potential phase-out of LIBOR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The Company believes the outcome of any outstanding loss contingencies as of June 30, 2020 will not have a material adverse effect on its business, financial condition, results of operations or cash flows. In October 2019, the Company received a grand jury subpoena directed to Advantage On Call whose assets were purchased by the Company in 2017. The subpoena appears to relate to an investigation of home healthcare services and healthcare staffing services. The Company is cooperating with the investigation.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addition to the other information set forth in this report, careful consideration should be given to the factors discussed in Item 1A, “Risk Factors” in our Form 10-K for the year ended December 31, 2019,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 below Risk Factor has been updated to reflect the heightened impact of the COVID-19 pandemic since we filed our Annual Report on Form 10-K for the year ended December 31, 2019. As described herein, the COVID-19 pandemic may adversely affect our business and financial results and may also have the effect of exacerbating many of the other risks described in this section and in the “Risk Factors” section of our Annual Report on Form 10-K for the year ended December 31, 2019.</w:t>
      </w:r>
    </w:p>
    <w:p>
      <w:pPr>
        <w:spacing w:after="0" w:line="20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Our operations and financial results have been and may continue to be negatively affected by the current ongoing COVID-19 pandemic and could be materially harmed by COVID-19 or the emergence and effects related to any other pandemics, epidemics, or other public health crisis.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operations and financial results have been and may continue to be adversely affected by the ongoing COVID-19 pandemic and changes in national or global economic conditions related thereto.</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COVID-19 pandemic, certain of our healthcare professionals have been exposed, diagnosed and or quarantined as a result of the virus. If, as a result of such risks, our healthcare professionals do not want to, or are not able to provide services, it could negatively impact our supply and ability to provide staffing services to our customers. In addition, patients have canceled or deferred elective procedures or otherwise avoided medical treatment resulting in reduced census at our hospital customers. Additionally, healthcare facilities, such as ambulatory surgi-centers and other outpatient facilities, have been shut down temporarily. This has resulted in the cancellation of certain of our healthcare professionals (e.g. operating room nurses, physical therapists, surgeons, advanced practitioners, and many others) working at those facilities or under contract to provide services at those facilities in the future. 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in the wake of the COVID-19 pandemic have had an adverse impact on our school staffing.</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impact to our healthcare customers from COVID-19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COVID-19 pandemic, or the emergence of another pandemic, epidemic, or outbreak is difficult to predict and could adversely affect our operations. In particular,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180"/>
          </w:cols>
          <w:pgMar w:left="320" w:top="891" w:right="399" w:bottom="1440" w:gutter="0" w:footer="0" w:header="0"/>
        </w:sectPr>
      </w:pPr>
    </w:p>
    <w:p>
      <w:pPr>
        <w:spacing w:after="0" w:line="279"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543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 #</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6129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304" w:lineRule="exact"/>
        <w:rPr>
          <w:sz w:val="20"/>
          <w:szCs w:val="20"/>
          <w:color w:val="auto"/>
        </w:rPr>
      </w:pPr>
    </w:p>
    <w:p>
      <w:pPr>
        <w:spacing w:after="0" w:line="219"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Amendment No. 1 to ABL Credit Agreement, dated as of June 30, 2020, by and among Cross Country Healthcare, Inc. and certain of</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its domestic subsidiaries as borrowers or guarantors, PNC Bank, N.A., as lender, and Wells Fargo Bank, N.A., as administrative</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agent, collateral agent, and lender (Previously filed as an exhibit to the Company's form 8-K dated June 30, 2020 and incorporated by</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reference herein)</w:t>
        </w:r>
      </w:hyperlink>
    </w:p>
    <w:p>
      <w:pPr>
        <w:spacing w:after="0" w:line="5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44">
        <w:r>
          <w:rPr>
            <w:rFonts w:ascii="Arial" w:cs="Arial" w:eastAsia="Arial" w:hAnsi="Arial"/>
            <w:sz w:val="17"/>
            <w:szCs w:val="17"/>
            <w:u w:val="single" w:color="auto"/>
            <w:color w:val="0000FF"/>
          </w:rPr>
          <w:t>Form of Non-Employee Directors’ Restricted Stock Agreement under Cross Country Healthcare, Inc. 2020 Stock Incentive Plan</w:t>
        </w:r>
      </w:hyperlink>
    </w:p>
    <w:p>
      <w:pPr>
        <w:spacing w:after="0" w:line="129" w:lineRule="exact"/>
        <w:rPr>
          <w:rFonts w:ascii="Arial" w:cs="Arial" w:eastAsia="Arial" w:hAnsi="Arial"/>
          <w:sz w:val="18"/>
          <w:szCs w:val="18"/>
          <w:u w:val="single" w:color="auto"/>
          <w:color w:val="0000FF"/>
        </w:rPr>
      </w:pPr>
    </w:p>
    <w:p>
      <w:pPr>
        <w:ind w:right="420"/>
        <w:spacing w:after="0" w:line="235"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Rule 13a-14(a) and Rule 15d-14 (a) by Kevin C. Clark, Co-Founder, Chief Executive Officer, Director</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(Principal Executive Officer)</w:t>
        </w:r>
      </w:hyperlink>
    </w:p>
    <w:p>
      <w:pPr>
        <w:spacing w:after="0" w:line="54" w:lineRule="exact"/>
        <w:rPr>
          <w:sz w:val="20"/>
          <w:szCs w:val="20"/>
          <w:color w:val="auto"/>
        </w:rPr>
      </w:pPr>
    </w:p>
    <w:p>
      <w:pPr>
        <w:ind w:right="660"/>
        <w:spacing w:after="0" w:line="235" w:lineRule="auto"/>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Rule 13a-14(a) and Rule 15d-14 (a) by William J. Burns, EVP &amp; Chief Financial Officer (Principal</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Accounting and Financial Officer)</w:t>
        </w:r>
      </w:hyperlink>
    </w:p>
    <w:p>
      <w:pPr>
        <w:spacing w:after="0" w:line="54" w:lineRule="exact"/>
        <w:rPr>
          <w:sz w:val="20"/>
          <w:szCs w:val="20"/>
          <w:color w:val="auto"/>
        </w:rPr>
      </w:pPr>
    </w:p>
    <w:p>
      <w:pPr>
        <w:ind w:right="540"/>
        <w:spacing w:after="0" w:line="235" w:lineRule="auto"/>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pursuant to 18 U.S.C. Section 1350 by Kevin C. Clark, Co-Founder, Chief Executive Officer, Director (Principal</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Executive Officer)</w:t>
        </w:r>
      </w:hyperlink>
    </w:p>
    <w:p>
      <w:pPr>
        <w:spacing w:after="0" w:line="54"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pursuant to 18 U.S.C. Section 1350 by William J. Burns, EVP &amp; Chief Financial Officer (Principal Accounting and</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Financial Officer)</w:t>
        </w:r>
      </w:hyperlink>
    </w:p>
    <w:p>
      <w:pPr>
        <w:spacing w:after="0" w:line="67" w:lineRule="exact"/>
        <w:rPr>
          <w:sz w:val="20"/>
          <w:szCs w:val="20"/>
          <w:color w:val="auto"/>
        </w:rPr>
      </w:pPr>
    </w:p>
    <w:p>
      <w:pPr>
        <w:sectPr>
          <w:pgSz w:w="11900" w:h="16838" w:orient="portrait"/>
          <w:cols w:equalWidth="0" w:num="2">
            <w:col w:w="840" w:space="720"/>
            <w:col w:w="9620"/>
          </w:cols>
          <w:pgMar w:left="320" w:top="891" w:right="399" w:bottom="1440" w:gutter="0" w:footer="0" w:header="0"/>
          <w:type w:val="continuous"/>
        </w:sectPr>
      </w:pPr>
    </w:p>
    <w:p>
      <w:pPr>
        <w:ind w:left="20"/>
        <w:spacing w:after="0"/>
        <w:tabs>
          <w:tab w:leader="none" w:pos="15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140"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Filed herewith</w:t>
      </w:r>
    </w:p>
    <w:p>
      <w:pPr>
        <w:spacing w:after="0" w:line="11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42" w:name="page43"/>
    <w:bookmarkEnd w:id="4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CROSS COUNTRY HEALTHCARE, INC.</w:t>
      </w:r>
    </w:p>
    <w:p>
      <w:pPr>
        <w:spacing w:after="0" w:line="121" w:lineRule="exact"/>
        <w:rPr>
          <w:sz w:val="20"/>
          <w:szCs w:val="20"/>
          <w:color w:val="auto"/>
        </w:rPr>
      </w:pPr>
    </w:p>
    <w:p>
      <w:pPr>
        <w:ind w:left="20"/>
        <w:spacing w:after="0"/>
        <w:tabs>
          <w:tab w:leader="none" w:pos="5680" w:val="left"/>
          <w:tab w:leader="none" w:pos="61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Vice President &amp; Chief Financial Officer (Principal</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80"/>
          </w:cols>
          <w:pgMar w:left="320" w:top="891" w:right="89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t>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 COUNTRY HEALTHCARE,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RESTRICTED STOCK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made as of the _____ day of ___________, 20__, by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 between Cross Country Healthcare,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______________________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r>
        <w:rPr>
          <w:rFonts w:ascii="Arial" w:cs="Arial" w:eastAsia="Arial" w:hAnsi="Arial"/>
          <w:sz w:val="22"/>
          <w:szCs w:val="22"/>
          <w:b w:val="1"/>
          <w:bCs w:val="1"/>
          <w:color w:val="auto"/>
        </w:rPr>
        <w:t>:</w:t>
      </w:r>
    </w:p>
    <w:p>
      <w:pPr>
        <w:spacing w:after="0" w:line="247" w:lineRule="exact"/>
        <w:rPr>
          <w:sz w:val="20"/>
          <w:szCs w:val="20"/>
          <w:color w:val="auto"/>
        </w:rPr>
      </w:pPr>
    </w:p>
    <w:p>
      <w:pPr>
        <w:ind w:right="20"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adopted the Cross Country Healthcare, Inc. 2020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which is administered by a committee (the “</w:t>
      </w:r>
      <w:r>
        <w:rPr>
          <w:rFonts w:ascii="Arial" w:cs="Arial" w:eastAsia="Arial" w:hAnsi="Arial"/>
          <w:sz w:val="19"/>
          <w:szCs w:val="19"/>
          <w:u w:val="single" w:color="auto"/>
          <w:color w:val="auto"/>
        </w:rPr>
        <w:t>Committee</w:t>
      </w:r>
      <w:r>
        <w:rPr>
          <w:rFonts w:ascii="Arial" w:cs="Arial" w:eastAsia="Arial" w:hAnsi="Arial"/>
          <w:sz w:val="19"/>
          <w:szCs w:val="19"/>
          <w:color w:val="auto"/>
        </w:rPr>
        <w:t>”) appointed by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8.1 of the Plan, the Board may grant to Non-Employee Directors shares of its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par value $0.0001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 and</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such shares of Common Shares granted to the Participant hereunder are to be subject to restrictions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vesting thereof.</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and in consideration of the mutual promises herein contained,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166" w:lineRule="exact"/>
        <w:rPr>
          <w:sz w:val="20"/>
          <w:szCs w:val="20"/>
          <w:color w:val="auto"/>
        </w:rPr>
      </w:pPr>
    </w:p>
    <w:p>
      <w:pPr>
        <w:jc w:val="both"/>
        <w:ind w:firstLine="656"/>
        <w:spacing w:after="0" w:line="295"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restrictions, terms and conditions of this Agreement, the Company granted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on the Grant Date [__________] shares of duly authorized, validly issued, fully paid and non-assessable Common Shares (the “</w:t>
      </w:r>
      <w:r>
        <w:rPr>
          <w:rFonts w:ascii="Arial" w:cs="Arial" w:eastAsia="Arial" w:hAnsi="Arial"/>
          <w:sz w:val="19"/>
          <w:szCs w:val="19"/>
          <w:u w:val="single" w:color="auto"/>
          <w:color w:val="auto"/>
        </w:rPr>
        <w:t>Shares</w:t>
      </w:r>
      <w:r>
        <w:rPr>
          <w:rFonts w:ascii="Arial" w:cs="Arial" w:eastAsia="Arial" w:hAnsi="Arial"/>
          <w:sz w:val="19"/>
          <w:szCs w:val="19"/>
          <w:color w:val="auto"/>
        </w:rPr>
        <w:t>”). To the extent required by law, the Participant shall pay the Company the par value ($0.0001) for each Share awarded to the Participant simultaneously with the execution of this Agreement. The Shares are subject to certain transfer restrictions and possible risk of forfeiture pursuant to the terms of this Agreement. While such restrictions are in effect, the Shares subject to such restrictions shall be referred to herein as “</w:t>
      </w:r>
      <w:r>
        <w:rPr>
          <w:rFonts w:ascii="Arial" w:cs="Arial" w:eastAsia="Arial" w:hAnsi="Arial"/>
          <w:sz w:val="19"/>
          <w:szCs w:val="19"/>
          <w:u w:val="single" w:color="auto"/>
          <w:color w:val="auto"/>
        </w:rPr>
        <w:t>Restricted Stock</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12"/>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shall not sell, assign, transfer, pledge, exchange, encumber, hypothecate</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otherwise dispose of the Restricted Stock, except as set forth in the Plan or this Agreement. Any attempted sale, assignment, transfer, pledge, exchange, encumbrance, hypothecation or other disposition of the Restricted Stock in violation of the Plan or this Agreement shall be void and of no effect and the Company shall have the right to disregard the same on its books and records and to issue “stop transfer” instructions to its transfer agent.</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w:t>
      </w:r>
      <w:r>
        <w:rPr>
          <w:rFonts w:ascii="Arial" w:cs="Arial" w:eastAsia="Arial" w:hAnsi="Arial"/>
          <w:sz w:val="22"/>
          <w:szCs w:val="22"/>
          <w:b w:val="1"/>
          <w:bCs w:val="1"/>
          <w:color w:val="auto"/>
        </w:rPr>
        <w:t>.</w:t>
      </w:r>
    </w:p>
    <w:p>
      <w:pPr>
        <w:sectPr>
          <w:pgSz w:w="11900" w:h="16838" w:orient="portrait"/>
          <w:cols w:equalWidth="0" w:num="1">
            <w:col w:w="11240"/>
          </w:cols>
          <w:pgMar w:left="320" w:top="132" w:right="339" w:bottom="1440" w:gutter="0" w:footer="0" w:header="0"/>
        </w:sectPr>
      </w:pPr>
    </w:p>
    <w:bookmarkStart w:id="44" w:name="page45"/>
    <w:bookmarkEnd w:id="44"/>
    <w:p>
      <w:pPr>
        <w:jc w:val="both"/>
        <w:ind w:left="-20" w:firstLine="1304"/>
        <w:spacing w:after="0" w:line="286" w:lineRule="auto"/>
        <w:tabs>
          <w:tab w:leader="none" w:pos="1924" w:val="left"/>
        </w:tabs>
        <w:numPr>
          <w:ilvl w:val="0"/>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Retention of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after the date of this Agreement, the Company shall issue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certificates representing the Restricted Stock unless it elects to recognize such ownership through book entry or another similar method pursuant to Section 8 herein. The stock certificates shall be registered in the Participant’s name and shall bear any legend required under the Plan or Section 4(a) of this Agreement. Unless held in book entry form, such stock certificates shall be held in custody by the Company (or its designated agent) until the restrictions thereon shall have lapsed. Upon the Company’s request, the Participant shall deliver to the Company a duly signed stock power, endorsed in blank, relating to the Restricted Stock. If the Participant receives a stock dividend or extraordinary cash dividend on the Restricted Stock or the shares of Restricted Stock are split or the Participant receives any other shares, securities, moneys or property representing a dividend on the Restricted Stock (other than regular cash dividends on and after the date of this Agreement) or representing a distribution or return of capital upon or in respect of the Restricted Stock or any part thereof, or resulting from a split-up, reclassification or other like changes of the Restricted Stock, or otherwise received in exchange therefor, and any warrants, rights or options issued to the Participant in respect of the Restricted Stock (collectively “</w:t>
      </w:r>
      <w:r>
        <w:rPr>
          <w:rFonts w:ascii="Arial" w:cs="Arial" w:eastAsia="Arial" w:hAnsi="Arial"/>
          <w:sz w:val="19"/>
          <w:szCs w:val="19"/>
          <w:u w:val="single" w:color="auto"/>
          <w:color w:val="auto"/>
        </w:rPr>
        <w:t>RS Property</w:t>
      </w:r>
      <w:r>
        <w:rPr>
          <w:rFonts w:ascii="Arial" w:cs="Arial" w:eastAsia="Arial" w:hAnsi="Arial"/>
          <w:sz w:val="19"/>
          <w:szCs w:val="19"/>
          <w:color w:val="auto"/>
        </w:rPr>
        <w:t>”), the Participant will also immediately deposit with and deliver to the Company any of such RS Property, including any certificates representing shares duly endorsed in blank or accompanied by stock powers duly executed in blank, and such RS Property shall be subject to the same restrictions, including that of this Section 3(a), as the Restricted Stock with regard to which they are issued and shall herein be encompassed within the term “Restricted Stock.”</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20" w:firstLine="1304"/>
        <w:spacing w:after="0" w:line="288" w:lineRule="auto"/>
        <w:tabs>
          <w:tab w:leader="none" w:pos="1924" w:val="left"/>
        </w:tabs>
        <w:numPr>
          <w:ilvl w:val="0"/>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with Regard to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will have all rights of a stockholder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Restricted Stock, including the right to vote the Restricted Stock, to receive and retain any dividends payable to holders of Common Stock of record on and after the transfer of the Restricted Stock (although such dividends shall be treated, to the extent required by applicable law, as additional compensation for tax purposes if paid on Restricted Stock and stock dividends will be subject to the restrictions provided in Section 3(a)), and to exercise all other rights, powers and privileges of a holder of Common Stock with respect to the Restricted Stock set forth in the Plan, with the exceptions that: (i) the Participant will not be entitled to delivery of the stock certificate or certificates representing the Restricted Stock until the Restriction Period shall have expired; (ii) the Company (or its designated agent) will retain custody of the stock certificate or certificates representing the Restricted Stock and the other RS Property during the Restriction Period; (iii) no RS Property shall bear interest or be segregated in separate accounts during the Restriction Period; and (iv) the Participant may not sell, assign, transfer, pledge, exchange, encumber, hypothecate or otherwise dispose of the Restricted Stock during the Restriction Period.</w:t>
      </w:r>
    </w:p>
    <w:p>
      <w:pPr>
        <w:spacing w:after="0" w:line="153" w:lineRule="exact"/>
        <w:rPr>
          <w:rFonts w:ascii="Arial" w:cs="Arial" w:eastAsia="Arial" w:hAnsi="Arial"/>
          <w:sz w:val="19"/>
          <w:szCs w:val="19"/>
          <w:color w:val="auto"/>
        </w:rPr>
      </w:pPr>
    </w:p>
    <w:p>
      <w:pPr>
        <w:jc w:val="both"/>
        <w:ind w:left="-20" w:firstLine="1304"/>
        <w:spacing w:after="0" w:line="252" w:lineRule="auto"/>
        <w:tabs>
          <w:tab w:leader="none" w:pos="1924"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shall become vested and cease to be Restricted Stock, and accordingly,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contained in Sections 2, 3(a) and 3(b) will no longer apply (but the Shares will remain subject to Section 5 of this Agreement) pursuant to the following schedule, which shall be cumulative; provided that the Participant has not had a Termination any time prior to the applicable vesting date: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Vesting DateShares Vesting[Date][Number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1422" w:right="339" w:bottom="1440" w:gutter="0" w:footer="0" w:header="0"/>
        </w:sectPr>
      </w:pPr>
    </w:p>
    <w:bookmarkStart w:id="45" w:name="page46"/>
    <w:bookmarkEnd w:id="45"/>
    <w:p>
      <w:pPr>
        <w:jc w:val="both"/>
        <w:ind w:firstLine="648"/>
        <w:spacing w:after="0" w:line="263" w:lineRule="auto"/>
        <w:rPr>
          <w:sz w:val="20"/>
          <w:szCs w:val="20"/>
          <w:color w:val="auto"/>
        </w:rPr>
      </w:pPr>
      <w:r>
        <w:rPr>
          <w:rFonts w:ascii="Arial" w:cs="Arial" w:eastAsia="Arial" w:hAnsi="Arial"/>
          <w:sz w:val="22"/>
          <w:szCs w:val="22"/>
          <w:color w:val="auto"/>
        </w:rPr>
        <w:t>There shall be no proportionate or partial vesting in the periods prior to each vesting date and all vesting shall occur only on the appropriate vesting date, as determined by the Committee in its sole discretion.</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 any Shares of Restricted Stock become vested, the Company shall promptly issue and deliver, unless the Company is using book entry or another similar method pursuant to Section 8 herein, to the Participant a new stock certificate registered in the name of the Participant for such Shares without the legend set forth in Section 4(a) hereof and deliver to the Participant any related other RS Property, subject to applicable withholding.</w:t>
      </w:r>
    </w:p>
    <w:p>
      <w:pPr>
        <w:spacing w:after="0" w:line="209" w:lineRule="exact"/>
        <w:rPr>
          <w:sz w:val="20"/>
          <w:szCs w:val="20"/>
          <w:color w:val="auto"/>
        </w:rPr>
      </w:pPr>
    </w:p>
    <w:p>
      <w:pPr>
        <w:ind w:left="1960" w:hanging="656"/>
        <w:spacing w:after="0"/>
        <w:tabs>
          <w:tab w:leader="none" w:pos="1960"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Detrimental Activity</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in the Plan regarding Detrimental Activity shall not apply to the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Restricted Stock.</w:t>
      </w:r>
    </w:p>
    <w:p>
      <w:pPr>
        <w:spacing w:after="0" w:line="195" w:lineRule="exact"/>
        <w:rPr>
          <w:rFonts w:ascii="Arial" w:cs="Arial" w:eastAsia="Arial" w:hAnsi="Arial"/>
          <w:sz w:val="19"/>
          <w:szCs w:val="19"/>
          <w:color w:val="auto"/>
        </w:rPr>
      </w:pPr>
    </w:p>
    <w:p>
      <w:pPr>
        <w:jc w:val="both"/>
        <w:ind w:firstLine="1304"/>
        <w:spacing w:after="0" w:line="315" w:lineRule="auto"/>
        <w:tabs>
          <w:tab w:leader="none" w:pos="1944"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Forfeiture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shall forfeit, without compensation, any Award under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Common Shares (other than vested Shares), and RS Property, upon the Participant’s Termination, an Acquisition Event, of if Participant engages in Detrimental Activity, all as determined by the Committee, in its sole discretion.</w:t>
      </w:r>
    </w:p>
    <w:p>
      <w:pPr>
        <w:spacing w:after="0" w:line="368" w:lineRule="exact"/>
        <w:rPr>
          <w:rFonts w:ascii="Arial" w:cs="Arial" w:eastAsia="Arial" w:hAnsi="Arial"/>
          <w:sz w:val="19"/>
          <w:szCs w:val="19"/>
          <w:color w:val="auto"/>
        </w:rPr>
      </w:pPr>
    </w:p>
    <w:p>
      <w:pPr>
        <w:jc w:val="both"/>
        <w:ind w:firstLine="1304"/>
        <w:spacing w:after="0" w:line="259" w:lineRule="auto"/>
        <w:tabs>
          <w:tab w:leader="none" w:pos="1944" w:val="left"/>
        </w:tabs>
        <w:numPr>
          <w:ilvl w:val="1"/>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will be solely responsible for all applicable foreign, federal, state, provincial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local taxes with respect to the Restricted Stock; provided, however, that at any time the Company is required to withhold any such taxes, the Participant will pay, or make arrangements to pay, in a manner satisfactory to the Company, an amount equal to the amount of all applicable federal, state and local or foreign taxes that the Company is required to withhold at any time. In the absence of such arrangements, the Company or one of its Affiliates will have the right to withhold such taxes from any amounts payable to the Participant, including, but not limited to, the right to withhold Shares otherwise deliverable to the Participant hereunder. In addition, any statutorily required withholding obligation may be satisfied, as determined in the Committee’s sole discretion, in whole or in part, at the Participant’s election, in the form and manner prescribed by the Committee, by delivery of Common Shares to the Company (including Shares issuable under this Agreement) equal to the statutorily required withholding obligation.</w:t>
      </w:r>
    </w:p>
    <w:p>
      <w:pPr>
        <w:spacing w:after="0" w:line="175" w:lineRule="exact"/>
        <w:rPr>
          <w:rFonts w:ascii="Arial" w:cs="Arial" w:eastAsia="Arial" w:hAnsi="Arial"/>
          <w:sz w:val="21"/>
          <w:szCs w:val="21"/>
          <w:color w:val="auto"/>
        </w:rPr>
      </w:pPr>
    </w:p>
    <w:p>
      <w:pPr>
        <w:ind w:left="1960" w:hanging="656"/>
        <w:spacing w:after="0"/>
        <w:tabs>
          <w:tab w:leader="none" w:pos="1960"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83(b)</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Participant properly elects (as permitted by Section 83(b) of the Code) within thirty</w:t>
      </w:r>
    </w:p>
    <w:p>
      <w:pPr>
        <w:spacing w:after="0" w:line="61" w:lineRule="exact"/>
        <w:rPr>
          <w:rFonts w:ascii="Arial" w:cs="Arial" w:eastAsia="Arial" w:hAnsi="Arial"/>
          <w:sz w:val="19"/>
          <w:szCs w:val="19"/>
          <w:color w:val="auto"/>
        </w:rPr>
      </w:pPr>
    </w:p>
    <w:p>
      <w:pPr>
        <w:jc w:val="both"/>
        <w:ind w:firstLine="8"/>
        <w:spacing w:after="0" w:line="292" w:lineRule="auto"/>
        <w:tabs>
          <w:tab w:leader="none" w:pos="423" w:val="left"/>
        </w:tabs>
        <w:numPr>
          <w:ilvl w:val="0"/>
          <w:numId w:val="15"/>
        </w:numPr>
        <w:rPr>
          <w:rFonts w:ascii="Arial" w:cs="Arial" w:eastAsia="Arial" w:hAnsi="Arial"/>
          <w:sz w:val="19"/>
          <w:szCs w:val="19"/>
          <w:color w:val="auto"/>
        </w:rPr>
      </w:pPr>
      <w:r>
        <w:rPr>
          <w:rFonts w:ascii="Arial" w:cs="Arial" w:eastAsia="Arial" w:hAnsi="Arial"/>
          <w:sz w:val="19"/>
          <w:szCs w:val="19"/>
          <w:color w:val="auto"/>
        </w:rPr>
        <w:t>days after the Grant Date to include in gross income for federal income tax purposes in the year of issuance the fair market value of all or a portion of such Restricted Stock, the Participant shall be solely responsible for any foreign, federal, state, provincial or local taxes the Participant incurs in connection with such election. The Participant acknowledges that it is the Participant’s sole responsibility, and not the Company’s, to file timely and properly the election under Section 83(b) of the Code and any corresponding provisions of state tax laws if the Participant elects to utilize such election.</w:t>
      </w:r>
    </w:p>
    <w:p>
      <w:pPr>
        <w:spacing w:after="0" w:line="145" w:lineRule="exact"/>
        <w:rPr>
          <w:rFonts w:ascii="Arial" w:cs="Arial" w:eastAsia="Arial" w:hAnsi="Arial"/>
          <w:sz w:val="19"/>
          <w:szCs w:val="19"/>
          <w:color w:val="auto"/>
        </w:rPr>
      </w:pPr>
    </w:p>
    <w:p>
      <w:pPr>
        <w:jc w:val="both"/>
        <w:ind w:firstLine="1304"/>
        <w:spacing w:after="0" w:line="252" w:lineRule="auto"/>
        <w:tabs>
          <w:tab w:leader="none" w:pos="1944"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Delay</w:t>
      </w:r>
      <w:r>
        <w:rPr>
          <w:rFonts w:ascii="Arial" w:cs="Arial" w:eastAsia="Arial" w:hAnsi="Arial"/>
          <w:sz w:val="22"/>
          <w:szCs w:val="22"/>
          <w:b w:val="1"/>
          <w:bCs w:val="1"/>
          <w:color w:val="auto"/>
        </w:rPr>
        <w:t xml:space="preserve">. </w:t>
      </w:r>
      <w:r>
        <w:rPr>
          <w:rFonts w:ascii="Arial" w:cs="Arial" w:eastAsia="Arial" w:hAnsi="Arial"/>
          <w:sz w:val="22"/>
          <w:szCs w:val="22"/>
          <w:color w:val="auto"/>
        </w:rPr>
        <w:t>The delivery of any certificate representing the Shares or other RS Property may be</w:t>
      </w:r>
      <w:r>
        <w:rPr>
          <w:rFonts w:ascii="Arial" w:cs="Arial" w:eastAsia="Arial" w:hAnsi="Arial"/>
          <w:sz w:val="22"/>
          <w:szCs w:val="22"/>
          <w:b w:val="1"/>
          <w:bCs w:val="1"/>
          <w:color w:val="auto"/>
        </w:rPr>
        <w:t xml:space="preserve"> </w:t>
      </w:r>
      <w:r>
        <w:rPr>
          <w:rFonts w:ascii="Arial" w:cs="Arial" w:eastAsia="Arial" w:hAnsi="Arial"/>
          <w:sz w:val="22"/>
          <w:szCs w:val="22"/>
          <w:color w:val="auto"/>
        </w:rPr>
        <w:t>postponed by the Company for such period as may be required for it to comply with any applicable foreign, federal or state securities law, or any national securities exchange listing requirements and the Company is not obligated to issue or deliver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22"/>
          <w:szCs w:val="22"/>
          <w:color w:val="auto"/>
        </w:rPr>
        <w:t>if, in the opinion of counsel for the Company, the issuance of such Shares shall constitute a violation by the Participant or the Company of any provisions of any applicable foreign, federal or state law or of any regulations of any governmental authority or any national securities exchange.</w:t>
      </w:r>
    </w:p>
    <w:p>
      <w:pPr>
        <w:spacing w:after="0" w:line="17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b w:val="1"/>
          <w:bCs w:val="1"/>
          <w:color w:val="auto"/>
        </w:rPr>
        <w:t xml:space="preserve">. </w:t>
      </w:r>
      <w:r>
        <w:rPr>
          <w:rFonts w:ascii="Arial" w:cs="Arial" w:eastAsia="Arial" w:hAnsi="Arial"/>
          <w:sz w:val="19"/>
          <w:szCs w:val="19"/>
          <w:color w:val="auto"/>
        </w:rPr>
        <w:t>All certificates representing the Restricted Stock shall have endorsed thereon the following legends:</w:t>
      </w:r>
    </w:p>
    <w:p>
      <w:pPr>
        <w:spacing w:after="0" w:line="260"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anticipation, alienation, attachment, sale, transfer, assignment, pledge, encumbrance or charge of the shares of stock represented hereby are subject to the terms and conditions (including forfeiture) of the Cross Country Healthcare, Inc. (the “</w:t>
      </w:r>
      <w:r>
        <w:rPr>
          <w:rFonts w:ascii="Arial" w:cs="Arial" w:eastAsia="Arial" w:hAnsi="Arial"/>
          <w:sz w:val="22"/>
          <w:szCs w:val="22"/>
          <w:u w:val="single" w:color="auto"/>
          <w:color w:val="auto"/>
        </w:rPr>
        <w:t>Company</w:t>
      </w:r>
      <w:r>
        <w:rPr>
          <w:rFonts w:ascii="Arial" w:cs="Arial" w:eastAsia="Arial" w:hAnsi="Arial"/>
          <w:sz w:val="22"/>
          <w:szCs w:val="22"/>
          <w:color w:val="auto"/>
        </w:rPr>
        <w:t>”) 2020 Omnibus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and an agreement entered into between the registered owner and the Company dated as of ______________. Copies of such Plan and agreement are on file at the principal office of the Company.”</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legend required to be placed thereon by applicable blue sky laws of any state.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Notwithstanding the foregoing, in no event shall the Company be obligated to issue a certificate representing the Restricted Stock prior to the vesting dates set forth above.</w:t>
      </w:r>
    </w:p>
    <w:p>
      <w:pPr>
        <w:spacing w:after="0" w:line="196" w:lineRule="exact"/>
        <w:rPr>
          <w:sz w:val="20"/>
          <w:szCs w:val="20"/>
          <w:color w:val="auto"/>
        </w:rPr>
      </w:pPr>
    </w:p>
    <w:p>
      <w:pPr>
        <w:ind w:firstLine="656"/>
        <w:spacing w:after="0" w:line="293" w:lineRule="auto"/>
        <w:tabs>
          <w:tab w:leader="none" w:pos="12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Securities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Shares are being issued to the Participant and this Agreement is being made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in reliance upon the following express representations and warranties of the Participant.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Participant acknowledges, represents and warrants that:</w:t>
      </w:r>
    </w:p>
    <w:p>
      <w:pPr>
        <w:spacing w:after="0" w:line="247" w:lineRule="exact"/>
        <w:rPr>
          <w:sz w:val="20"/>
          <w:szCs w:val="20"/>
          <w:color w:val="auto"/>
        </w:rPr>
      </w:pPr>
    </w:p>
    <w:p>
      <w:pPr>
        <w:jc w:val="both"/>
        <w:ind w:firstLine="1304"/>
        <w:spacing w:after="0" w:line="250"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Act</w:t>
      </w:r>
      <w:r>
        <w:rPr>
          <w:rFonts w:ascii="Arial" w:cs="Arial" w:eastAsia="Arial" w:hAnsi="Arial"/>
          <w:sz w:val="22"/>
          <w:szCs w:val="22"/>
          <w:color w:val="auto"/>
        </w:rPr>
        <w:t>”) currently or at the time the Participant desires to sell the Shares following the vesting of the Restricted Stock, and in this connection the Company is relying in part on the Participant’s representations set forth in this section.</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the Participant is deemed an affiliate within the meaning of Rule 144 of the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187" w:lineRule="exact"/>
        <w:rPr>
          <w:rFonts w:ascii="Arial" w:cs="Arial" w:eastAsia="Arial" w:hAnsi="Arial"/>
          <w:sz w:val="22"/>
          <w:szCs w:val="22"/>
          <w:color w:val="auto"/>
        </w:rPr>
      </w:pPr>
    </w:p>
    <w:p>
      <w:pPr>
        <w:jc w:val="both"/>
        <w:ind w:firstLine="1304"/>
        <w:spacing w:after="0" w:line="263" w:lineRule="auto"/>
        <w:tabs>
          <w:tab w:leader="none" w:pos="1944" w:val="left"/>
        </w:tabs>
        <w:numPr>
          <w:ilvl w:val="0"/>
          <w:numId w:val="18"/>
        </w:numPr>
        <w:rPr>
          <w:rFonts w:ascii="Arial" w:cs="Arial" w:eastAsia="Arial" w:hAnsi="Arial"/>
          <w:sz w:val="21"/>
          <w:szCs w:val="21"/>
          <w:color w:val="auto"/>
        </w:rPr>
      </w:pPr>
      <w:r>
        <w:rPr>
          <w:rFonts w:ascii="Arial" w:cs="Arial" w:eastAsia="Arial" w:hAnsi="Arial"/>
          <w:sz w:val="21"/>
          <w:szCs w:val="21"/>
          <w:color w:val="auto"/>
        </w:rPr>
        <w:t>If the Participant is deemed an affiliate within the meaning of Rule 144 of the Act, the Participant understands that the exemption from registration under Rule 144 will not be available unless (i) a public trading market then exists for the Common Stock,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7" w:name="page48"/>
    <w:bookmarkEnd w:id="47"/>
    <w:p>
      <w:pPr>
        <w:jc w:val="both"/>
        <w:ind w:left="-440" w:firstLine="656"/>
        <w:spacing w:after="0" w:line="249" w:lineRule="auto"/>
        <w:tabs>
          <w:tab w:leader="none" w:pos="856"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No Obligation to Continue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not an agreement of employment or services.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does not guarantee that the Company or its Affiliates will retain, or continue to retain the Participant as a director or in any other capacity during the entire, or any portion of the, term of this Agreement, including but not limited to any period during which the Restricted Stock are outstanding, nor does it modify in any respect the Company or its Affiliate’s right to terminate or modify the Participant’s service or compensation.</w:t>
      </w:r>
    </w:p>
    <w:p>
      <w:pPr>
        <w:spacing w:after="0" w:line="186" w:lineRule="exact"/>
        <w:rPr>
          <w:rFonts w:ascii="Arial" w:cs="Arial" w:eastAsia="Arial" w:hAnsi="Arial"/>
          <w:sz w:val="22"/>
          <w:szCs w:val="22"/>
          <w:color w:val="auto"/>
        </w:rPr>
      </w:pPr>
    </w:p>
    <w:p>
      <w:pPr>
        <w:jc w:val="both"/>
        <w:ind w:left="-440" w:firstLine="656"/>
        <w:spacing w:after="0" w:line="291" w:lineRule="auto"/>
        <w:tabs>
          <w:tab w:leader="none" w:pos="856"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its successors and assigns, is hereby appointed the attorney-in-fact, with full</w:t>
      </w:r>
      <w:r>
        <w:rPr>
          <w:rFonts w:ascii="Arial" w:cs="Arial" w:eastAsia="Arial" w:hAnsi="Arial"/>
          <w:sz w:val="19"/>
          <w:szCs w:val="19"/>
          <w:b w:val="1"/>
          <w:bCs w:val="1"/>
          <w:color w:val="auto"/>
        </w:rPr>
        <w:t xml:space="preserve"> </w:t>
      </w:r>
      <w:r>
        <w:rPr>
          <w:rFonts w:ascii="Arial" w:cs="Arial" w:eastAsia="Arial" w:hAnsi="Arial"/>
          <w:sz w:val="19"/>
          <w:szCs w:val="19"/>
          <w:color w:val="auto"/>
        </w:rPr>
        <w:t>power of substitution, of the Participant for the purpose of carrying out the provisions of this Agreement and taking any action and executing any instruments which such attorney-in-fact may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Stock,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judgment of the Company, be advisable for the purpose.</w:t>
      </w:r>
    </w:p>
    <w:p>
      <w:pPr>
        <w:spacing w:after="0" w:line="148" w:lineRule="exact"/>
        <w:rPr>
          <w:rFonts w:ascii="Arial" w:cs="Arial" w:eastAsia="Arial" w:hAnsi="Arial"/>
          <w:sz w:val="19"/>
          <w:szCs w:val="19"/>
          <w:color w:val="auto"/>
        </w:rPr>
      </w:pPr>
    </w:p>
    <w:p>
      <w:pPr>
        <w:jc w:val="both"/>
        <w:ind w:left="-440" w:firstLine="656"/>
        <w:spacing w:after="0" w:line="298" w:lineRule="auto"/>
        <w:tabs>
          <w:tab w:leader="none" w:pos="856"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Uncertificated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else herein, to the extent permitted under applicable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or state law, the Company may, issue the Restricted Stock in the form of uncertificated shares. Such uncertificated shares of Restricted Stock shall be credited to a book entry account maintained by the Company (or its designee) on behalf of the Participant. If thereafter certificates are issued with respect to the uncertificated shares of Restricted Stock, such issuance and delivery of certificates shall be in accordance with the applicable terms of this Agreement.</w:t>
      </w:r>
    </w:p>
    <w:p>
      <w:pPr>
        <w:spacing w:after="0" w:line="142" w:lineRule="exact"/>
        <w:rPr>
          <w:rFonts w:ascii="Arial" w:cs="Arial" w:eastAsia="Arial" w:hAnsi="Arial"/>
          <w:sz w:val="19"/>
          <w:szCs w:val="19"/>
          <w:color w:val="auto"/>
        </w:rPr>
      </w:pPr>
    </w:p>
    <w:p>
      <w:pPr>
        <w:jc w:val="both"/>
        <w:ind w:left="-440" w:firstLine="656"/>
        <w:spacing w:after="0" w:line="259" w:lineRule="auto"/>
        <w:tabs>
          <w:tab w:leader="none" w:pos="856"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color w:val="auto"/>
        </w:rPr>
        <w:t>. This Agreement is subject to all the terms, conditions and provisions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and the Plan contains the entire understanding of the parties with respect to the subject matter hereof and supersedes any prior agreements between the Company and the Participant with respect to the subject matter hereof.</w:t>
      </w:r>
    </w:p>
    <w:p>
      <w:pPr>
        <w:spacing w:after="0" w:line="175" w:lineRule="exact"/>
        <w:rPr>
          <w:rFonts w:ascii="Arial" w:cs="Arial" w:eastAsia="Arial" w:hAnsi="Arial"/>
          <w:sz w:val="21"/>
          <w:szCs w:val="21"/>
          <w:color w:val="auto"/>
        </w:rPr>
      </w:pPr>
    </w:p>
    <w:p>
      <w:pPr>
        <w:jc w:val="both"/>
        <w:ind w:left="-440" w:firstLine="656"/>
        <w:spacing w:after="0" w:line="256" w:lineRule="auto"/>
        <w:tabs>
          <w:tab w:leader="none" w:pos="856"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or communication given hereunder (each a “</w:t>
      </w: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shall be in writing and shall be sent by</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delivery, by courier or by United States mail (registered or certified mail, postage prepaid and return receipt requested), to the appropriate party at the address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00"/>
          </w:cols>
          <w:pgMar w:left="760" w:top="1422" w:right="339" w:bottom="1440" w:gutter="0" w:footer="0" w:header="0"/>
        </w:sectPr>
      </w:pPr>
    </w:p>
    <w:bookmarkStart w:id="48" w:name="page49"/>
    <w:bookmarkEnd w:id="48"/>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Cross Country Healthcare,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6551 Park of Commerce Blvd.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Boca Raton, Florida 33487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Participant, to the address for the Participant on file with the Company;</w:t>
      </w:r>
    </w:p>
    <w:p>
      <w:pPr>
        <w:spacing w:after="0" w:line="220" w:lineRule="exact"/>
        <w:rPr>
          <w:sz w:val="20"/>
          <w:szCs w:val="20"/>
          <w:color w:val="auto"/>
        </w:rPr>
      </w:pPr>
    </w:p>
    <w:p>
      <w:pPr>
        <w:ind w:firstLine="1287"/>
        <w:spacing w:after="0" w:line="263" w:lineRule="auto"/>
        <w:rPr>
          <w:sz w:val="20"/>
          <w:szCs w:val="20"/>
          <w:color w:val="auto"/>
        </w:rPr>
      </w:pPr>
      <w:r>
        <w:rPr>
          <w:rFonts w:ascii="Arial" w:cs="Arial" w:eastAsia="Arial" w:hAnsi="Arial"/>
          <w:sz w:val="22"/>
          <w:szCs w:val="22"/>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69" w:lineRule="exact"/>
        <w:rPr>
          <w:sz w:val="20"/>
          <w:szCs w:val="20"/>
          <w:color w:val="auto"/>
        </w:rPr>
      </w:pPr>
    </w:p>
    <w:p>
      <w:pPr>
        <w:jc w:val="both"/>
        <w:ind w:firstLine="656"/>
        <w:spacing w:after="0" w:line="252" w:lineRule="auto"/>
        <w:tabs>
          <w:tab w:leader="none" w:pos="1288"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As required by Section 8.2(b) of the Plan, the Participant shall forfeit the Restricted Stock if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does not execute this Agreement within a period of 60 days from the Grant Date (or such other period as the Board shall provide). In the event that the Restricted Stock is not accepted within such time period, this Agreement will be null and void </w:t>
      </w:r>
      <w:r>
        <w:rPr>
          <w:rFonts w:ascii="Arial" w:cs="Arial" w:eastAsia="Arial" w:hAnsi="Arial"/>
          <w:sz w:val="22"/>
          <w:szCs w:val="22"/>
          <w:i w:val="1"/>
          <w:iCs w:val="1"/>
          <w:color w:val="auto"/>
        </w:rPr>
        <w:t xml:space="preserve">ab initio </w:t>
      </w:r>
      <w:r>
        <w:rPr>
          <w:rFonts w:ascii="Arial" w:cs="Arial" w:eastAsia="Arial" w:hAnsi="Arial"/>
          <w:sz w:val="22"/>
          <w:szCs w:val="22"/>
          <w:color w:val="auto"/>
        </w:rPr>
        <w:t>and this award of Restricted Stock will not be valid.</w:t>
      </w:r>
    </w:p>
    <w:p>
      <w:pPr>
        <w:spacing w:after="0" w:line="179"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All questions concerning the construction, validity and interpretation of this Agreement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9"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any dispute, controversy or claim between the Company or any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Participant in any way concerning, arising out of or relating to the Plan or this Agreement (a “</w:t>
      </w:r>
      <w:r>
        <w:rPr>
          <w:rFonts w:ascii="Arial" w:cs="Arial" w:eastAsia="Arial" w:hAnsi="Arial"/>
          <w:sz w:val="19"/>
          <w:szCs w:val="19"/>
          <w:b w:val="1"/>
          <w:bCs w:val="1"/>
          <w:u w:val="single" w:color="auto"/>
          <w:color w:val="auto"/>
        </w:rPr>
        <w:t>Dispute</w:t>
      </w:r>
      <w:r>
        <w:rPr>
          <w:rFonts w:ascii="Arial" w:cs="Arial" w:eastAsia="Arial" w:hAnsi="Arial"/>
          <w:sz w:val="19"/>
          <w:szCs w:val="19"/>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Florida located in Palm Beach County and/or the Federal courts of the United States of America located in the Florida Southern District (collectively, the “</w:t>
      </w:r>
      <w:r>
        <w:rPr>
          <w:rFonts w:ascii="Arial" w:cs="Arial" w:eastAsia="Arial" w:hAnsi="Arial"/>
          <w:sz w:val="19"/>
          <w:szCs w:val="19"/>
          <w:b w:val="1"/>
          <w:bCs w:val="1"/>
          <w:u w:val="single" w:color="auto"/>
          <w:color w:val="auto"/>
        </w:rPr>
        <w:t>Agreed Venue</w:t>
      </w:r>
      <w:r>
        <w:rPr>
          <w:rFonts w:ascii="Arial" w:cs="Arial" w:eastAsia="Arial" w:hAnsi="Arial"/>
          <w:sz w:val="19"/>
          <w:szCs w:val="19"/>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Florida.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21"/>
          <w:szCs w:val="21"/>
          <w:color w:val="auto"/>
        </w:rPr>
        <w:t>that service of process on such party pursuant to a Notice as provided in Section 11 shall be deemed effective service of process on such party. Any action for enforcement or recognition of any judgment obtained in connection with a Dispute may enforced in any competent court in the Agreed Venue or in any other court of competent jurisdiction.</w:t>
      </w:r>
    </w:p>
    <w:p>
      <w:pPr>
        <w:spacing w:after="0" w:line="161" w:lineRule="exact"/>
        <w:rPr>
          <w:sz w:val="20"/>
          <w:szCs w:val="20"/>
          <w:color w:val="auto"/>
        </w:rPr>
      </w:pPr>
    </w:p>
    <w:p>
      <w:pPr>
        <w:jc w:val="both"/>
        <w:ind w:firstLine="656"/>
        <w:spacing w:after="0" w:line="267" w:lineRule="auto"/>
        <w:tabs>
          <w:tab w:leader="none" w:pos="1296"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subject to the terms of the Plan, at any time and from time to time amend,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any or all of the provisions of this Agreement and may also suspend or terminate this Agreement subject to the terms of the Plan. Except as otherwise provided in the Plan, no modification or waiver of any of the provisions of this Agreement will be effective unless in writing by the party against whom it is sought to be enforced.</w:t>
      </w:r>
    </w:p>
    <w:p>
      <w:pPr>
        <w:spacing w:after="0" w:line="167" w:lineRule="exact"/>
        <w:rPr>
          <w:rFonts w:ascii="Arial" w:cs="Arial" w:eastAsia="Arial" w:hAnsi="Arial"/>
          <w:sz w:val="21"/>
          <w:szCs w:val="21"/>
          <w:color w:val="auto"/>
        </w:rPr>
      </w:pPr>
    </w:p>
    <w:p>
      <w:pPr>
        <w:jc w:val="both"/>
        <w:ind w:firstLine="656"/>
        <w:spacing w:after="0" w:line="256"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(including by facsimile transmission) with counterpart signature</w:t>
      </w:r>
      <w:r>
        <w:rPr>
          <w:rFonts w:ascii="Arial" w:cs="Arial" w:eastAsia="Arial" w:hAnsi="Arial"/>
          <w:sz w:val="22"/>
          <w:szCs w:val="22"/>
          <w:b w:val="1"/>
          <w:bCs w:val="1"/>
          <w:color w:val="auto"/>
        </w:rPr>
        <w:t xml:space="preserve"> </w:t>
      </w:r>
      <w:r>
        <w:rPr>
          <w:rFonts w:ascii="Arial" w:cs="Arial" w:eastAsia="Arial" w:hAnsi="Arial"/>
          <w:sz w:val="22"/>
          <w:szCs w:val="22"/>
          <w:color w:val="auto"/>
        </w:rPr>
        <w:t>pages or in separate counterparts each of which shall be an original and all of which taken together shall constitute one and the same agreement.</w:t>
      </w:r>
    </w:p>
    <w:p>
      <w:pPr>
        <w:spacing w:after="0" w:line="176"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ind w:right="400" w:firstLine="1304"/>
        <w:spacing w:after="0" w:line="263" w:lineRule="auto"/>
        <w:tabs>
          <w:tab w:leader="none" w:pos="1944" w:val="left"/>
        </w:tabs>
        <w:numPr>
          <w:ilvl w:val="1"/>
          <w:numId w:val="21"/>
        </w:numPr>
        <w:rPr>
          <w:rFonts w:ascii="Arial" w:cs="Arial" w:eastAsia="Arial" w:hAnsi="Arial"/>
          <w:sz w:val="22"/>
          <w:szCs w:val="22"/>
          <w:color w:val="auto"/>
        </w:rPr>
      </w:pPr>
      <w:r>
        <w:rPr>
          <w:rFonts w:ascii="Arial" w:cs="Arial" w:eastAsia="Arial" w:hAnsi="Arial"/>
          <w:sz w:val="22"/>
          <w:szCs w:val="22"/>
          <w:color w:val="auto"/>
        </w:rPr>
        <w:t>By signing and returning this Agreement, the Participant agrees to comply with this Agreement and all applicable laws and regulations.</w:t>
      </w:r>
    </w:p>
    <w:p>
      <w:pPr>
        <w:spacing w:after="0" w:line="175" w:lineRule="exact"/>
        <w:rPr>
          <w:sz w:val="20"/>
          <w:szCs w:val="20"/>
          <w:color w:val="auto"/>
        </w:rPr>
      </w:pPr>
    </w:p>
    <w:p>
      <w:pPr>
        <w:ind w:firstLine="1304"/>
        <w:spacing w:after="0" w:line="343" w:lineRule="auto"/>
        <w:tabs>
          <w:tab w:leader="none" w:pos="19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This Agreement contains the entire understanding of the parties with respect to the subject matter hereof and supersedes any prior agreements between the Company and the Participant with respect to the subject matter hereof.</w:t>
      </w:r>
    </w:p>
    <w:p>
      <w:pPr>
        <w:spacing w:after="0" w:line="104" w:lineRule="exact"/>
        <w:rPr>
          <w:rFonts w:ascii="Arial" w:cs="Arial" w:eastAsia="Arial" w:hAnsi="Arial"/>
          <w:sz w:val="19"/>
          <w:szCs w:val="19"/>
          <w:color w:val="auto"/>
        </w:rPr>
      </w:pPr>
    </w:p>
    <w:p>
      <w:pPr>
        <w:jc w:val="both"/>
        <w:ind w:firstLine="1304"/>
        <w:spacing w:after="0" w:line="302" w:lineRule="auto"/>
        <w:tabs>
          <w:tab w:leader="none" w:pos="19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parties hereto and their respective heirs, legal representatives, successors and assigns. Notwithstanding the foregoing, the Participant hereby acknowledges and agrees that the Company may assign this Agreement to any successor to all or substantially all of the business and/or assets of the Company. As used in this Agreement, “</w:t>
      </w:r>
      <w:r>
        <w:rPr>
          <w:rFonts w:ascii="Arial" w:cs="Arial" w:eastAsia="Arial" w:hAnsi="Arial"/>
          <w:sz w:val="19"/>
          <w:szCs w:val="19"/>
          <w:b w:val="1"/>
          <w:bCs w:val="1"/>
          <w:color w:val="auto"/>
        </w:rPr>
        <w:t>Company</w:t>
      </w:r>
      <w:r>
        <w:rPr>
          <w:rFonts w:ascii="Arial" w:cs="Arial" w:eastAsia="Arial" w:hAnsi="Arial"/>
          <w:sz w:val="19"/>
          <w:szCs w:val="19"/>
          <w:color w:val="auto"/>
        </w:rPr>
        <w:t>” shall mean the Company and any successor to its business and/or assets.</w:t>
      </w:r>
    </w:p>
    <w:p>
      <w:pPr>
        <w:spacing w:after="0" w:line="142"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75" w:lineRule="exact"/>
        <w:rPr>
          <w:rFonts w:ascii="Arial" w:cs="Arial" w:eastAsia="Arial" w:hAnsi="Arial"/>
          <w:sz w:val="21"/>
          <w:szCs w:val="21"/>
          <w:color w:val="auto"/>
        </w:rPr>
      </w:pPr>
    </w:p>
    <w:p>
      <w:pPr>
        <w:ind w:right="600" w:firstLine="1304"/>
        <w:spacing w:after="0" w:line="253"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any provision of this Agreement shall be held invalid or unenforceable, such invalidity or unenforceability shall not affect any other provisions hereof, and this Agreement shall be construed and enforced as if such provisions had not been included.</w:t>
      </w:r>
    </w:p>
    <w:p>
      <w:pPr>
        <w:spacing w:after="0" w:line="185" w:lineRule="exact"/>
        <w:rPr>
          <w:rFonts w:ascii="Arial" w:cs="Arial" w:eastAsia="Arial" w:hAnsi="Arial"/>
          <w:sz w:val="22"/>
          <w:szCs w:val="22"/>
          <w:color w:val="auto"/>
        </w:rPr>
      </w:pPr>
    </w:p>
    <w:p>
      <w:pPr>
        <w:ind w:right="40" w:firstLine="1304"/>
        <w:spacing w:after="0" w:line="263"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section headings used in this Agreement are included solely for convenience and shall not affect, or be used in connection with,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0" w:name="page51"/>
    <w:bookmarkEnd w:id="50"/>
    <w:p>
      <w:pPr>
        <w:jc w:val="both"/>
        <w:ind w:firstLine="1304"/>
        <w:spacing w:after="0" w:line="292" w:lineRule="auto"/>
        <w:tabs>
          <w:tab w:leader="none" w:pos="19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Although the Company makes no guarantee with respect to the tax treatment of the Restricted Stock, the award of Restricted Stock pursuant to this Agreement is intended to be exempt from Section 409A of the Code and shall be limited, construed and interpreted in accordance with such intent. With respect to any dividends and other RS Property, however, this Agreement is intended to comply with, or to be exempt from, the applicable requirements of Section 409A of the Code and shall be limited, construed and interpreted in accordance with such intent. In no event whatsoever shall the Company or any of its affiliates be liable for any additional tax, interest or penalties that may be imposed on the Participant by Section 409A of the Code or any damages for failing to comply with Section 409A of the Code.</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CROSS COUNTRY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663065" cy="394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630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William J. Burns, EVP and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Co-Founder &amp; Chief Executive Officer</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June 30, 2020, (the "Periodic Report"), I, Kevin C. Clark, Co-Founder and Chief Executive Officer of the Company, hereby certify pursuant to</w:t>
      </w:r>
    </w:p>
    <w:p>
      <w:pPr>
        <w:ind w:right="200"/>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700" w:val="left"/>
          <w:tab w:leader="none" w:pos="3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31750</wp:posOffset>
            </wp:positionV>
            <wp:extent cx="5186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186680" cy="8255"/>
                    </a:xfrm>
                    <a:prstGeom prst="rect">
                      <a:avLst/>
                    </a:prstGeom>
                    <a:noFill/>
                  </pic:spPr>
                </pic:pic>
              </a:graphicData>
            </a:graphic>
          </wp:anchor>
        </w:drawing>
      </w:r>
    </w:p>
    <w:p>
      <w:pPr>
        <w:spacing w:after="0" w:line="5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Co-Founder &amp; Chief Executive Officer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June 30, 2020,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30" w:lineRule="exact"/>
        <w:rPr>
          <w:sz w:val="20"/>
          <w:szCs w:val="20"/>
          <w:color w:val="auto"/>
        </w:rPr>
      </w:pPr>
    </w:p>
    <w:p>
      <w:pPr>
        <w:ind w:left="20"/>
        <w:spacing w:after="0"/>
        <w:tabs>
          <w:tab w:leader="none" w:pos="640" w:val="left"/>
          <w:tab w:leader="none" w:pos="298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31750</wp:posOffset>
            </wp:positionV>
            <wp:extent cx="5212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decimal"/>
      <w:start w:val="4"/>
    </w:lvl>
  </w:abstractNum>
  <w:abstractNum w:abstractNumId="14">
    <w:nsid w:val="62BBD95A"/>
    <w:multiLevelType w:val="hybridMultilevel"/>
    <w:lvl w:ilvl="0">
      <w:lvlJc w:val="left"/>
      <w:lvlText w:val="(%1)"/>
      <w:numFmt w:val="decimal"/>
      <w:start w:val="30"/>
    </w:lvl>
    <w:lvl w:ilvl="1">
      <w:lvlJc w:val="left"/>
      <w:lvlText w:val="%2."/>
      <w:numFmt w:val="decimal"/>
      <w:start w:val="8"/>
    </w:lvl>
  </w:abstractNum>
  <w:abstractNum w:abstractNumId="15">
    <w:nsid w:val="436C6125"/>
    <w:multiLevelType w:val="hybridMultilevel"/>
    <w:lvl w:ilvl="0">
      <w:lvlJc w:val="left"/>
      <w:lvlText w:val="%1."/>
      <w:numFmt w:val="decimal"/>
      <w:start w:val="4"/>
    </w:lvl>
    <w:lvl w:ilvl="1">
      <w:lvlJc w:val="left"/>
      <w:lvlText w:val="%2."/>
      <w:numFmt w:val="decimal"/>
      <w:start w:val="1"/>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decimal"/>
      <w:start w:val="11"/>
    </w:lvl>
  </w:abstractNum>
  <w:abstractNum w:abstractNumId="20">
    <w:nsid w:val="2D1D5AE9"/>
    <w:multiLevelType w:val="hybridMultilevel"/>
    <w:lvl w:ilvl="0">
      <w:lvlJc w:val="left"/>
      <w:lvlText w:val="%1."/>
      <w:numFmt w:val="decimal"/>
      <w:start w:val="14"/>
    </w:lvl>
    <w:lvl w:ilvl="1">
      <w:lvlJc w:val="left"/>
      <w:lvlText w:val="%2."/>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6"/>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2" Type="http://schemas.openxmlformats.org/officeDocument/2006/relationships/hyperlink" Target="https://www.sec.gov/Archives/edgar/data/1141103/000115752320000949/0001157523-20-00094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2020-08-06T14:07:04Z</dcterms:created>
  <dcterms:modified xsi:type="dcterms:W3CDTF">2020-08-06T14:07:04Z</dcterms:modified>
</cp:coreProperties>
</file>