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300990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951865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17145</wp:posOffset>
            </wp:positionV>
            <wp:extent cx="1911350" cy="626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1350" cy="6261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Cross Country Healthcare,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3100" w:type="dxa"/>
            <w:vAlign w:val="bottom"/>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0-33169</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b w:val="1"/>
                <w:bCs w:val="1"/>
                <w:color w:val="auto"/>
              </w:rPr>
              <w:t>13-4066229</w:t>
            </w:r>
          </w:p>
        </w:tc>
      </w:tr>
      <w:tr>
        <w:trPr>
          <w:trHeight w:val="216"/>
        </w:trPr>
        <w:tc>
          <w:tcPr>
            <w:tcW w:w="310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3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(Commission</w:t>
            </w:r>
          </w:p>
        </w:tc>
        <w:tc>
          <w:tcPr>
            <w:tcW w:w="2640" w:type="dxa"/>
            <w:vAlign w:val="bottom"/>
          </w:tcPr>
          <w:p>
            <w:pPr>
              <w:jc w:val="center"/>
              <w:ind w:left="1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tcPr>
          <w:p>
            <w:pPr>
              <w:jc w:val="center"/>
              <w:ind w:right="1050"/>
              <w:spacing w:after="0"/>
              <w:rPr>
                <w:sz w:val="20"/>
                <w:szCs w:val="20"/>
                <w:color w:val="auto"/>
              </w:rPr>
            </w:pPr>
            <w:r>
              <w:rPr>
                <w:rFonts w:ascii="Times New Roman" w:cs="Times New Roman" w:eastAsia="Times New Roman" w:hAnsi="Times New Roman"/>
                <w:sz w:val="18"/>
                <w:szCs w:val="18"/>
                <w:color w:val="auto"/>
              </w:rPr>
              <w:t>of Incorporation)</w:t>
            </w:r>
          </w:p>
        </w:tc>
        <w:tc>
          <w:tcPr>
            <w:tcW w:w="3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8"/>
              </w:rPr>
              <w:t>File Number)</w:t>
            </w:r>
          </w:p>
        </w:tc>
        <w:tc>
          <w:tcPr>
            <w:tcW w:w="264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6551 Park of Commerce Boulevard, N.W., Boca Raton, Florida 33487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(561) 998-2232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240"/>
          </w:cols>
          <w:pgMar w:left="320" w:top="425" w:right="339" w:bottom="1440" w:gutter="0" w:footer="0" w:header="0"/>
        </w:sectPr>
      </w:pPr>
    </w:p>
    <w:p>
      <w:pPr>
        <w:spacing w:after="0" w:line="225"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7"/>
          <w:szCs w:val="17"/>
          <w:color w:val="auto"/>
        </w:rPr>
        <w:t>Common stock, par value $0.0001 per share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ind w:right="200" w:hanging="375"/>
        <w:spacing w:after="0" w:line="286" w:lineRule="auto"/>
        <w:rPr>
          <w:sz w:val="20"/>
          <w:szCs w:val="20"/>
          <w:color w:val="auto"/>
        </w:rPr>
      </w:pPr>
      <w:r>
        <w:rPr>
          <w:rFonts w:ascii="Times New Roman" w:cs="Times New Roman" w:eastAsia="Times New Roman" w:hAnsi="Times New Roman"/>
          <w:sz w:val="18"/>
          <w:szCs w:val="18"/>
          <w:b w:val="1"/>
          <w:bCs w:val="1"/>
          <w:color w:val="auto"/>
        </w:rPr>
        <w:t>Trading Symbol</w:t>
      </w:r>
      <w:r>
        <w:rPr>
          <w:sz w:val="20"/>
          <w:szCs w:val="20"/>
          <w:color w:val="auto"/>
        </w:rPr>
        <w:t xml:space="preserve"> </w:t>
      </w:r>
      <w:r>
        <w:rPr>
          <w:rFonts w:ascii="Times New Roman" w:cs="Times New Roman" w:eastAsia="Times New Roman" w:hAnsi="Times New Roman"/>
          <w:sz w:val="18"/>
          <w:szCs w:val="18"/>
          <w:b w:val="1"/>
          <w:bCs w:val="1"/>
          <w:color w:val="auto"/>
        </w:rPr>
        <w:t xml:space="preserve">Name of each exchange on which registered </w:t>
      </w:r>
      <w:r>
        <w:rPr>
          <w:rFonts w:ascii="Times New Roman" w:cs="Times New Roman" w:eastAsia="Times New Roman" w:hAnsi="Times New Roman"/>
          <w:sz w:val="18"/>
          <w:szCs w:val="18"/>
          <w:color w:val="auto"/>
        </w:rPr>
        <w:t>CCRN The Nasdaq Stock Market LLC</w:t>
      </w:r>
    </w:p>
    <w:p>
      <w:pPr>
        <w:spacing w:after="0" w:line="200" w:lineRule="exact"/>
        <w:rPr>
          <w:sz w:val="24"/>
          <w:szCs w:val="24"/>
          <w:color w:val="auto"/>
        </w:rPr>
      </w:pPr>
    </w:p>
    <w:p>
      <w:pPr>
        <w:sectPr>
          <w:pgSz w:w="11900" w:h="16838" w:orient="portrait"/>
          <w:cols w:equalWidth="0" w:num="2">
            <w:col w:w="4660" w:space="720"/>
            <w:col w:w="5860"/>
          </w:cols>
          <w:pgMar w:left="320" w:top="425" w:right="339" w:bottom="1440" w:gutter="0" w:footer="0" w:header="0"/>
          <w:type w:val="continuous"/>
        </w:sectPr>
      </w:pPr>
    </w:p>
    <w:p>
      <w:pPr>
        <w:spacing w:after="0" w:line="17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ind w:right="3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or Rule 12b-2 of the Securities Exchange Act of 1934 (§240.12b-2).</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25" w:right="339" w:bottom="1440" w:gutter="0" w:footer="0" w:header="0"/>
          <w:type w:val="continuous"/>
        </w:sectPr>
      </w:pPr>
    </w:p>
    <w:bookmarkStart w:id="1" w:name="page2"/>
    <w:bookmarkEnd w:id="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September 19, 2022 (the “Effective Date”), Cross Country Healthcare, Inc. (the “Company”) terminated the employment of Buffy S. White, Group President, Workforce Solutions of the Company, without cause and effective immediately. Under the terms of her agreement with the Company, Ms. White is entitled to certain payments as described on page 54 of the Company’s Definitive Proxy Statement on Schedule 14, as filed with the Securities and Exchange Commission on April 4, 2022. The Compensation Committee of the Board of Directors (the “Committee”) also has approved an additional cash severance payment to Ms. White in the amount of $337,500, which is equivalent to 100% of Ms. White’s target bonus amount as previously approved by the Committee under the Company’s Annual Cash Incentive Program for fiscal 2022. All severance amounts payable to Ms. White are contingent upon Ms. White’s execution and non-revocation of a standard release of claims. For one year following her termination of employment, Ms. White is prohibited from competing with the Company or intentionally interfering with the Company’s relationship with any of its suppliers, customers, or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ind w:left="5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200" w:lineRule="exact"/>
        <w:rPr>
          <w:sz w:val="20"/>
          <w:szCs w:val="20"/>
          <w:color w:val="auto"/>
        </w:rPr>
      </w:pPr>
    </w:p>
    <w:p>
      <w:pPr>
        <w:spacing w:after="0" w:line="245" w:lineRule="exact"/>
        <w:rPr>
          <w:sz w:val="20"/>
          <w:szCs w:val="20"/>
          <w:color w:val="auto"/>
        </w:rPr>
      </w:pPr>
    </w:p>
    <w:p>
      <w:pPr>
        <w:spacing w:after="0"/>
        <w:tabs>
          <w:tab w:leader="none" w:pos="5640" w:val="left"/>
          <w:tab w:leader="none" w:pos="6180" w:val="left"/>
        </w:tabs>
        <w:rPr>
          <w:sz w:val="20"/>
          <w:szCs w:val="20"/>
          <w:color w:val="auto"/>
        </w:rPr>
      </w:pPr>
      <w:r>
        <w:rPr>
          <w:rFonts w:ascii="Times New Roman" w:cs="Times New Roman" w:eastAsia="Times New Roman" w:hAnsi="Times New Roman"/>
          <w:sz w:val="18"/>
          <w:szCs w:val="18"/>
          <w:color w:val="auto"/>
        </w:rPr>
        <w:t>Dated:September 19,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97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William J. Burns</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&amp; Chief Financial Officer</w:t>
      </w:r>
    </w:p>
    <w:sectPr>
      <w:pgSz w:w="11900" w:h="16838" w:orient="portrait"/>
      <w:cols w:equalWidth="0" w:num="1">
        <w:col w:w="10340"/>
      </w:cols>
      <w:pgMar w:left="320" w:top="333"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2022-09-19T15:43:19Z</dcterms:created>
  <dcterms:modified xsi:type="dcterms:W3CDTF">2022-09-19T15:43:19Z</dcterms:modified>
</cp:coreProperties>
</file>