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97" w:lineRule="exact"/>
        <w:rPr>
          <w:sz w:val="24"/>
          <w:szCs w:val="24"/>
          <w:color w:val="auto"/>
        </w:rPr>
      </w:pPr>
    </w:p>
    <w:p>
      <w:pPr>
        <w:ind w:left="3700" w:right="2180" w:hanging="1479"/>
        <w:spacing w:after="0" w:line="378" w:lineRule="auto"/>
        <w:tabs>
          <w:tab w:leader="none" w:pos="24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jc w:val="center"/>
        <w:ind w:right="-59"/>
        <w:spacing w:after="0"/>
        <w:rPr>
          <w:sz w:val="20"/>
          <w:szCs w:val="20"/>
          <w:color w:val="auto"/>
        </w:rPr>
      </w:pPr>
      <w:r>
        <w:rPr>
          <w:rFonts w:ascii="Arial" w:cs="Arial" w:eastAsia="Arial" w:hAnsi="Arial"/>
          <w:sz w:val="18"/>
          <w:szCs w:val="18"/>
          <w:color w:val="auto"/>
        </w:rPr>
        <w:t>Or</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117"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154940</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7"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4760" w:type="dxa"/>
            <w:vAlign w:val="bottom"/>
          </w:tcPr>
          <w:p>
            <w:pPr>
              <w:ind w:left="166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20"/>
                <w:szCs w:val="20"/>
                <w:color w:val="auto"/>
              </w:rPr>
            </w:pPr>
          </w:p>
        </w:tc>
      </w:tr>
      <w:tr>
        <w:trPr>
          <w:trHeight w:val="364"/>
        </w:trPr>
        <w:tc>
          <w:tcPr>
            <w:tcW w:w="262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Delaware</w:t>
            </w: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0-33169</w:t>
            </w:r>
          </w:p>
        </w:tc>
        <w:tc>
          <w:tcPr>
            <w:tcW w:w="222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13-4066229</w:t>
            </w:r>
          </w:p>
        </w:tc>
      </w:tr>
      <w:tr>
        <w:trPr>
          <w:trHeight w:val="256"/>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3"/>
              </w:rPr>
              <w:t>(State or other jurisdiction of</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88"/>
              </w:rPr>
              <w:t>Commission</w:t>
            </w:r>
          </w:p>
        </w:tc>
        <w:tc>
          <w:tcPr>
            <w:tcW w:w="222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620" w:type="dxa"/>
            <w:vAlign w:val="bottom"/>
          </w:tcPr>
          <w:p>
            <w:pPr>
              <w:jc w:val="center"/>
              <w:ind w:right="310"/>
              <w:spacing w:after="0"/>
              <w:rPr>
                <w:sz w:val="20"/>
                <w:szCs w:val="20"/>
                <w:color w:val="auto"/>
              </w:rPr>
            </w:pPr>
            <w:r>
              <w:rPr>
                <w:rFonts w:ascii="Arial" w:cs="Arial" w:eastAsia="Arial" w:hAnsi="Arial"/>
                <w:sz w:val="18"/>
                <w:szCs w:val="18"/>
                <w:i w:val="1"/>
                <w:iCs w:val="1"/>
                <w:color w:val="auto"/>
                <w:w w:val="94"/>
              </w:rPr>
              <w:t>Incorporation or organization)</w:t>
            </w: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4"/>
              </w:rPr>
              <w:t>file number</w:t>
            </w:r>
          </w:p>
        </w:tc>
        <w:tc>
          <w:tcPr>
            <w:tcW w:w="2220" w:type="dxa"/>
            <w:vAlign w:val="bottom"/>
          </w:tcPr>
          <w:p>
            <w:pPr>
              <w:jc w:val="center"/>
              <w:ind w:left="470"/>
              <w:spacing w:after="0"/>
              <w:rPr>
                <w:sz w:val="20"/>
                <w:szCs w:val="20"/>
                <w:color w:val="auto"/>
              </w:rPr>
            </w:pPr>
            <w:r>
              <w:rPr>
                <w:rFonts w:ascii="Arial" w:cs="Arial" w:eastAsia="Arial" w:hAnsi="Arial"/>
                <w:sz w:val="18"/>
                <w:szCs w:val="18"/>
                <w:i w:val="1"/>
                <w:iCs w:val="1"/>
                <w:color w:val="auto"/>
                <w:w w:val="94"/>
              </w:rPr>
              <w:t>Identification Number)</w:t>
            </w:r>
          </w:p>
        </w:tc>
      </w:tr>
      <w:tr>
        <w:trPr>
          <w:trHeight w:val="333"/>
        </w:trPr>
        <w:tc>
          <w:tcPr>
            <w:tcW w:w="2620" w:type="dxa"/>
            <w:vAlign w:val="bottom"/>
          </w:tcPr>
          <w:p>
            <w:pPr>
              <w:spacing w:after="0"/>
              <w:rPr>
                <w:sz w:val="24"/>
                <w:szCs w:val="24"/>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6551 Park of Commerce Blvd, N.W.</w:t>
            </w:r>
          </w:p>
        </w:tc>
        <w:tc>
          <w:tcPr>
            <w:tcW w:w="2220" w:type="dxa"/>
            <w:vAlign w:val="bottom"/>
          </w:tcPr>
          <w:p>
            <w:pPr>
              <w:spacing w:after="0"/>
              <w:rPr>
                <w:sz w:val="24"/>
                <w:szCs w:val="24"/>
                <w:color w:val="auto"/>
              </w:rPr>
            </w:pPr>
          </w:p>
        </w:tc>
      </w:tr>
      <w:tr>
        <w:trPr>
          <w:trHeight w:val="220"/>
        </w:trPr>
        <w:tc>
          <w:tcPr>
            <w:tcW w:w="2620" w:type="dxa"/>
            <w:vAlign w:val="bottom"/>
          </w:tcPr>
          <w:p>
            <w:pPr>
              <w:spacing w:after="0"/>
              <w:rPr>
                <w:sz w:val="19"/>
                <w:szCs w:val="19"/>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Boca Raton, Florida 33487</w:t>
            </w:r>
          </w:p>
        </w:tc>
        <w:tc>
          <w:tcPr>
            <w:tcW w:w="2220" w:type="dxa"/>
            <w:vAlign w:val="bottom"/>
          </w:tcPr>
          <w:p>
            <w:pPr>
              <w:spacing w:after="0"/>
              <w:rPr>
                <w:sz w:val="19"/>
                <w:szCs w:val="19"/>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offices)(Zip Code)</w:t>
            </w:r>
          </w:p>
        </w:tc>
        <w:tc>
          <w:tcPr>
            <w:tcW w:w="2220" w:type="dxa"/>
            <w:vAlign w:val="bottom"/>
          </w:tcPr>
          <w:p>
            <w:pPr>
              <w:spacing w:after="0"/>
              <w:rPr>
                <w:sz w:val="20"/>
                <w:szCs w:val="20"/>
                <w:color w:val="auto"/>
              </w:rPr>
            </w:pPr>
          </w:p>
        </w:tc>
      </w:tr>
      <w:tr>
        <w:trPr>
          <w:trHeight w:val="310"/>
        </w:trPr>
        <w:tc>
          <w:tcPr>
            <w:tcW w:w="2620" w:type="dxa"/>
            <w:vAlign w:val="bottom"/>
          </w:tcPr>
          <w:p>
            <w:pPr>
              <w:spacing w:after="0"/>
              <w:rPr>
                <w:sz w:val="24"/>
                <w:szCs w:val="24"/>
                <w:color w:val="auto"/>
              </w:rPr>
            </w:pPr>
          </w:p>
        </w:tc>
        <w:tc>
          <w:tcPr>
            <w:tcW w:w="4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(561) 998-2232</w:t>
            </w:r>
          </w:p>
        </w:tc>
        <w:tc>
          <w:tcPr>
            <w:tcW w:w="222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p>
        </w:tc>
        <w:tc>
          <w:tcPr>
            <w:tcW w:w="4760" w:type="dxa"/>
            <w:vAlign w:val="bottom"/>
          </w:tcPr>
          <w:p>
            <w:pPr>
              <w:jc w:val="center"/>
              <w:ind w:right="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2220" w:type="dxa"/>
            <w:vAlign w:val="bottom"/>
          </w:tcPr>
          <w:p>
            <w:pPr>
              <w:spacing w:after="0"/>
              <w:rPr>
                <w:sz w:val="20"/>
                <w:szCs w:val="20"/>
                <w:color w:val="auto"/>
              </w:rPr>
            </w:pP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03"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4"/>
          <w:szCs w:val="24"/>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p>
    <w:p>
      <w:pPr>
        <w:spacing w:after="0" w:line="5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 Smaller Reporting Company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outstanding 32,574,260 shares of Common Stock, par value $0.0001 per share, as of October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2014,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5"/>
              </w:rPr>
              <w:t>SEPTEMBER 30, 2015</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806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 OTHER INFORMATION</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121"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$3,817 in 2015 and $1,425 in 2014</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125,470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113,129</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6,073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Insurance recovery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1,055</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159,724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131,183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 of accumulated depreciation of $38,554 in 2015 and $47,590 in 2014</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10,833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12,133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80,758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90,647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identifiable intangible assets, net of accumulated amortization of $37,156 in 2015 and $34,209 in 2014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33,823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Debt issuance costs,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1,257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17,889</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339,726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325,133</w:t>
            </w:r>
          </w:p>
        </w:tc>
      </w:tr>
      <w:tr>
        <w:trPr>
          <w:trHeight w:val="230"/>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32,109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27,314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28,731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 and capital lease obligations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3,607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tax payable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purchase price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2,790</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and capital lease obligations, less current portion</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71,918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70,467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accrued claims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30,594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32,068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purchase price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4,899</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197,707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194,801</w:t>
            </w:r>
          </w:p>
        </w:tc>
      </w:tr>
      <w:tr>
        <w:trPr>
          <w:trHeight w:val="243"/>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247,467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(116,474)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Cross Country Healthcare stockholders' equity</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141,553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129,878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142,019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130,332</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325,133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46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463"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195,692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188,944</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574,273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429,691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144,206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141,667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427,387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319,528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99,480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business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5,425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188,825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187,181</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559,364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431,285</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Loss on derivative liability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7,308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7,308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Consolidated net income (loss)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5,009</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(7,602)</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10,516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(11,566)</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Net income (loss) per share attributable to common shareholders -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Net income (loss) per share attributable to common shareholders -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31,245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31,165</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5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32,168</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31,245</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32,048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31,165</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3"/>
                <w:szCs w:val="23"/>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(11,448)</w:t>
            </w:r>
          </w:p>
        </w:tc>
      </w:tr>
      <w:tr>
        <w:trPr>
          <w:trHeight w:val="297"/>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(loss) gain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135"/>
        </w:trPr>
        <w:tc>
          <w:tcPr>
            <w:tcW w:w="59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common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Consolidated 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10,881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allowances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derivative liability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7,308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non-cash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18,866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6"/>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businesses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 net of cash acquired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 related to sale of business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(44,939)</w:t>
            </w:r>
          </w:p>
        </w:tc>
      </w:tr>
      <w:tr>
        <w:trPr>
          <w:trHeight w:val="176"/>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borrowing on Second Lien Term Loan</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28,875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 on Convertible Note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on Senior Secured Asset-Based revolving credit facility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(57,004)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under Senior Secured Asset-Based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capital lease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stock for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payment to noncontrolling shareholder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47,645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76"/>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19,589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24,584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7,732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InteliStaf of Oklahoma, LLC, which is controlled by the Company but not wholly 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Subsidiary Changes</w:t>
      </w:r>
    </w:p>
    <w:p>
      <w:pPr>
        <w:spacing w:after="0" w:line="225" w:lineRule="exact"/>
        <w:rPr>
          <w:sz w:val="20"/>
          <w:szCs w:val="20"/>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third quarter of 2015, the Company completed the sale of its education seminars business, Cross Country Education, LLC. See Note 4 - Disposal.</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third quarter, Jamestown Indemnity, Ltd., a wholly-owned Cayman Island captive company, was voluntarily liquidated and, as a result, MDA now self-insures $0.5 million for each of its professional liability claims.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2015.</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2014 included in the Company’s Annual Report on Form 10-K as filed with the Securities and Exchange Commission. The December 31, 2014 condensed consolidated balance sheet included herein was derived from the December 31, 2014 audited consolidated balance sheet included in the Company’s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period presentation. See Note 12 – Segment Data.</w:t>
      </w:r>
    </w:p>
    <w:p>
      <w:pPr>
        <w:spacing w:after="0" w:line="221" w:lineRule="exact"/>
        <w:rPr>
          <w:sz w:val="20"/>
          <w:szCs w:val="20"/>
          <w:color w:val="auto"/>
        </w:rPr>
      </w:pPr>
    </w:p>
    <w:p>
      <w:pPr>
        <w:ind w:right="6000" w:firstLine="8"/>
        <w:spacing w:after="0" w:line="503" w:lineRule="auto"/>
        <w:tabs>
          <w:tab w:leader="none" w:pos="64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Estimates are used for, but not limited to, the valuation of accounts receivable, goodwill and intangible assets, other long-lived assets, share-based compensation, accruals for health, workers’ compensation and professional liability claims, valuation of deferred tax assets, derivative liability, legal contingencies, future contingent considerations, income taxes and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2015, the Company wrote off approximately $9.1 million of fully depreciated property and equipment.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the nine months ended September 30, 2015, the Company incurred restructuring charges related to its cost optimization project. Restructuring costs totaled $1.1 million, including $0.6 million for exit costs related to lease consolidations and $0.5 million under the terms of the Company's ongoing benefit arrangement. The Company paid $0.2 million for exit liabilities and $0.4 million in post-employment benefits. As of September 30, 2015, the balance in the accrued restructuring liability was $0.5</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1" w:right="299" w:bottom="1440" w:gutter="0" w:footer="0" w:header="0"/>
        </w:sectPr>
      </w:pPr>
    </w:p>
    <w:bookmarkStart w:id="8" w:name="page9"/>
    <w:bookmarkEnd w:id="8"/>
    <w:p>
      <w:pPr>
        <w:ind w:right="600"/>
        <w:spacing w:after="0" w:line="277" w:lineRule="auto"/>
        <w:rPr>
          <w:sz w:val="20"/>
          <w:szCs w:val="20"/>
          <w:color w:val="auto"/>
        </w:rPr>
      </w:pPr>
      <w:r>
        <w:rPr>
          <w:rFonts w:ascii="Arial" w:cs="Arial" w:eastAsia="Arial" w:hAnsi="Arial"/>
          <w:sz w:val="18"/>
          <w:szCs w:val="18"/>
          <w:color w:val="auto"/>
        </w:rPr>
        <w:t>million, including $0.1 million of post-employment benefits and $0.4 million for exit liabilities. There were no restructuring liabilities included on the condensed consolidated balance sheets as of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2014, the Company adopted Accounting Standards Update (ASU) No. 2014-08 (ASU 2014-08)</w:t>
      </w:r>
      <w:r>
        <w:rPr>
          <w:rFonts w:ascii="Arial" w:cs="Arial" w:eastAsia="Arial" w:hAnsi="Arial"/>
          <w:sz w:val="16"/>
          <w:szCs w:val="16"/>
          <w:i w:val="1"/>
          <w:iCs w:val="1"/>
          <w:color w:val="auto"/>
        </w:rPr>
        <w:t>, Presentation of Financial Statements (Topic 205)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Property, Plant, and Equipment (Topic 360): Reporting Discontinued Operations and Disclosures of Disposals of Components of an Entity. </w:t>
      </w:r>
      <w:r>
        <w:rPr>
          <w:rFonts w:ascii="Arial" w:cs="Arial" w:eastAsia="Arial" w:hAnsi="Arial"/>
          <w:sz w:val="16"/>
          <w:szCs w:val="16"/>
          <w:color w:val="auto"/>
        </w:rPr>
        <w:t>ASU 2014-08</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new criteria for reporting discontinued operations and specifically indicates a disposal of a component of an entity or a group of components of an entity is required to be reported in discontinued operations if the disposal represents a strategic shift that will have a major effect on the Company’s operations and financial results. The new guidance also requires expanded disclosures for discontinued operations. In the third quarter of 2015, the Company disposed of a business that did not meet the criteria for presentation as discontinued operations. See Note 4 - Disposal for further information.</w:t>
      </w:r>
    </w:p>
    <w:p>
      <w:pPr>
        <w:spacing w:after="0" w:line="3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Staffing Network</w:t>
      </w:r>
    </w:p>
    <w:p>
      <w:pPr>
        <w:spacing w:after="0" w:line="22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On June 30, 2014, the Company acquired substantially all of the assets and certain liabilities of Medical Staffing Network Healthcare, LLC (MSN) for an aggregate purchase price of $47.1 million, net of $1.0 million cash acquired. The Company paid $44.6 million, net of cash acquired, and an additional $2.5 million was deferred and is due to the seller 21 months from the acquisition date, less any COBRA expenses incurred by the Company on behalf of former MSN employees over that period. The Company has incurred $0.3 million in COBRA expenses since the MSN acquisition and has a remaining liability of $2.2 million in the line item deferred purchase price on its condensed consolidated balance sheet.</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financed the purchase price using $55.0 million in new subordinated debt consisting of a $30.0 million, 5-year term loan and $25.0 million of convertible notes having a 6-year maturity and a conversion price of $7.10. The Company also amended its loan agreement with Bank of America. N.A. to increase its borrowing capacity under its senior secured asset-based revolving credit facility from $65.0 million to $85.0 million. See Note 8 - Debt for further information.</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The acquisition has been accounted for in accordance with Financial Accounting Standards Board (FASB) Accounting Standards Codification (ASC)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using the acquisition method of accounting. The results of the acquisition's operations are included in the consolidated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from July 1, 2014. The acquisition results are substantially reported through the Company's Nurse and Allied Staffing business segment. As such, the associated goodwill related to the acquisition of MSN is fully allocated to Nurse and Allied Staffing.</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integrated the acquired business into its current operations, including the consolidation of branch and corporate offices and therefore, it is impracticable to separate its results. Acquisition and integration costs as presented on the condensed consolidated statements of operations include exit costs associated with redundant facilities and ongoing post-employment termination costs. Acquisition and integration costs in the three and nine months ended September 30, 2015 are primarily related to due diligence efforts related to the Mediscan acquisition, which closed on October 30, 2015. See Note 17 - Subsequent Event.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and Integration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beginning and ending acquisition and integration liability balances are presented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11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0"/>
                <w:szCs w:val="20"/>
                <w:color w:val="auto"/>
              </w:rPr>
            </w:pPr>
          </w:p>
        </w:tc>
        <w:tc>
          <w:tcPr>
            <w:tcW w:w="2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3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0"/>
              </w:rPr>
              <w:t>September 30, 2015</w:t>
            </w:r>
          </w:p>
        </w:tc>
        <w:tc>
          <w:tcPr>
            <w:tcW w:w="320" w:type="dxa"/>
            <w:vAlign w:val="bottom"/>
          </w:tcPr>
          <w:p>
            <w:pPr>
              <w:spacing w:after="0"/>
              <w:rPr>
                <w:sz w:val="23"/>
                <w:szCs w:val="23"/>
                <w:color w:val="auto"/>
              </w:rPr>
            </w:pPr>
          </w:p>
        </w:tc>
        <w:tc>
          <w:tcPr>
            <w:tcW w:w="26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September 30, 2015</w:t>
            </w:r>
          </w:p>
        </w:tc>
      </w:tr>
      <w:tr>
        <w:trPr>
          <w:trHeight w:val="34"/>
        </w:trPr>
        <w:tc>
          <w:tcPr>
            <w:tcW w:w="3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20" w:type="dxa"/>
            <w:vAlign w:val="bottom"/>
            <w:gridSpan w:val="4"/>
          </w:tcPr>
          <w:p>
            <w:pPr>
              <w:jc w:val="right"/>
              <w:ind w:right="550"/>
              <w:spacing w:after="0"/>
              <w:rPr>
                <w:sz w:val="20"/>
                <w:szCs w:val="20"/>
                <w:color w:val="auto"/>
              </w:rPr>
            </w:pPr>
            <w:r>
              <w:rPr>
                <w:rFonts w:ascii="Arial" w:cs="Arial" w:eastAsia="Arial" w:hAnsi="Arial"/>
                <w:sz w:val="18"/>
                <w:szCs w:val="18"/>
                <w:color w:val="auto"/>
              </w:rPr>
              <w:t>(amounts 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2"/>
        </w:trPr>
        <w:tc>
          <w:tcPr>
            <w:tcW w:w="31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Ongoing Benefit</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Ongoing Benefit</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4"/>
        </w:trPr>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Costs</w:t>
            </w: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Exit Costs</w:t>
            </w:r>
          </w:p>
        </w:tc>
        <w:tc>
          <w:tcPr>
            <w:tcW w:w="3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Costs</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Exit Costs</w:t>
            </w:r>
          </w:p>
        </w:tc>
      </w:tr>
      <w:tr>
        <w:trPr>
          <w:trHeight w:val="27"/>
        </w:trPr>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Charged to operations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Reclassifications (a)</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7"/>
        </w:trPr>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0"/>
        </w:trPr>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74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Exit liability has been reduced as a result of a lease amendment and has been reclassified to deferred rent, which will be amortized over the remaining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following unaudited pro forma financial information approximates the consolidated results of operations of the Company as if the MSN acquisition had occurred as of January 1, 2014,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$6.2 million in 2014 related to the MSN acquisition. These results are not necessarily indicative of future results as they do not include incremental investments in support functions, elimination of costs for integration or operating synergies, estimates of the changes in the fair value of the embedded derivative in our Convertible Notes or an estimate of any impact on interest expense resulting from the operating cash flow of the acquired business, among other adjustments that could be made in the future but are not factually supportable on the date of the transaction.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center"/>
              <w:ind w:right="172"/>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518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September 30, 2014</w:t>
            </w:r>
          </w:p>
        </w:tc>
      </w:tr>
      <w:tr>
        <w:trPr>
          <w:trHeight w:val="27"/>
        </w:trPr>
        <w:tc>
          <w:tcPr>
            <w:tcW w:w="51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3"/>
        </w:trPr>
        <w:tc>
          <w:tcPr>
            <w:tcW w:w="51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center"/>
              <w:ind w:right="152"/>
              <w:spacing w:after="0"/>
              <w:rPr>
                <w:sz w:val="20"/>
                <w:szCs w:val="20"/>
                <w:color w:val="auto"/>
              </w:rPr>
            </w:pPr>
            <w:r>
              <w:rPr>
                <w:rFonts w:ascii="Arial" w:cs="Arial" w:eastAsia="Arial" w:hAnsi="Arial"/>
                <w:sz w:val="16"/>
                <w:szCs w:val="16"/>
                <w:color w:val="auto"/>
                <w:w w:val="90"/>
              </w:rPr>
              <w:t>(unaudited, amounts in</w:t>
            </w:r>
          </w:p>
        </w:tc>
      </w:tr>
      <w:tr>
        <w:trPr>
          <w:trHeight w:val="206"/>
        </w:trPr>
        <w:tc>
          <w:tcPr>
            <w:tcW w:w="51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center"/>
              <w:ind w:right="172"/>
              <w:spacing w:after="0"/>
              <w:rPr>
                <w:sz w:val="20"/>
                <w:szCs w:val="20"/>
                <w:color w:val="auto"/>
              </w:rPr>
            </w:pPr>
            <w:r>
              <w:rPr>
                <w:rFonts w:ascii="Arial" w:cs="Arial" w:eastAsia="Arial" w:hAnsi="Arial"/>
                <w:sz w:val="16"/>
                <w:szCs w:val="16"/>
                <w:color w:val="auto"/>
                <w:w w:val="88"/>
              </w:rPr>
              <w:t>thousands)</w:t>
            </w:r>
          </w:p>
        </w:tc>
      </w:tr>
      <w:tr>
        <w:trPr>
          <w:trHeight w:val="195"/>
        </w:trPr>
        <w:tc>
          <w:tcPr>
            <w:tcW w:w="51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551,761</w:t>
            </w:r>
          </w:p>
        </w:tc>
      </w:tr>
      <w:tr>
        <w:trPr>
          <w:trHeight w:val="189"/>
        </w:trPr>
        <w:tc>
          <w:tcPr>
            <w:tcW w:w="51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(9,688)</w:t>
            </w:r>
          </w:p>
        </w:tc>
      </w:tr>
      <w:tr>
        <w:trPr>
          <w:trHeight w:val="189"/>
        </w:trPr>
        <w:tc>
          <w:tcPr>
            <w:tcW w:w="51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shareholders - Basic</w:t>
            </w:r>
          </w:p>
        </w:tc>
        <w:tc>
          <w:tcPr>
            <w:tcW w:w="4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189"/>
        </w:trPr>
        <w:tc>
          <w:tcPr>
            <w:tcW w:w="51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loss per share attributable to common shareholders - Diluted</w:t>
            </w:r>
          </w:p>
        </w:tc>
        <w:tc>
          <w:tcPr>
            <w:tcW w:w="4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891"/>
        </w:trPr>
        <w:tc>
          <w:tcPr>
            <w:tcW w:w="5180" w:type="dxa"/>
            <w:vAlign w:val="bottom"/>
          </w:tcPr>
          <w:p>
            <w:pPr>
              <w:spacing w:after="0"/>
              <w:rPr>
                <w:sz w:val="24"/>
                <w:szCs w:val="24"/>
                <w:color w:val="auto"/>
              </w:rPr>
            </w:pPr>
          </w:p>
        </w:tc>
        <w:tc>
          <w:tcPr>
            <w:tcW w:w="3960" w:type="dxa"/>
            <w:vAlign w:val="bottom"/>
          </w:tcPr>
          <w:p>
            <w:pPr>
              <w:jc w:val="right"/>
              <w:ind w:right="329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0" w:name="page11"/>
    <w:bookmarkEnd w:id="10"/>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DISPOSAL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Country Education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21, 2015, the Company's Board of Directors approved an agreement to sell the Company's education seminars business, Cross Country Education, LLC ("CCE"). CCE provided in-person seminars to healthcare professionals and was non-core to the Company’s business. The Company used the net proceeds from the transaction to finance the Mediscan acquisition in the fourth quarter of 2015. See Note 17 - Subsequent Event. Since the disposal of the education seminars business does not represent a strategic shift that will have a major effect on the Company’s operations and financial results, it has not been reflected as discontinued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27, 2015, the Company entered into an Agreement and Plan of Merger to sell its wholly-owned subsidiary, CCE, to a third party, PESI, Inc. ("Buyer"). On August 31, 2015, the Company completed the sale of CCE to the Buyer. The Company received $8.0 million in cash, subject to a net working capital adjustment, of which $0.5 million will be held in escrow for a period of 12 months following the closing to provide partial security to Buyer in the event of any breach of the representations, warranties and covenants of the Company. The Company recorded the $0.5 million indemnity escrow funds as an escrow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also included an earn out of up to $0.5 million related to the performance of CCE for the year ended 2015, which is unlikely to be made.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10 - Fair Value Measurements.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operating results of CCE were included in the Other Human Capital Management Services segment. See Note 12 - Segment Data for further information.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agreed that for a period of five years from the closing date, it will not engage in the business of providing education seminars as such business is presently conducted by CCE, or solicit customers of CCE for purposes of diverting their business from CCE.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a pre-tax loss of $2.2 million related to the sale of the business, which is included in income (loss) from operations in its condensed consolidated statements of operations for the three and nine months ended September 30, 2015.</w:t>
      </w:r>
    </w:p>
    <w:p>
      <w:pPr>
        <w:spacing w:after="0" w:line="16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approximately $1.2 million and $1.1 million, respectively, at September 30, 2015 and December 31, 2014.</w:t>
      </w:r>
    </w:p>
    <w:p>
      <w:pPr>
        <w:spacing w:after="0" w:line="17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There was no income tax impact related to foreign currency translation adjustments for the three and nine months ended September 30, 2015 and the three months ended September 30, 2014. During the nine months ended September 30, 2014, the Company's condensed consolidated statements of other comprehensive income (loss) included income tax expense of $0.2 million related to foreign currency translation adjustments.</w:t>
      </w:r>
    </w:p>
    <w:p>
      <w:pPr>
        <w:spacing w:after="0" w:line="16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 xml:space="preserve">In accordance with the requirements of the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Topic of the FASB ASC, basic earnings per share is computed by dividing net income available to common shareholders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and Convertible Notes using the if-converted method.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720" w:type="dxa"/>
            <w:vAlign w:val="bottom"/>
            <w:gridSpan w:val="4"/>
          </w:tcPr>
          <w:p>
            <w:pPr>
              <w:jc w:val="right"/>
              <w:ind w:right="134"/>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00" w:type="dxa"/>
            <w:vAlign w:val="bottom"/>
            <w:gridSpan w:val="3"/>
          </w:tcPr>
          <w:p>
            <w:pPr>
              <w:jc w:val="right"/>
              <w:ind w:right="394"/>
              <w:spacing w:after="0"/>
              <w:rPr>
                <w:sz w:val="20"/>
                <w:szCs w:val="20"/>
                <w:color w:val="auto"/>
              </w:rPr>
            </w:pPr>
            <w:r>
              <w:rPr>
                <w:rFonts w:ascii="Arial" w:cs="Arial" w:eastAsia="Arial" w:hAnsi="Arial"/>
                <w:sz w:val="18"/>
                <w:szCs w:val="18"/>
                <w:b w:val="1"/>
                <w:bCs w:val="1"/>
                <w:color w:val="auto"/>
                <w:w w:val="97"/>
              </w:rPr>
              <w:t>September 30,</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6"/>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6"/>
          </w:tcPr>
          <w:p>
            <w:pPr>
              <w:ind w:left="380"/>
              <w:spacing w:after="0"/>
              <w:rPr>
                <w:sz w:val="20"/>
                <w:szCs w:val="20"/>
                <w:color w:val="auto"/>
              </w:rPr>
            </w:pPr>
            <w:r>
              <w:rPr>
                <w:rFonts w:ascii="Arial" w:cs="Arial" w:eastAsia="Arial" w:hAnsi="Arial"/>
                <w:sz w:val="14"/>
                <w:szCs w:val="14"/>
                <w:color w:val="auto"/>
              </w:rPr>
              <w:t>(amounts in thousands, except per share data)</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5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shareholders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(7,602)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10,516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Basic weighted average common shares</w:t>
            </w: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31,541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31,245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of dilutive shares: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680"/>
              <w:spacing w:after="0"/>
              <w:rPr>
                <w:sz w:val="20"/>
                <w:szCs w:val="20"/>
                <w:color w:val="auto"/>
              </w:rPr>
            </w:pPr>
            <w:r>
              <w:rPr>
                <w:rFonts w:ascii="Arial" w:cs="Arial" w:eastAsia="Arial" w:hAnsi="Arial"/>
                <w:sz w:val="18"/>
                <w:szCs w:val="18"/>
                <w:color w:val="auto"/>
              </w:rPr>
              <w:t>Share-based awards</w:t>
            </w: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shares outstanding</w:t>
            </w:r>
          </w:p>
        </w:tc>
        <w:tc>
          <w:tcPr>
            <w:tcW w:w="10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32,168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31,245</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32,048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31,165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 Basic</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102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 Diluted</w:t>
            </w: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periods presented, no tax benefits have been assumed in the weighted average share calculation due to a full valuation allowance on the Company's deferred tax assets.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represents the securities that could potentially dilute net income per share attributable to common shareholders in the future that were not included in the computation of diluted net income per share attributable to common shareholders because to do so would have been anti-dilutive for the periods presented:</w:t>
      </w:r>
    </w:p>
    <w:p>
      <w:pPr>
        <w:spacing w:after="0" w:line="33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7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3860" w:type="dxa"/>
            <w:vAlign w:val="bottom"/>
          </w:tcPr>
          <w:p>
            <w:pPr>
              <w:spacing w:after="0"/>
              <w:rPr>
                <w:sz w:val="23"/>
                <w:szCs w:val="23"/>
                <w:color w:val="auto"/>
              </w:rPr>
            </w:pPr>
          </w:p>
        </w:tc>
        <w:tc>
          <w:tcPr>
            <w:tcW w:w="27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34"/>
        </w:trPr>
        <w:tc>
          <w:tcPr>
            <w:tcW w:w="38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860" w:type="dxa"/>
            <w:vAlign w:val="bottom"/>
          </w:tcPr>
          <w:p>
            <w:pPr>
              <w:spacing w:after="0"/>
              <w:rPr>
                <w:sz w:val="21"/>
                <w:szCs w:val="21"/>
                <w:color w:val="auto"/>
              </w:rPr>
            </w:pP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1"/>
                <w:szCs w:val="21"/>
                <w:color w:val="auto"/>
              </w:rPr>
            </w:pP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1"/>
                <w:szCs w:val="21"/>
                <w:color w:val="auto"/>
              </w:rPr>
            </w:pPr>
          </w:p>
        </w:tc>
        <w:tc>
          <w:tcPr>
            <w:tcW w:w="1200" w:type="dxa"/>
            <w:vAlign w:val="bottom"/>
          </w:tcPr>
          <w:p>
            <w:pPr>
              <w:ind w:left="42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1"/>
                <w:szCs w:val="21"/>
                <w:color w:val="auto"/>
              </w:rPr>
            </w:pPr>
          </w:p>
        </w:tc>
        <w:tc>
          <w:tcPr>
            <w:tcW w:w="1240" w:type="dxa"/>
            <w:vAlign w:val="bottom"/>
          </w:tcPr>
          <w:p>
            <w:pPr>
              <w:ind w:left="440"/>
              <w:spacing w:after="0"/>
              <w:rPr>
                <w:sz w:val="20"/>
                <w:szCs w:val="20"/>
                <w:color w:val="auto"/>
              </w:rPr>
            </w:pPr>
            <w:r>
              <w:rPr>
                <w:rFonts w:ascii="Arial" w:cs="Arial" w:eastAsia="Arial" w:hAnsi="Arial"/>
                <w:sz w:val="18"/>
                <w:szCs w:val="18"/>
                <w:b w:val="1"/>
                <w:bCs w:val="1"/>
                <w:color w:val="auto"/>
              </w:rPr>
              <w:t>2014</w:t>
            </w:r>
          </w:p>
        </w:tc>
      </w:tr>
      <w:tr>
        <w:trPr>
          <w:trHeight w:val="34"/>
        </w:trPr>
        <w:tc>
          <w:tcPr>
            <w:tcW w:w="38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24"/>
        </w:trPr>
        <w:tc>
          <w:tcPr>
            <w:tcW w:w="3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4"/>
        </w:trPr>
        <w:tc>
          <w:tcPr>
            <w:tcW w:w="38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Convertible notes and share-based awards</w:t>
            </w:r>
          </w:p>
        </w:tc>
        <w:tc>
          <w:tcPr>
            <w:tcW w:w="1180" w:type="dxa"/>
            <w:vAlign w:val="bottom"/>
            <w:tcBorders>
              <w:bottom w:val="single" w:sz="8" w:color="auto"/>
            </w:tcBorders>
            <w:shd w:val="clear" w:color="auto" w:fill="BFE4FF"/>
          </w:tcPr>
          <w:p>
            <w:pPr>
              <w:ind w:left="400"/>
              <w:spacing w:after="0"/>
              <w:rPr>
                <w:sz w:val="20"/>
                <w:szCs w:val="20"/>
                <w:color w:val="auto"/>
              </w:rPr>
            </w:pPr>
            <w:r>
              <w:rPr>
                <w:rFonts w:ascii="Arial" w:cs="Arial" w:eastAsia="Arial" w:hAnsi="Arial"/>
                <w:sz w:val="18"/>
                <w:szCs w:val="18"/>
                <w:color w:val="auto"/>
                <w:w w:val="94"/>
              </w:rPr>
              <w:t>3,521,126</w:t>
            </w:r>
          </w:p>
        </w:tc>
        <w:tc>
          <w:tcPr>
            <w:tcW w:w="16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auto"/>
            </w:tcBorders>
            <w:shd w:val="clear" w:color="auto" w:fill="BFE4FF"/>
          </w:tcPr>
          <w:p>
            <w:pPr>
              <w:ind w:left="400"/>
              <w:spacing w:after="0"/>
              <w:rPr>
                <w:sz w:val="20"/>
                <w:szCs w:val="20"/>
                <w:color w:val="auto"/>
              </w:rPr>
            </w:pPr>
            <w:r>
              <w:rPr>
                <w:rFonts w:ascii="Arial" w:cs="Arial" w:eastAsia="Arial" w:hAnsi="Arial"/>
                <w:sz w:val="18"/>
                <w:szCs w:val="18"/>
                <w:color w:val="auto"/>
                <w:w w:val="97"/>
              </w:rPr>
              <w:t>3,748,469</w:t>
            </w:r>
          </w:p>
        </w:tc>
        <w:tc>
          <w:tcPr>
            <w:tcW w:w="16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auto"/>
            </w:tcBorders>
            <w:shd w:val="clear" w:color="auto" w:fill="BFE4FF"/>
          </w:tcPr>
          <w:p>
            <w:pPr>
              <w:ind w:left="420"/>
              <w:spacing w:after="0"/>
              <w:rPr>
                <w:sz w:val="20"/>
                <w:szCs w:val="20"/>
                <w:color w:val="auto"/>
              </w:rPr>
            </w:pPr>
            <w:r>
              <w:rPr>
                <w:rFonts w:ascii="Arial" w:cs="Arial" w:eastAsia="Arial" w:hAnsi="Arial"/>
                <w:sz w:val="18"/>
                <w:szCs w:val="18"/>
                <w:color w:val="auto"/>
                <w:w w:val="94"/>
              </w:rPr>
              <w:t>3,521,126</w:t>
            </w:r>
          </w:p>
        </w:tc>
        <w:tc>
          <w:tcPr>
            <w:tcW w:w="160" w:type="dxa"/>
            <w:vAlign w:val="bottom"/>
            <w:tcBorders>
              <w:bottom w:val="single" w:sz="8" w:color="BFE4FF"/>
            </w:tcBorders>
            <w:shd w:val="clear" w:color="auto" w:fill="BFE4FF"/>
          </w:tcPr>
          <w:p>
            <w:pPr>
              <w:spacing w:after="0"/>
              <w:rPr>
                <w:sz w:val="22"/>
                <w:szCs w:val="22"/>
                <w:color w:val="auto"/>
              </w:rPr>
            </w:pPr>
          </w:p>
        </w:tc>
        <w:tc>
          <w:tcPr>
            <w:tcW w:w="1240" w:type="dxa"/>
            <w:vAlign w:val="bottom"/>
            <w:tcBorders>
              <w:bottom w:val="single" w:sz="8" w:color="auto"/>
            </w:tcBorders>
            <w:shd w:val="clear" w:color="auto" w:fill="BFE4FF"/>
          </w:tcPr>
          <w:p>
            <w:pPr>
              <w:ind w:left="440"/>
              <w:spacing w:after="0"/>
              <w:rPr>
                <w:sz w:val="20"/>
                <w:szCs w:val="20"/>
                <w:color w:val="auto"/>
              </w:rPr>
            </w:pPr>
            <w:r>
              <w:rPr>
                <w:rFonts w:ascii="Arial" w:cs="Arial" w:eastAsia="Arial" w:hAnsi="Arial"/>
                <w:sz w:val="18"/>
                <w:szCs w:val="18"/>
                <w:color w:val="auto"/>
                <w:w w:val="97"/>
              </w:rPr>
              <w:t>3,818,614</w:t>
            </w:r>
          </w:p>
        </w:tc>
      </w:tr>
      <w:tr>
        <w:trPr>
          <w:trHeight w:val="20"/>
        </w:trPr>
        <w:tc>
          <w:tcPr>
            <w:tcW w:w="3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7.</w:t>
        <w:tab/>
        <w:t>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and December 31, 2014, the Company had the following acquired intangible assets:</w:t>
      </w:r>
    </w:p>
    <w:p>
      <w:pPr>
        <w:spacing w:after="0" w:line="383"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September 30, 2015</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2014</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Carrying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4"/>
          </w:tcPr>
          <w:p>
            <w:pPr>
              <w:jc w:val="right"/>
              <w:ind w:right="110"/>
              <w:spacing w:after="0"/>
              <w:rPr>
                <w:sz w:val="20"/>
                <w:szCs w:val="20"/>
                <w:color w:val="auto"/>
              </w:rPr>
            </w:pPr>
            <w:r>
              <w:rPr>
                <w:rFonts w:ascii="Arial" w:cs="Arial" w:eastAsia="Arial" w:hAnsi="Arial"/>
                <w:sz w:val="18"/>
                <w:szCs w:val="18"/>
                <w:color w:val="auto"/>
                <w:w w:val="94"/>
              </w:rPr>
              <w:t>(amounts in thousands)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subject to</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160"/>
              <w:spacing w:after="0"/>
              <w:rPr>
                <w:sz w:val="20"/>
                <w:szCs w:val="20"/>
                <w:color w:val="auto"/>
              </w:rPr>
            </w:pPr>
            <w:r>
              <w:rPr>
                <w:rFonts w:ascii="Arial" w:cs="Arial" w:eastAsia="Arial" w:hAnsi="Arial"/>
                <w:sz w:val="18"/>
                <w:szCs w:val="18"/>
                <w:color w:val="auto"/>
              </w:rPr>
              <w:t>Databases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22,425</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22,425</w:t>
            </w:r>
          </w:p>
        </w:tc>
        <w:tc>
          <w:tcPr>
            <w:tcW w:w="5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42,004</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42,004</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24,134</w:t>
            </w:r>
          </w:p>
        </w:tc>
        <w:tc>
          <w:tcPr>
            <w:tcW w:w="0" w:type="dxa"/>
            <w:vAlign w:val="bottom"/>
          </w:tcPr>
          <w:p>
            <w:pPr>
              <w:spacing w:after="0"/>
              <w:rPr>
                <w:sz w:val="1"/>
                <w:szCs w:val="1"/>
                <w:color w:val="auto"/>
              </w:rPr>
            </w:pPr>
          </w:p>
        </w:tc>
      </w:tr>
      <w:tr>
        <w:trPr>
          <w:trHeight w:val="284"/>
        </w:trPr>
        <w:tc>
          <w:tcPr>
            <w:tcW w:w="2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8"/>
              </w:rPr>
              <w:t>Non-compete agreements</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69"/>
        </w:trPr>
        <w:tc>
          <w:tcPr>
            <w:tcW w:w="2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68,032</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68,032</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33,823</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6"/>
              </w:rPr>
              <w:t>Intangible assets not subject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to amortization:</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90,647</w:t>
            </w:r>
          </w:p>
        </w:tc>
        <w:tc>
          <w:tcPr>
            <w:tcW w:w="0" w:type="dxa"/>
            <w:vAlign w:val="bottom"/>
          </w:tcPr>
          <w:p>
            <w:pPr>
              <w:spacing w:after="0"/>
              <w:rPr>
                <w:sz w:val="1"/>
                <w:szCs w:val="1"/>
                <w:color w:val="auto"/>
              </w:rPr>
            </w:pPr>
          </w:p>
        </w:tc>
      </w:tr>
      <w:tr>
        <w:trPr>
          <w:trHeight w:val="284"/>
        </w:trPr>
        <w:tc>
          <w:tcPr>
            <w:tcW w:w="2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38,201</w:t>
            </w:r>
          </w:p>
        </w:tc>
        <w:tc>
          <w:tcPr>
            <w:tcW w:w="0" w:type="dxa"/>
            <w:vAlign w:val="bottom"/>
          </w:tcPr>
          <w:p>
            <w:pPr>
              <w:spacing w:after="0"/>
              <w:rPr>
                <w:sz w:val="1"/>
                <w:szCs w:val="1"/>
                <w:color w:val="auto"/>
              </w:rPr>
            </w:pPr>
          </w:p>
        </w:tc>
      </w:tr>
      <w:tr>
        <w:trPr>
          <w:trHeight w:val="269"/>
        </w:trPr>
        <w:tc>
          <w:tcPr>
            <w:tcW w:w="2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128,848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Other Human</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Nurse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And Allied</w:t>
            </w:r>
          </w:p>
        </w:tc>
        <w:tc>
          <w:tcPr>
            <w:tcW w:w="2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Physician</w:t>
            </w:r>
          </w:p>
        </w:tc>
        <w:tc>
          <w:tcPr>
            <w:tcW w:w="1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Management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Staffing</w:t>
            </w:r>
          </w:p>
        </w:tc>
        <w:tc>
          <w:tcPr>
            <w:tcW w:w="20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Staffing</w:t>
            </w:r>
          </w:p>
        </w:tc>
        <w:tc>
          <w:tcPr>
            <w:tcW w:w="1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w:t>
            </w: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3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2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Balances as of December 31, 2014</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goodwill acquired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287,667</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19,307</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350,379</w:t>
            </w:r>
          </w:p>
        </w:tc>
      </w:tr>
      <w:tr>
        <w:trPr>
          <w:trHeight w:val="284"/>
        </w:trPr>
        <w:tc>
          <w:tcPr>
            <w:tcW w:w="3080" w:type="dxa"/>
            <w:vAlign w:val="bottom"/>
          </w:tcPr>
          <w:p>
            <w:pPr>
              <w:ind w:left="20"/>
              <w:spacing w:after="0"/>
              <w:rPr>
                <w:sz w:val="20"/>
                <w:szCs w:val="20"/>
                <w:color w:val="auto"/>
              </w:rPr>
            </w:pPr>
            <w:r>
              <w:rPr>
                <w:rFonts w:ascii="Arial" w:cs="Arial" w:eastAsia="Arial" w:hAnsi="Arial"/>
                <w:sz w:val="18"/>
                <w:szCs w:val="18"/>
                <w:color w:val="auto"/>
              </w:rPr>
              <w:t>Accumulated impairment loss</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(259,732)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(259,732)</w:t>
            </w:r>
          </w:p>
        </w:tc>
      </w:tr>
      <w:tr>
        <w:trPr>
          <w:trHeight w:val="244"/>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net of impairment loss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90,647</w:t>
            </w:r>
          </w:p>
        </w:tc>
      </w:tr>
      <w:tr>
        <w:trPr>
          <w:trHeight w:val="324"/>
        </w:trPr>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Changes to aggregate goodwill in 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84"/>
        </w:trPr>
        <w:tc>
          <w:tcPr>
            <w:tcW w:w="3080" w:type="dxa"/>
            <w:vAlign w:val="bottom"/>
          </w:tcPr>
          <w:p>
            <w:pPr>
              <w:ind w:left="20"/>
              <w:spacing w:after="0"/>
              <w:rPr>
                <w:sz w:val="20"/>
                <w:szCs w:val="20"/>
                <w:color w:val="auto"/>
              </w:rPr>
            </w:pPr>
            <w:r>
              <w:rPr>
                <w:rFonts w:ascii="Arial" w:cs="Arial" w:eastAsia="Arial" w:hAnsi="Arial"/>
                <w:sz w:val="18"/>
                <w:szCs w:val="18"/>
                <w:color w:val="auto"/>
              </w:rPr>
              <w:t>Sale of CCE (a)</w:t>
            </w:r>
          </w:p>
        </w:tc>
        <w:tc>
          <w:tcPr>
            <w:tcW w:w="180" w:type="dxa"/>
            <w:vAlign w:val="bottom"/>
          </w:tcPr>
          <w:p>
            <w:pPr>
              <w:spacing w:after="0"/>
              <w:rPr>
                <w:sz w:val="24"/>
                <w:szCs w:val="2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(9,889)</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(9,889)</w:t>
            </w:r>
          </w:p>
        </w:tc>
      </w:tr>
      <w:tr>
        <w:trPr>
          <w:trHeight w:val="318"/>
        </w:trPr>
        <w:tc>
          <w:tcPr>
            <w:tcW w:w="30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Balances as of September 30, 2015</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goodwill acquired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287,667</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19,307</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350,379</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Sale of CCE (a)</w:t>
            </w:r>
          </w:p>
        </w:tc>
        <w:tc>
          <w:tcPr>
            <w:tcW w:w="18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(9,889)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(9,889)</w:t>
            </w:r>
          </w:p>
        </w:tc>
      </w:tr>
      <w:tr>
        <w:trPr>
          <w:trHeight w:val="27"/>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(259,732)</w:t>
            </w:r>
          </w:p>
        </w:tc>
      </w:tr>
      <w:tr>
        <w:trPr>
          <w:trHeight w:val="264"/>
        </w:trPr>
        <w:tc>
          <w:tcPr>
            <w:tcW w:w="30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Goodwill, net of impairment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27,935</w:t>
            </w:r>
          </w:p>
        </w:tc>
        <w:tc>
          <w:tcPr>
            <w:tcW w:w="160" w:type="dxa"/>
            <w:vAlign w:val="bottom"/>
            <w:tcBorders>
              <w:top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43,405</w:t>
            </w: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9,418</w:t>
            </w:r>
          </w:p>
        </w:tc>
        <w:tc>
          <w:tcPr>
            <w:tcW w:w="180" w:type="dxa"/>
            <w:vAlign w:val="bottom"/>
            <w:tcBorders>
              <w:top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80,758</w:t>
            </w: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See Note 4 - Disposal for further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360"/>
          </w:cols>
          <w:pgMar w:left="240" w:top="121" w:right="1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color w:val="auto"/>
              </w:rPr>
              <w:t>At September 30, 2015 and December 31, 2014, long-term debt consists of the following:</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4"/>
                <w:szCs w:val="24"/>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651"/>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r>
      <w:tr>
        <w:trPr>
          <w:trHeight w:val="217"/>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4"/>
          </w:tcPr>
          <w:p>
            <w:pPr>
              <w:jc w:val="right"/>
              <w:ind w:right="1070"/>
              <w:spacing w:after="0"/>
              <w:rPr>
                <w:sz w:val="20"/>
                <w:szCs w:val="20"/>
                <w:color w:val="auto"/>
              </w:rPr>
            </w:pPr>
            <w:r>
              <w:rPr>
                <w:rFonts w:ascii="Arial" w:cs="Arial" w:eastAsia="Arial" w:hAnsi="Arial"/>
                <w:sz w:val="16"/>
                <w:szCs w:val="16"/>
                <w:color w:val="auto"/>
              </w:rPr>
              <w:t>(amounts in thousands)</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Asset-Based, interest 2.61% at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29"/>
        </w:trPr>
        <w:tc>
          <w:tcPr>
            <w:tcW w:w="7540" w:type="dxa"/>
            <w:vAlign w:val="bottom"/>
          </w:tcPr>
          <w:p>
            <w:pPr>
              <w:ind w:left="40"/>
              <w:spacing w:after="0"/>
              <w:rPr>
                <w:sz w:val="20"/>
                <w:szCs w:val="20"/>
                <w:color w:val="auto"/>
              </w:rPr>
            </w:pPr>
            <w:r>
              <w:rPr>
                <w:rFonts w:ascii="Arial" w:cs="Arial" w:eastAsia="Arial" w:hAnsi="Arial"/>
                <w:sz w:val="18"/>
                <w:szCs w:val="18"/>
                <w:color w:val="auto"/>
                <w:w w:val="92"/>
              </w:rPr>
              <w:t>Second Lien Term Loan, net of unamortized discount of $843 and $1,011 at September 30, 2015 and</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7540" w:type="dxa"/>
            <w:vAlign w:val="bottom"/>
          </w:tcPr>
          <w:p>
            <w:pPr>
              <w:ind w:left="40"/>
              <w:spacing w:after="0"/>
              <w:rPr>
                <w:sz w:val="20"/>
                <w:szCs w:val="20"/>
                <w:color w:val="auto"/>
              </w:rPr>
            </w:pPr>
            <w:r>
              <w:rPr>
                <w:rFonts w:ascii="Arial" w:cs="Arial" w:eastAsia="Arial" w:hAnsi="Arial"/>
                <w:sz w:val="18"/>
                <w:szCs w:val="18"/>
                <w:color w:val="auto"/>
                <w:w w:val="91"/>
              </w:rPr>
              <w:t>December 31, 2014, respectively, interest 5.75% and 7.50% at September 30, 2015 and December 31,</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2014, respectively</w:t>
            </w:r>
          </w:p>
        </w:tc>
        <w:tc>
          <w:tcPr>
            <w:tcW w:w="24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29,157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28,989</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Convertible Notes, net of unamortized discount of $6,094 and $7,053 at September 30, 2015 and</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 respectively, fixed rate interest of 8.00%</w:t>
            </w: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Convertible Notes derivative liability</w:t>
            </w:r>
          </w:p>
        </w:tc>
        <w:tc>
          <w:tcPr>
            <w:tcW w:w="2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23,821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23,436</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72,006</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74,074</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71,918</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70,467</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September 30, 2015, the First Lien Loan Agreement, with a termination date of June 30, 2017, provides for: a senior secured asset-based revolving credit facility in the aggregate principal amount of up to $85.0 million, which includes a subfacility for swingline loans up to an amount equal to 10% of the aggregate Revolver Commitments, as defined in the agreement, and a $35.0 million subfacility for standby letters of credit.</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revolving credit facility can be used to provide ongoing working capital and for other general corporate purposes of the Company and its subsidiaries. As of September 30, 2015, the interest rate spreads and fees under the First Lien Loan Agreement are based on LIBOR plus 1.50% or Base Rate plus 0.50%. The LIBOR and Base Rate margins are subject to performance pricing adjustments, pursuant to a pricing matrix based on the Company’s excess availability under the revolving credit facility, and could increase by 200 basis points if an event of default exists. The Company is required to pay a monthly commitment fee on the average daily unused portion of the revolving loan facility, which, as of September 30, 2015, was 0.375%.</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2015, the Gross Availability, as defined in the First Lien Loan Agreement, was approximately $70.7 million based on the Company's accounts receivable balance as of August 31, 2015. The Company had $23.5 million letters of credit outstanding and no borrowings drawn under its revolving credit facility, leaving $47.2 million available as of September 30, 2015. The letters of credit relate to the Company’s workers’ compensation and professional liability insurance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Term Loan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Second Lien Term Loan Agreement provides for a five-year senior secured term loan facility in an aggregate principal amount of $30.0 million (the loans thereunder, the Second Lien Term Loan).</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2C2C2C"/>
        </w:rPr>
        <w:t xml:space="preserve">On July 22, 2015, the Company entered into an amendment to its Second Lien Term Loan. Under the terms of the amendment, the interest rate on the </w:t>
      </w:r>
      <w:r>
        <w:rPr>
          <w:rFonts w:ascii="Arial" w:cs="Arial" w:eastAsia="Arial" w:hAnsi="Arial"/>
          <w:sz w:val="16"/>
          <w:szCs w:val="16"/>
          <w:color w:val="000000"/>
        </w:rPr>
        <w:t>Second</w:t>
      </w:r>
      <w:r>
        <w:rPr>
          <w:rFonts w:ascii="Arial" w:cs="Arial" w:eastAsia="Arial" w:hAnsi="Arial"/>
          <w:sz w:val="16"/>
          <w:szCs w:val="16"/>
          <w:color w:val="2C2C2C"/>
        </w:rPr>
        <w:t xml:space="preserve"> </w:t>
      </w:r>
      <w:r>
        <w:rPr>
          <w:rFonts w:ascii="Arial" w:cs="Arial" w:eastAsia="Arial" w:hAnsi="Arial"/>
          <w:sz w:val="16"/>
          <w:szCs w:val="16"/>
          <w:color w:val="000000"/>
        </w:rPr>
        <w:t xml:space="preserve">Lien Term Loan </w:t>
      </w:r>
      <w:r>
        <w:rPr>
          <w:rFonts w:ascii="Arial" w:cs="Arial" w:eastAsia="Arial" w:hAnsi="Arial"/>
          <w:sz w:val="16"/>
          <w:szCs w:val="16"/>
          <w:color w:val="2C2C2C"/>
        </w:rPr>
        <w:t>was modified at no cost from LIBOR</w:t>
      </w:r>
      <w:r>
        <w:rPr>
          <w:rFonts w:ascii="Arial" w:cs="Arial" w:eastAsia="Arial" w:hAnsi="Arial"/>
          <w:sz w:val="16"/>
          <w:szCs w:val="16"/>
          <w:color w:val="000000"/>
        </w:rPr>
        <w:t xml:space="preserve"> (defined as the 3-month London interbank offered rate for U.S. dollars, adjusted for customary Eurodollar reserve requirements, if any, and subject to a </w:t>
      </w:r>
      <w:r>
        <w:rPr>
          <w:rFonts w:ascii="Arial" w:cs="Arial" w:eastAsia="Arial" w:hAnsi="Arial"/>
          <w:sz w:val="16"/>
          <w:szCs w:val="16"/>
          <w:color w:val="2C2C2C"/>
        </w:rPr>
        <w:t>1% floor) plus 6.50% to LIBOR (1% floor) plus a rate based on the Company's total net leverage</w:t>
      </w:r>
      <w:r>
        <w:rPr>
          <w:rFonts w:ascii="Arial" w:cs="Arial" w:eastAsia="Arial" w:hAnsi="Arial"/>
          <w:sz w:val="16"/>
          <w:szCs w:val="16"/>
          <w:color w:val="000000"/>
        </w:rPr>
        <w:t xml:space="preserve"> </w:t>
      </w:r>
      <w:r>
        <w:rPr>
          <w:rFonts w:ascii="Arial" w:cs="Arial" w:eastAsia="Arial" w:hAnsi="Arial"/>
          <w:sz w:val="16"/>
          <w:szCs w:val="16"/>
          <w:color w:val="2C2C2C"/>
        </w:rPr>
        <w:t xml:space="preserve">ratio, as defined in the table that follows. As of September 30, 2015, the Second Lien Term Loan bore interest at a rate equal to adjusted LIBOR (1% floor) plus 4.75%. </w:t>
      </w:r>
      <w:r>
        <w:rPr>
          <w:rFonts w:ascii="Arial" w:cs="Arial" w:eastAsia="Arial" w:hAnsi="Arial"/>
          <w:sz w:val="16"/>
          <w:szCs w:val="16"/>
          <w:color w:val="000000"/>
        </w:rPr>
        <w:t>The interest rate is subject to an increase by 200 basis points if an event of default exists under the Second Lien Term Loan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tbl>
      <w:tblPr>
        <w:tblLayout w:type="fixed"/>
        <w:tblInd w:w="1780" w:type="dxa"/>
        <w:tblCellMar>
          <w:top w:w="0" w:type="dxa"/>
          <w:left w:w="0" w:type="dxa"/>
          <w:bottom w:w="0" w:type="dxa"/>
          <w:right w:w="0" w:type="dxa"/>
        </w:tblCellMar>
      </w:tblPr>
      <w:tr>
        <w:trPr>
          <w:trHeight w:val="257"/>
        </w:trPr>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Pricing Level</w:t>
            </w:r>
          </w:p>
        </w:tc>
        <w:tc>
          <w:tcPr>
            <w:tcW w:w="4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Total Net Leverage Ratio</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404040"/>
                <w:w w:val="94"/>
              </w:rPr>
              <w:t>Applicable Margin</w:t>
            </w:r>
          </w:p>
        </w:tc>
      </w:tr>
      <w:tr>
        <w:trPr>
          <w:trHeight w:val="27"/>
        </w:trPr>
        <w:tc>
          <w:tcPr>
            <w:tcW w:w="152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rPr>
              <w:t>I</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Less than 2.50:1.00</w:t>
            </w:r>
          </w:p>
        </w:tc>
        <w:tc>
          <w:tcPr>
            <w:tcW w:w="2040" w:type="dxa"/>
            <w:vAlign w:val="bottom"/>
          </w:tcPr>
          <w:p>
            <w:pPr>
              <w:jc w:val="center"/>
              <w:spacing w:after="0"/>
              <w:rPr>
                <w:sz w:val="20"/>
                <w:szCs w:val="20"/>
                <w:color w:val="auto"/>
              </w:rPr>
            </w:pPr>
            <w:r>
              <w:rPr>
                <w:rFonts w:ascii="Arial" w:cs="Arial" w:eastAsia="Arial" w:hAnsi="Arial"/>
                <w:sz w:val="18"/>
                <w:szCs w:val="18"/>
                <w:color w:val="404040"/>
                <w:w w:val="90"/>
              </w:rPr>
              <w:t>4.75%</w:t>
            </w:r>
          </w:p>
        </w:tc>
      </w:tr>
      <w:tr>
        <w:trPr>
          <w:trHeight w:val="27"/>
        </w:trPr>
        <w:tc>
          <w:tcPr>
            <w:tcW w:w="152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2"/>
        </w:trPr>
        <w:tc>
          <w:tcPr>
            <w:tcW w:w="1520" w:type="dxa"/>
            <w:vAlign w:val="bottom"/>
            <w:tcBorders>
              <w:right w:val="single" w:sz="8" w:color="auto"/>
            </w:tcBorders>
          </w:tcPr>
          <w:p>
            <w:pPr>
              <w:spacing w:after="0"/>
              <w:rPr>
                <w:sz w:val="19"/>
                <w:szCs w:val="19"/>
                <w:color w:val="auto"/>
              </w:rPr>
            </w:pP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2.50:1.00</w:t>
            </w:r>
          </w:p>
        </w:tc>
        <w:tc>
          <w:tcPr>
            <w:tcW w:w="2040" w:type="dxa"/>
            <w:vAlign w:val="bottom"/>
          </w:tcPr>
          <w:p>
            <w:pPr>
              <w:spacing w:after="0"/>
              <w:rPr>
                <w:sz w:val="19"/>
                <w:szCs w:val="19"/>
                <w:color w:val="auto"/>
              </w:rPr>
            </w:pPr>
          </w:p>
        </w:tc>
      </w:tr>
      <w:tr>
        <w:trPr>
          <w:trHeight w:val="230"/>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rPr>
              <w:t>II</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but less than or equal to 3.25:1.00</w:t>
            </w:r>
          </w:p>
        </w:tc>
        <w:tc>
          <w:tcPr>
            <w:tcW w:w="2040" w:type="dxa"/>
            <w:vAlign w:val="bottom"/>
          </w:tcPr>
          <w:p>
            <w:pPr>
              <w:jc w:val="center"/>
              <w:spacing w:after="0"/>
              <w:rPr>
                <w:sz w:val="20"/>
                <w:szCs w:val="20"/>
                <w:color w:val="auto"/>
              </w:rPr>
            </w:pPr>
            <w:r>
              <w:rPr>
                <w:rFonts w:ascii="Arial" w:cs="Arial" w:eastAsia="Arial" w:hAnsi="Arial"/>
                <w:sz w:val="18"/>
                <w:szCs w:val="18"/>
                <w:color w:val="404040"/>
                <w:w w:val="90"/>
              </w:rPr>
              <w:t>5.25%</w:t>
            </w:r>
          </w:p>
        </w:tc>
      </w:tr>
      <w:tr>
        <w:trPr>
          <w:trHeight w:val="27"/>
        </w:trPr>
        <w:tc>
          <w:tcPr>
            <w:tcW w:w="152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2"/>
        </w:trPr>
        <w:tc>
          <w:tcPr>
            <w:tcW w:w="1520" w:type="dxa"/>
            <w:vAlign w:val="bottom"/>
            <w:tcBorders>
              <w:right w:val="single" w:sz="8" w:color="auto"/>
            </w:tcBorders>
          </w:tcPr>
          <w:p>
            <w:pPr>
              <w:spacing w:after="0"/>
              <w:rPr>
                <w:sz w:val="19"/>
                <w:szCs w:val="19"/>
                <w:color w:val="auto"/>
              </w:rPr>
            </w:pP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3.25:1.00</w:t>
            </w:r>
          </w:p>
        </w:tc>
        <w:tc>
          <w:tcPr>
            <w:tcW w:w="2040" w:type="dxa"/>
            <w:vAlign w:val="bottom"/>
          </w:tcPr>
          <w:p>
            <w:pPr>
              <w:spacing w:after="0"/>
              <w:rPr>
                <w:sz w:val="19"/>
                <w:szCs w:val="19"/>
                <w:color w:val="auto"/>
              </w:rPr>
            </w:pPr>
          </w:p>
        </w:tc>
      </w:tr>
      <w:tr>
        <w:trPr>
          <w:trHeight w:val="230"/>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rPr>
              <w:t>III</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but less than or equal to 4:00:1.00</w:t>
            </w:r>
          </w:p>
        </w:tc>
        <w:tc>
          <w:tcPr>
            <w:tcW w:w="2040" w:type="dxa"/>
            <w:vAlign w:val="bottom"/>
          </w:tcPr>
          <w:p>
            <w:pPr>
              <w:jc w:val="center"/>
              <w:spacing w:after="0"/>
              <w:rPr>
                <w:sz w:val="20"/>
                <w:szCs w:val="20"/>
                <w:color w:val="auto"/>
              </w:rPr>
            </w:pPr>
            <w:r>
              <w:rPr>
                <w:rFonts w:ascii="Arial" w:cs="Arial" w:eastAsia="Arial" w:hAnsi="Arial"/>
                <w:sz w:val="18"/>
                <w:szCs w:val="18"/>
                <w:color w:val="404040"/>
                <w:w w:val="90"/>
              </w:rPr>
              <w:t>5.75%</w:t>
            </w:r>
          </w:p>
        </w:tc>
      </w:tr>
      <w:tr>
        <w:trPr>
          <w:trHeight w:val="27"/>
        </w:trPr>
        <w:tc>
          <w:tcPr>
            <w:tcW w:w="152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rPr>
              <w:t>IV</w:t>
            </w:r>
          </w:p>
        </w:tc>
        <w:tc>
          <w:tcPr>
            <w:tcW w:w="4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4.00:1.00</w:t>
            </w:r>
          </w:p>
        </w:tc>
        <w:tc>
          <w:tcPr>
            <w:tcW w:w="2040" w:type="dxa"/>
            <w:vAlign w:val="bottom"/>
          </w:tcPr>
          <w:p>
            <w:pPr>
              <w:jc w:val="center"/>
              <w:spacing w:after="0"/>
              <w:rPr>
                <w:sz w:val="20"/>
                <w:szCs w:val="20"/>
                <w:color w:val="auto"/>
              </w:rPr>
            </w:pPr>
            <w:r>
              <w:rPr>
                <w:rFonts w:ascii="Arial" w:cs="Arial" w:eastAsia="Arial" w:hAnsi="Arial"/>
                <w:sz w:val="18"/>
                <w:szCs w:val="18"/>
                <w:color w:val="404040"/>
                <w:w w:val="90"/>
              </w:rPr>
              <w:t>6.50%</w:t>
            </w:r>
          </w:p>
        </w:tc>
      </w:tr>
      <w:tr>
        <w:trPr>
          <w:trHeight w:val="27"/>
        </w:trPr>
        <w:tc>
          <w:tcPr>
            <w:tcW w:w="1520" w:type="dxa"/>
            <w:vAlign w:val="bottom"/>
            <w:tcBorders>
              <w:bottom w:val="single" w:sz="8" w:color="auto"/>
              <w:right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1280795</wp:posOffset>
            </wp:positionH>
            <wp:positionV relativeFrom="page">
              <wp:posOffset>174625</wp:posOffset>
            </wp:positionV>
            <wp:extent cx="5017135" cy="1363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17135" cy="13633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404040"/>
        </w:rPr>
        <w:t>Above terms defined in accordance with the Second Lien Term Loan Agreement.</w:t>
      </w:r>
    </w:p>
    <w:p>
      <w:pPr>
        <w:spacing w:after="0" w:line="200" w:lineRule="exact"/>
        <w:rPr>
          <w:sz w:val="20"/>
          <w:szCs w:val="20"/>
          <w:color w:val="auto"/>
        </w:rPr>
      </w:pPr>
    </w:p>
    <w:p>
      <w:pPr>
        <w:spacing w:after="0" w:line="28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 may, at its option at any time, prepay the Second Lien Term Loan in whole or in part at the redemption prices set forth therein, which range from 103% of the principal amount thereof for prepayments during the period July 1, 2015 through June 30, 2016, 102% of the principal amount thereof for prepayments during the period July 1, 2016 through June 30, 2017, and 100% of the principal amount thereof for prepayments after such date.</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Subject to certain exceptions, the Second Lien Term Loan is required to be prepaid with: (a) 50% of excess cash flow (as defined in the Second Lien Term Loan Agreement) above $5.0 million for each fiscal year of the Company (commencing with the fiscal year ending December 31, 2015), provided that voluntary prepayments of the Second Lien Term Loan made during such fiscal year will reduce the amount of excess cash flow prepayments required for such fiscal year on a dollar-for-dollar basis; (b) 100% of the net cash proceeds of all asset sales or other dispositions of property by the Company and its subsidiaries, as set forth in the agreement, in excess of a defined threshold and subject to the right of the Company to reinvest such proceeds within 12 months; (c) 100% of the net cash proceeds of issuances of debt offerings of the Company and its subsidiaries (except the net cash proceeds of any permitted debt); and (d) 50% of the net cash proceeds of equity offerings of the Company.</w:t>
      </w:r>
    </w:p>
    <w:p>
      <w:pPr>
        <w:spacing w:after="0" w:line="17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Second Lien Term Loan Agreement contains customary representations, warranties, and affirmative covenants. Among other things, the agreement also includes a financial covenant limiting the Company’s maximum “debt” to “EBITDA” (each, as defined therein) ratio to no greater than 4.50:1.00, subject to customary equity cure rights. As of September 30, 2015, the Company was in compliance with the financial covenants and other covenants contained in the agreement. The "debt" to "EBITDA" ratio was 0.9:1.00 as of September 30,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September 30, 2015, the Convertible Notes are convertible at the option of the holders thereof at any time into shares of the Company’s common stock, par value $0.0001 per share (Common Stock), at an initial conversion price of $7.10 per share, or 3,521,126 shares of Common Stock. After three years from the issuance date, the Company has the right to force a conversion of the Convertible Notes if the volume-weighted average price (VWAP) per share of its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the Company will exchange, for the applicable conversion amount thereof a number of shares of Common Stock, with no maximum, on amount, equal to the amount determined by dividing (i) such conversion amount by (ii) the conversion price in effect at the time of conversion. No fractional shares of Common Stock will be issued upon conversion of the Conversion Notes. In lieu of fractional shares, the Company shall pay cash in respect of each fractional share equal to such fractional amount multiplied by the 30-day VWAP as of the closing of business on the Business Day immediately preceding the conversion date as well as any unpaid accrued interest.</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Convertible Notes bear interest at a rate of 8.00% per annum, payable in quarterly cash installments; provided, however, that, at the Company’s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the Company is not permitted to redeem the Convertible Notes until June 30, 2017. If the Company redeems the Convertible Notes on or after June 30, 2017, the Company is required to pay a premium of 15% of the amount of principal of the Convertible Notes redeemed.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55" w:right="239" w:bottom="1440" w:gutter="0" w:footer="0" w:header="0"/>
        </w:sectPr>
      </w:pPr>
    </w:p>
    <w:bookmarkStart w:id="15" w:name="page16"/>
    <w:bookmarkEnd w:id="15"/>
    <w:p>
      <w:pPr>
        <w:ind w:right="60"/>
        <w:spacing w:after="0" w:line="290" w:lineRule="auto"/>
        <w:rPr>
          <w:sz w:val="20"/>
          <w:szCs w:val="20"/>
          <w:color w:val="auto"/>
        </w:rPr>
      </w:pPr>
      <w:r>
        <w:rPr>
          <w:rFonts w:ascii="Arial" w:cs="Arial" w:eastAsia="Arial" w:hAnsi="Arial"/>
          <w:sz w:val="16"/>
          <w:szCs w:val="16"/>
          <w:color w:val="auto"/>
        </w:rPr>
        <w:t>If the Convertible Notes are redeemed prior to June 30, 2017, pursuant to a Prohibited Transaction, as defined by the agreement, the Company is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30-day VWAP per share of Common Stock multiplied by the number of shares of Common Stock that the redeemed Convertible Notes are then convertible into, with no maximum,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CONVERTIBLE NOTES DERIVATIVE LIABILITY</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Derivative financial instruments, as defined in ASC 815, </w:t>
      </w:r>
      <w:r>
        <w:rPr>
          <w:rFonts w:ascii="Arial" w:cs="Arial" w:eastAsia="Arial" w:hAnsi="Arial"/>
          <w:sz w:val="17"/>
          <w:szCs w:val="17"/>
          <w:i w:val="1"/>
          <w:iCs w:val="1"/>
          <w:color w:val="auto"/>
        </w:rPr>
        <w:t>Accounting for Derivative Financial Instruments and Hedging Activities</w:t>
      </w:r>
      <w:r>
        <w:rPr>
          <w:rFonts w:ascii="Arial" w:cs="Arial" w:eastAsia="Arial" w:hAnsi="Arial"/>
          <w:sz w:val="17"/>
          <w:szCs w:val="17"/>
          <w:color w:val="auto"/>
        </w:rPr>
        <w:t>, consist of financial instruments or other contracts that contain a notional amount and one or more underlyings (e.g. interest rate, security price or other variable), require no initial net investment and permit net settlement. Derivative financial instruments may be free-standing or embedded in other financial instruments. Further, derivative financial instruments are initially, and subsequently, measured at fair value and recorded as liabilities or, in rare instances, assets.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does not use derivative financial instruments to hedge exposures to cash-flow, market or foreign-currency risks. However, the Company issued Convertible Notes with features that are either (i) not afforded equity classification, (ii) embody risks not clearly and closely related to host contracts, or (iii) may be net-cash settled by the counterparty. As required by ASC 815, in certain instances, these instruments are required to be carried as derivative liabilities, at fair value, in the financial statements.</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Convertible Notes issued in conjunction with the MSN acquisition are subject to anti-dilution adjustments that allow for the reduction in the Conversion Price, as defined in the agreement, in the event the Company subsequently issues equity securities including Common Stock or any security convertible or exchangeable for shares of Common Stock for a price less than the current conversion price. In addition, the Convertible Notes allow the issuer to exercise optional redemption features and the holder to exercise an offer to purchase feature, under certain conditions. The Company accounted for the conversion option in accordance with ASC 815. Since this conversion feature is not considered to be solely indexed to the Company’s own stock the derivative was recorded as a liability.</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Convertible Notes derivative liability is measured at fair value using a trinomial lattice model. The optional redemption features, along with the offer to purchase features are incorporated into the valuation model. Inputs into the model require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contains an anti-dilution adjustment, the probability that the Conversion Price of the Notes would decrease as the share price decreased is incorporated into the valuation calculation.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inputs into the valuation model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1940" w:type="dxa"/>
            <w:vAlign w:val="bottom"/>
          </w:tcPr>
          <w:p>
            <w:pPr>
              <w:ind w:left="300"/>
              <w:spacing w:after="0"/>
              <w:rPr>
                <w:sz w:val="20"/>
                <w:szCs w:val="20"/>
                <w:color w:val="auto"/>
              </w:rPr>
            </w:pPr>
            <w:r>
              <w:rPr>
                <w:rFonts w:ascii="Arial" w:cs="Arial" w:eastAsia="Arial" w:hAnsi="Arial"/>
                <w:sz w:val="16"/>
                <w:szCs w:val="16"/>
                <w:b w:val="1"/>
                <w:bCs w:val="1"/>
                <w:color w:val="auto"/>
              </w:rPr>
              <w:t>September 30, 2015</w:t>
            </w:r>
          </w:p>
        </w:tc>
      </w:tr>
      <w:tr>
        <w:trPr>
          <w:trHeight w:val="33"/>
        </w:trPr>
        <w:tc>
          <w:tcPr>
            <w:tcW w:w="9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share price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Conversion price</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$7.10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40%</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4.75</w:t>
            </w:r>
          </w:p>
        </w:tc>
      </w:tr>
    </w:tbl>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of this derivative liability is primarily determined by fluctuations in our stock price. As of September 30, 2015, a $1 increase or decrease in our stock price would result in a corresponding increase or decrease of approximately $3.3 million in the fair value of the derivative liability, and a 1% increase or decrease in interest rates would result in a corresponding increase or decrease of approximately $0.9 million in the fair value of the derivative liability. These fluctuations result in a current period gain or loss that is presented on the condensed consolidated statements of operations as (gain) loss on derivative liability.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September 30, 2015 and December 31, 2014, the Company’s financial assets/liabilities required to be measured on a recurring basis were: contingent consideration receivable, deferred compensation liability included in other long-term liabilities, and Convertible Notes derivative liability included in long-term debt and capital lease obligations on the condensed consolidated balance sheets.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Contingent consideration receivable, earn out</w:t>
      </w:r>
      <w:r>
        <w:rPr>
          <w:rFonts w:ascii="Arial" w:cs="Arial" w:eastAsia="Arial" w:hAnsi="Arial"/>
          <w:sz w:val="17"/>
          <w:szCs w:val="17"/>
          <w:color w:val="auto"/>
        </w:rPr>
        <w:t>—The earn out related to the Company's sale of CCE was treated as a contingent consideration receivable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purposes. The Company utilized Level 3 inputs to value the contingent consideration receivable as significant unobservable inputs were used in the calculation of its fair value and related to the future performance of the disposed business. The fair value of the contingent consideration receivable will be adjusted to its fair value on a quarterly basis with any adjustment to the related receivable and the loss on the sale of the business. The future performance of the disposed business will directly impact the contingent consideration that could be paid to the Company. The Company assigned no fair value to this earn out as of September 30, 2015 based on the information available to the Company. See Note 4 - Disposal.</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Convertible Notes derivative liability</w:t>
      </w:r>
      <w:r>
        <w:rPr>
          <w:rFonts w:ascii="Arial" w:cs="Arial" w:eastAsia="Arial" w:hAnsi="Arial"/>
          <w:sz w:val="18"/>
          <w:szCs w:val="18"/>
          <w:color w:val="auto"/>
        </w:rPr>
        <w:t>—The Company utilizes Level 3 inputs to value its Convertible Notes derivative liability. See Note 9 -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Notes Derivative Liability.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table which follows summarizes the estimated fair value of the Company’s financial assets and liabilities measured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306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1"/>
              </w:rPr>
              <w:t>Fair Value Measurements</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2015</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4"/>
            <w:shd w:val="clear" w:color="auto" w:fill="CCEEFF"/>
          </w:tcPr>
          <w:p>
            <w:pPr>
              <w:jc w:val="right"/>
              <w:ind w:right="153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(Level 1)</w:t>
            </w: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3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(Level 3)</w:t>
            </w:r>
          </w:p>
        </w:tc>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vMerge w:val="continue"/>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Convertible Notes derivative liability</w:t>
            </w:r>
          </w:p>
        </w:tc>
        <w:tc>
          <w:tcPr>
            <w:tcW w:w="3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23,821</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23,436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7" w:name="page18"/>
    <w:bookmarkEnd w:id="17"/>
    <w:p>
      <w:pPr>
        <w:ind w:right="420"/>
        <w:spacing w:after="0" w:line="277" w:lineRule="auto"/>
        <w:rPr>
          <w:sz w:val="20"/>
          <w:szCs w:val="20"/>
          <w:color w:val="auto"/>
        </w:rPr>
      </w:pPr>
      <w:r>
        <w:rPr>
          <w:rFonts w:ascii="Arial" w:cs="Arial" w:eastAsia="Arial" w:hAnsi="Arial"/>
          <w:sz w:val="18"/>
          <w:szCs w:val="18"/>
          <w:color w:val="auto"/>
        </w:rPr>
        <w:t>The table which follows reconciles the opening balances to the closing balances for fair value measurements of the Convertible Notes derivative liability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0"/>
                <w:szCs w:val="20"/>
                <w:color w:val="auto"/>
              </w:rPr>
            </w:pPr>
          </w:p>
        </w:tc>
        <w:tc>
          <w:tcPr>
            <w:tcW w:w="2220" w:type="dxa"/>
            <w:vAlign w:val="bottom"/>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September 30, 2015</w:t>
            </w:r>
          </w:p>
        </w:tc>
        <w:tc>
          <w:tcPr>
            <w:tcW w:w="300" w:type="dxa"/>
            <w:vAlign w:val="bottom"/>
          </w:tcPr>
          <w:p>
            <w:pPr>
              <w:spacing w:after="0"/>
              <w:rPr>
                <w:sz w:val="23"/>
                <w:szCs w:val="23"/>
                <w:color w:val="auto"/>
              </w:rPr>
            </w:pPr>
          </w:p>
        </w:tc>
        <w:tc>
          <w:tcPr>
            <w:tcW w:w="2220" w:type="dxa"/>
            <w:vAlign w:val="bottom"/>
          </w:tcPr>
          <w:p>
            <w:pPr>
              <w:jc w:val="right"/>
              <w:ind w:right="410"/>
              <w:spacing w:after="0"/>
              <w:rPr>
                <w:sz w:val="20"/>
                <w:szCs w:val="20"/>
                <w:color w:val="auto"/>
              </w:rPr>
            </w:pPr>
            <w:r>
              <w:rPr>
                <w:rFonts w:ascii="Arial" w:cs="Arial" w:eastAsia="Arial" w:hAnsi="Arial"/>
                <w:sz w:val="18"/>
                <w:szCs w:val="18"/>
                <w:b w:val="1"/>
                <w:bCs w:val="1"/>
                <w:color w:val="auto"/>
              </w:rPr>
              <w:t>September 30, 2015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60" w:type="dxa"/>
            <w:vAlign w:val="bottom"/>
            <w:gridSpan w:val="4"/>
          </w:tcPr>
          <w:p>
            <w:pPr>
              <w:jc w:val="right"/>
              <w:ind w:right="177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20,927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23,436</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Purchases / Sales</w:t>
            </w:r>
          </w:p>
        </w:tc>
        <w:tc>
          <w:tcPr>
            <w:tcW w:w="280" w:type="dxa"/>
            <w:vAlign w:val="bottom"/>
          </w:tcPr>
          <w:p>
            <w:pPr>
              <w:spacing w:after="0"/>
              <w:rPr>
                <w:sz w:val="21"/>
                <w:szCs w:val="21"/>
                <w:color w:val="auto"/>
              </w:rPr>
            </w:pP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Valuation adjustment (a)</w:t>
            </w:r>
          </w:p>
        </w:tc>
        <w:tc>
          <w:tcPr>
            <w:tcW w:w="280" w:type="dxa"/>
            <w:vAlign w:val="bottom"/>
          </w:tcPr>
          <w:p>
            <w:pPr>
              <w:spacing w:after="0"/>
              <w:rPr>
                <w:sz w:val="21"/>
                <w:szCs w:val="21"/>
                <w:color w:val="auto"/>
              </w:rPr>
            </w:pPr>
          </w:p>
        </w:tc>
        <w:tc>
          <w:tcPr>
            <w:tcW w:w="2240" w:type="dxa"/>
            <w:vAlign w:val="bottom"/>
          </w:tcPr>
          <w:p>
            <w:pPr>
              <w:jc w:val="right"/>
              <w:ind w:right="31"/>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23,821</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23,821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40" w:right="620" w:hanging="332"/>
        <w:spacing w:after="0" w:line="261"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on the valuation of the derivative liability is included as a line item as part of other expenses (income) on the condensed consolidated statements of operations. See Note 9 - Convertible Notes Derivative Liability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Goodwill, trade names, and other identifiable intangible assets are reviewed for impairment annually, and whenever events or changes in circumstances indicate that the carrying value may not be recoverable. If the testing performed indicates that impairment has occurred, the Company records a non-cash impairment charge for the difference between the carrying amount of the goodwill or other intangible assets and the implied fair value of the goodwill or other intangible assets in the period the determination is made.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2014, in conjunction with the annual testing of indefinite-lived intangible assets not subject to amortization,</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the Company recorded a pretax non-cash impairment charge of approximately $10.0 million related to its Medical Doctor Associates (MDA) trade names. The Company reduced its long-term revenue forecast for these businesses as part of its forecasting process in the fourth quarter and as a result, the calculation of estimated fair value was less than the carrying amount of the trade names, resulting in an impairment charge.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fair value of the MDA trade names as of December 31, 2014.</w:t>
      </w:r>
    </w:p>
    <w:p>
      <w:pPr>
        <w:spacing w:after="0" w:line="16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Fair Value Measurements</w:t>
      </w:r>
    </w:p>
    <w:p>
      <w:pPr>
        <w:spacing w:after="0" w:line="63"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34290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5" w:lineRule="exact"/>
        <w:rPr>
          <w:sz w:val="20"/>
          <w:szCs w:val="20"/>
          <w:color w:val="auto"/>
        </w:rPr>
      </w:pPr>
    </w:p>
    <w:p>
      <w:pPr>
        <w:ind w:left="9520"/>
        <w:spacing w:after="0"/>
        <w:rPr>
          <w:sz w:val="20"/>
          <w:szCs w:val="20"/>
          <w:color w:val="auto"/>
        </w:rPr>
      </w:pPr>
      <w:r>
        <w:rPr>
          <w:rFonts w:ascii="Arial" w:cs="Arial" w:eastAsia="Arial" w:hAnsi="Arial"/>
          <w:sz w:val="16"/>
          <w:szCs w:val="16"/>
          <w:color w:val="auto"/>
        </w:rPr>
        <w:t>(amounts in thousands)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9140" w:val="left"/>
          <w:tab w:leader="none" w:pos="10800" w:val="left"/>
        </w:tabs>
        <w:rPr>
          <w:sz w:val="20"/>
          <w:szCs w:val="20"/>
          <w:color w:val="auto"/>
        </w:rPr>
      </w:pPr>
      <w:r>
        <w:rPr>
          <w:rFonts w:ascii="Arial" w:cs="Arial" w:eastAsia="Arial" w:hAnsi="Arial"/>
          <w:sz w:val="18"/>
          <w:szCs w:val="18"/>
          <w:color w:val="auto"/>
        </w:rPr>
        <w:t>MDA Trade names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48895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discounted cash flow analysis and appropriate valuation methodologies using Level 2 inputs from available market information.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 of the Company’s significant financial instruments that were not measured at fair value: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 2015</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 2014</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660" w:type="dxa"/>
            <w:vAlign w:val="bottom"/>
          </w:tcPr>
          <w:p>
            <w:pPr>
              <w:spacing w:after="0"/>
              <w:rPr>
                <w:sz w:val="19"/>
                <w:szCs w:val="19"/>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660" w:type="dxa"/>
            <w:vAlign w:val="bottom"/>
          </w:tcPr>
          <w:p>
            <w:pPr>
              <w:spacing w:after="0"/>
              <w:rPr>
                <w:sz w:val="20"/>
                <w:szCs w:val="20"/>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0" w:type="dxa"/>
            <w:vAlign w:val="bottom"/>
            <w:gridSpan w:val="5"/>
          </w:tcPr>
          <w:p>
            <w:pPr>
              <w:ind w:left="420"/>
              <w:spacing w:after="0"/>
              <w:rPr>
                <w:sz w:val="20"/>
                <w:szCs w:val="20"/>
                <w:color w:val="auto"/>
              </w:rPr>
            </w:pPr>
            <w:r>
              <w:rPr>
                <w:rFonts w:ascii="Arial" w:cs="Arial" w:eastAsia="Arial" w:hAnsi="Arial"/>
                <w:sz w:val="16"/>
                <w:szCs w:val="16"/>
                <w:color w:val="auto"/>
              </w:rPr>
              <w:t>(amounts in thousands)</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Second Lien Term Loan, net (a)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29,157</w:t>
            </w:r>
          </w:p>
        </w:tc>
        <w:tc>
          <w:tcPr>
            <w:tcW w:w="2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30,600</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28,989</w:t>
            </w: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29,900</w:t>
            </w:r>
          </w:p>
        </w:tc>
        <w:tc>
          <w:tcPr>
            <w:tcW w:w="0" w:type="dxa"/>
            <w:vAlign w:val="bottom"/>
          </w:tcPr>
          <w:p>
            <w:pPr>
              <w:spacing w:after="0"/>
              <w:rPr>
                <w:sz w:val="1"/>
                <w:szCs w:val="1"/>
                <w:color w:val="auto"/>
              </w:rPr>
            </w:pPr>
          </w:p>
        </w:tc>
      </w:tr>
      <w:tr>
        <w:trPr>
          <w:trHeight w:val="251"/>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Notes, net (a)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18,906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23,000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17,947</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tcPr>
          <w:p>
            <w:pPr>
              <w:ind w:left="280"/>
              <w:spacing w:after="0"/>
              <w:rPr>
                <w:sz w:val="20"/>
                <w:szCs w:val="20"/>
                <w:color w:val="auto"/>
              </w:rPr>
            </w:pPr>
            <w:r>
              <w:rPr>
                <w:rFonts w:ascii="Arial" w:cs="Arial" w:eastAsia="Arial" w:hAnsi="Arial"/>
                <w:sz w:val="18"/>
                <w:szCs w:val="18"/>
                <w:color w:val="auto"/>
              </w:rPr>
              <w:t>Senior Secured Asset-Based Loan (b)</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40" w:right="320" w:hanging="332"/>
        <w:spacing w:after="0" w:line="281" w:lineRule="auto"/>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Second Lien Term Loan and Convertible Notes are reported at their carrying value in the accompanying condensed consolidated balance sheets. The Company determined their fair value, as presented in the table using an income approach, utilizing a discounted cash flow analysis based on current market interest rates for debt issuances with similar remaining years to maturity, adjusted for credit risk.</w:t>
      </w:r>
    </w:p>
    <w:p>
      <w:pPr>
        <w:spacing w:after="0" w:line="2" w:lineRule="exact"/>
        <w:rPr>
          <w:rFonts w:ascii="Arial" w:cs="Arial" w:eastAsia="Arial" w:hAnsi="Arial"/>
          <w:sz w:val="16"/>
          <w:szCs w:val="16"/>
          <w:color w:val="auto"/>
        </w:rPr>
      </w:pPr>
    </w:p>
    <w:p>
      <w:pPr>
        <w:ind w:left="840" w:right="540" w:hanging="332"/>
        <w:spacing w:after="0" w:line="261"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Carrying value of the Senior Secured Asset-Based Loan approximates estimated fair value based on the short-term nature and the pricing at varying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440" w:firstLine="8"/>
        <w:spacing w:after="0" w:line="503" w:lineRule="auto"/>
        <w:tabs>
          <w:tab w:leader="none" w:pos="64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both the nine months ended September 30, 2015 and 2014, the Company did not repurchase any shares of its Common Stock under its February 2008 Board authorization.</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September 30, 2015, the Company may purchase up to an additional 942,443 shares of Common Stock under the February 2008 Board authorization, subject to certain conditions in the Company's First Lien Loan Agreement and Second Lien Term Loan Agreement. Subject to certain conditions as described in its First Lien Loan Agreement entered into on January 9, 2013, the Company may repurchase up to an aggregate amount of $5.0 million of its Equity Interests. At September 30, 2015, the Company had 31,552,231 shares of Common Stock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nine months ended September 30, 2015, 220,160 of restricted stock awards and 163,340 of performance stock awards were granted under the 2014 Omnibus Incentive Plan to the Company's non-employee Directors and management team. In 2015, the Company changed the timing of its annual grants to management from June to March. Pursuant to the 2014 Omnibus Plan the number of target shares that are issued for performance-based stock awards are determined based on the level of attainment of the targets. If the minimum level of performance is attained for the 2015 awards, restricted stock will be issued with a vesting date of December 31, 2017, subject to the employee’s continuing employment. During the first quarter of 2015, the Company's Compensation Committee of the Board of Directors approved a 41.4% level of attainment for the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performance-based share awards, resulting in the issuance of 86,661 shares of restricted stock that will vest on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awards and performance stock awards activity for the nine months ended September 30,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40" w:type="dxa"/>
            <w:vAlign w:val="bottom"/>
            <w:gridSpan w:val="5"/>
          </w:tcPr>
          <w:p>
            <w:pPr>
              <w:ind w:left="720"/>
              <w:spacing w:after="0"/>
              <w:rPr>
                <w:sz w:val="20"/>
                <w:szCs w:val="20"/>
                <w:color w:val="auto"/>
              </w:rPr>
            </w:pPr>
            <w:r>
              <w:rPr>
                <w:rFonts w:ascii="Arial" w:cs="Arial" w:eastAsia="Arial" w:hAnsi="Arial"/>
                <w:sz w:val="18"/>
                <w:szCs w:val="18"/>
                <w:b w:val="1"/>
                <w:bCs w:val="1"/>
                <w:color w:val="auto"/>
              </w:rPr>
              <w:t>Restricted Stock Awards</w:t>
            </w:r>
          </w:p>
        </w:tc>
        <w:tc>
          <w:tcPr>
            <w:tcW w:w="3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0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Grant Date</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Number of Target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70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2015</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659,650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218,175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220,160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163,340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11.86</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(239,062)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(50,618)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(145,541)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September 30, 2015</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590,130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235,974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three and nine months ended September 30, 2015, $0.6 million and $1.8 million, respectively, was included in selling, general and administrative expenses related to share-based payments, and a net of 10,330 and 190,631 shares, respectively, of Common Stock were issued upon the vesting of restricted stock.</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three and nine months ended September 30, 2014, $0.4 million and $1.0 million, respectively, was included in selling, general and administrative expenses related to share-based payments. In addition, a net of 5,654 and 141,188 restricted shares of Common Stock vested in the three and nine months ended September 30, 2014, respectively.</w:t>
      </w:r>
    </w:p>
    <w:p>
      <w:pPr>
        <w:spacing w:after="0" w:line="17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14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including temporary and permanent placement of travel nurses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allied professionals and branch-based local nurses and allied staffing. Its clients include: public and private acute-care and non-acute care hospitals, government facilities, schools, outpatient clinics, ambulatory care facilities, retailers, and many other healthcare providers throughout the U.S.</w:t>
      </w:r>
    </w:p>
    <w:p>
      <w:pPr>
        <w:spacing w:after="0" w:line="186"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provides physicians in many specialties, certified registered nurse anesthetists (CRNAs), nurse practitioners</w:t>
      </w:r>
      <w:r>
        <w:rPr>
          <w:rFonts w:ascii="Arial" w:cs="Arial" w:eastAsia="Arial" w:hAnsi="Arial"/>
          <w:sz w:val="18"/>
          <w:szCs w:val="18"/>
          <w:i w:val="1"/>
          <w:iCs w:val="1"/>
          <w:color w:val="auto"/>
        </w:rPr>
        <w:t xml:space="preserve"> </w:t>
      </w:r>
      <w:r>
        <w:rPr>
          <w:rFonts w:ascii="Arial" w:cs="Arial" w:eastAsia="Arial" w:hAnsi="Arial"/>
          <w:sz w:val="18"/>
          <w:szCs w:val="18"/>
          <w:color w:val="auto"/>
        </w:rPr>
        <w:t>(NPs), and physician assistants (PAs) under the Company's MDA and Saber-Salisbury brands as independent contractors on temporary assignments throughout the U.S. at various healthcare facilities, such as acute and non-acute care facilities, medical group practices, government facilities, and managed care organizations.</w:t>
      </w:r>
    </w:p>
    <w:p>
      <w:pPr>
        <w:spacing w:after="0" w:line="186"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Other Human Capital Management Services </w:t>
      </w:r>
      <w:r>
        <w:rPr>
          <w:rFonts w:ascii="Arial" w:cs="Arial" w:eastAsia="Arial" w:hAnsi="Arial"/>
          <w:sz w:val="16"/>
          <w:szCs w:val="16"/>
          <w:color w:val="auto"/>
        </w:rPr>
        <w:t>– Subsequent to the sale of CCE, the education seminars business, on August 31, 2015, Other Human</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Management Services includes retained and contingent search services for physicians and healthcare executives within the U.S.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1"/>
              <w:spacing w:after="0"/>
              <w:rPr>
                <w:sz w:val="20"/>
                <w:szCs w:val="20"/>
                <w:color w:val="auto"/>
              </w:rPr>
            </w:pPr>
            <w:r>
              <w:rPr>
                <w:rFonts w:ascii="Arial" w:cs="Arial" w:eastAsia="Arial" w:hAnsi="Arial"/>
                <w:sz w:val="18"/>
                <w:szCs w:val="18"/>
                <w:b w:val="1"/>
                <w:bCs w:val="1"/>
                <w:color w:val="auto"/>
                <w:w w:val="99"/>
              </w:rPr>
              <w:t>2014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 (a)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157,338</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147,851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459,127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311,814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 (a)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31,953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90,784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9,140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27,046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195,692</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188,944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574,273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429,691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 (b)</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 (a)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16,251</w:t>
            </w: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12,691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39,368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 (a)</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29,287</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14,909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20" w:hanging="652"/>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Effective January 1, 2015, we reclassified a portion of our business from the Physician Staffing segment to the Nurse and Allied Staffing segment. For the three and nine months ended September 30, 2014, revenue of $0.3 million and $1.5 million, respectively, and contribution income of less than $0.1 million for each period have been reclassified to conform to the current period presentation.</w:t>
      </w:r>
    </w:p>
    <w:p>
      <w:pPr>
        <w:spacing w:after="0" w:line="165" w:lineRule="exact"/>
        <w:rPr>
          <w:rFonts w:ascii="Arial" w:cs="Arial" w:eastAsia="Arial" w:hAnsi="Arial"/>
          <w:sz w:val="17"/>
          <w:szCs w:val="17"/>
          <w:color w:val="auto"/>
        </w:rPr>
      </w:pPr>
    </w:p>
    <w:p>
      <w:pPr>
        <w:ind w:left="660" w:right="120" w:hanging="652"/>
        <w:spacing w:after="0" w:line="28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Company defines contribution income as income or loss from operations before depreciation, amortization, acquisition and integration costs, restructuring costs, impairment charges and corporate expenses not specifically identified to a reporting segment. Contribution income is a financial measure used by management when assessing segment performance and is provided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w:t>
      </w:r>
    </w:p>
    <w:p>
      <w:pPr>
        <w:ind w:left="660"/>
        <w:spacing w:after="0"/>
        <w:rPr>
          <w:rFonts w:ascii="Arial" w:cs="Arial" w:eastAsia="Arial" w:hAnsi="Arial"/>
          <w:sz w:val="16"/>
          <w:szCs w:val="16"/>
          <w:color w:val="auto"/>
        </w:rPr>
      </w:pPr>
      <w:r>
        <w:rPr>
          <w:rFonts w:ascii="Arial" w:cs="Arial" w:eastAsia="Arial" w:hAnsi="Arial"/>
          <w:sz w:val="18"/>
          <w:szCs w:val="18"/>
          <w:color w:val="auto"/>
        </w:rPr>
        <w:t>FASB ASC.</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4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premises reductions, and allowances for tenant improvements. The rent escalations and incentives have been reflected in the table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September 30, 2015, associated with these agreements with terms of one year or more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tbl>
      <w:tblPr>
        <w:tblLayout w:type="fixed"/>
        <w:tblInd w:w="900" w:type="dxa"/>
        <w:tblCellMar>
          <w:top w:w="0" w:type="dxa"/>
          <w:left w:w="0" w:type="dxa"/>
          <w:bottom w:w="0" w:type="dxa"/>
          <w:right w:w="0" w:type="dxa"/>
        </w:tblCellMar>
      </w:tblPr>
      <w:tr>
        <w:trPr>
          <w:trHeight w:val="234"/>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Through Year Ending December 31:</w:t>
            </w:r>
          </w:p>
        </w:tc>
        <w:tc>
          <w:tcPr>
            <w:tcW w:w="260" w:type="dxa"/>
            <w:vAlign w:val="bottom"/>
          </w:tcPr>
          <w:p>
            <w:pPr>
              <w:spacing w:after="0"/>
              <w:rPr>
                <w:sz w:val="20"/>
                <w:szCs w:val="20"/>
                <w:color w:val="auto"/>
              </w:rPr>
            </w:pPr>
          </w:p>
        </w:tc>
        <w:tc>
          <w:tcPr>
            <w:tcW w:w="2260" w:type="dxa"/>
            <w:vAlign w:val="bottom"/>
          </w:tcPr>
          <w:p>
            <w:pPr>
              <w:jc w:val="right"/>
              <w:ind w:right="330"/>
              <w:spacing w:after="0"/>
              <w:rPr>
                <w:sz w:val="20"/>
                <w:szCs w:val="20"/>
                <w:color w:val="auto"/>
              </w:rPr>
            </w:pPr>
            <w:r>
              <w:rPr>
                <w:rFonts w:ascii="Arial" w:cs="Arial" w:eastAsia="Arial" w:hAnsi="Arial"/>
                <w:sz w:val="18"/>
                <w:szCs w:val="18"/>
                <w:color w:val="auto"/>
                <w:w w:val="96"/>
              </w:rPr>
              <w:t>(amounts in thousands)</w:t>
            </w:r>
          </w:p>
        </w:tc>
      </w:tr>
      <w:tr>
        <w:trPr>
          <w:trHeight w:val="27"/>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w:t>
            </w:r>
          </w:p>
        </w:tc>
      </w:tr>
      <w:tr>
        <w:trPr>
          <w:trHeight w:val="243"/>
        </w:trPr>
        <w:tc>
          <w:tcPr>
            <w:tcW w:w="7120" w:type="dxa"/>
            <w:vAlign w:val="bottom"/>
          </w:tcPr>
          <w:p>
            <w:pPr>
              <w:ind w:left="26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6,331</w:t>
            </w:r>
          </w:p>
        </w:tc>
      </w:tr>
      <w:tr>
        <w:trPr>
          <w:trHeight w:val="27"/>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5,215</w:t>
            </w:r>
          </w:p>
        </w:tc>
      </w:tr>
      <w:tr>
        <w:trPr>
          <w:trHeight w:val="243"/>
        </w:trPr>
        <w:tc>
          <w:tcPr>
            <w:tcW w:w="7120" w:type="dxa"/>
            <w:vAlign w:val="bottom"/>
          </w:tcPr>
          <w:p>
            <w:pPr>
              <w:ind w:left="26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3,866</w:t>
            </w:r>
          </w:p>
        </w:tc>
      </w:tr>
      <w:tr>
        <w:trPr>
          <w:trHeight w:val="27"/>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2,907</w:t>
            </w:r>
          </w:p>
        </w:tc>
      </w:tr>
      <w:tr>
        <w:trPr>
          <w:trHeight w:val="284"/>
        </w:trPr>
        <w:tc>
          <w:tcPr>
            <w:tcW w:w="71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14,701</w:t>
            </w:r>
          </w:p>
        </w:tc>
      </w:tr>
      <w:tr>
        <w:trPr>
          <w:trHeight w:val="269"/>
        </w:trPr>
        <w:tc>
          <w:tcPr>
            <w:tcW w:w="7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34,425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condensed consolidated statements of operations and the liability is reflected in sales tax payable as of December 31, 2014 and September 30, 2015, on its condensed consolidated balance sheets.</w:t>
      </w:r>
    </w:p>
    <w:p>
      <w:pPr>
        <w:spacing w:after="0" w:line="18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periods ended September 30, 2015 and 2014, the Company has calculated its effective tax rate based on year-to-date results (under ASC 740-270-30-</w:t>
      </w:r>
    </w:p>
    <w:p>
      <w:pPr>
        <w:spacing w:after="0" w:line="46" w:lineRule="exact"/>
        <w:rPr>
          <w:sz w:val="20"/>
          <w:szCs w:val="20"/>
          <w:color w:val="auto"/>
        </w:rPr>
      </w:pPr>
    </w:p>
    <w:p>
      <w:pPr>
        <w:ind w:firstLine="8"/>
        <w:spacing w:after="0" w:line="290" w:lineRule="auto"/>
        <w:tabs>
          <w:tab w:leader="none" w:pos="2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opposed to estimating its annual effective tax rate. The Company’s effective tax rate for the three and nine months ended September 30, 2015 was (113.0)% and (15.9)%, respectively, including the impact of discrete items. Excluding discrete items, the Company’s effective tax rate for the three and nine months ended September 30, 2015 was 30.1% and 22.6%, respectively. The effective tax rates are different than the statutory rates primarily due to the impact from amortization of indefinite-lived intangible assets for tax purposes, the partial non-deductibility of certain per diem expenses and international and state minimum taxes, which are partly offset by the reduction in unrecognized tax benefits due to the settlement of certain state examinations. In addition, the effective tax rate in the three and nine months ended September 30, 2015 was impacted by the reversal of valuation allowances related to the sale of CCE.</w:t>
      </w:r>
    </w:p>
    <w:p>
      <w:pPr>
        <w:spacing w:after="0" w:line="16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records valuation allowances to reduce deferred tax assets when it is more likely than not that a tax benefit will not be realized. The assessment of whether or not a valuation allowance is required often requires significant judgment, including the long-range forecast of future taxable income and the evaluation of tax planning initiatives. Adjustments to the deferred tax valuation allowances are made to earnings in the period when such assessments are made. The Company intends to maintain a valuation allowance until sufficient positive evidence exists to support its reversal.</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three and nine months ended September 30, 2015, the Company recorded a benefit of $3.5 million from the reversal of valuation allowances associated with the disposal of CCE. Due to the historical losses from the Company's operations, it has recorded a full valuation allowance on its deferred tax assets. In the first quarter of 2014, the Company recorded a non-cash adjustment of $1.7 million primarily related to an overstatement of the valuation allowance established as of December 31, 2013.</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2015, the Company had approximately $3.9 million of unrecognized tax benefits included in other current liabilities and other long-term liabilities ($3.6 million, net of deferred taxes, which would affect the effective tax rate if recognized). During the nine months ended September 30, 2015, the Company had gross increases of $0.7 million to its current year unrecognized tax benefits related to federal and state tax issues and had gross decreases of $0.6 million to its current year unrecognized tax benefits related to settlements.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3" w:right="259" w:bottom="1440" w:gutter="0" w:footer="0" w:header="0"/>
        </w:sectPr>
      </w:pPr>
    </w:p>
    <w:bookmarkStart w:id="22" w:name="page23"/>
    <w:bookmarkEnd w:id="22"/>
    <w:p>
      <w:pPr>
        <w:ind w:right="20"/>
        <w:spacing w:after="0" w:line="277" w:lineRule="auto"/>
        <w:rPr>
          <w:sz w:val="20"/>
          <w:szCs w:val="20"/>
          <w:color w:val="auto"/>
        </w:rPr>
      </w:pPr>
      <w:r>
        <w:rPr>
          <w:rFonts w:ascii="Arial" w:cs="Arial" w:eastAsia="Arial" w:hAnsi="Arial"/>
          <w:sz w:val="18"/>
          <w:szCs w:val="18"/>
          <w:color w:val="auto"/>
        </w:rPr>
        <w:t>The tax years of 2004, 2005, 2008, and 2010 through 2014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provides services to hospitals which are affiliated with certain members of the Company’s Board of Directors. Management believes services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related parties were conducted on terms equivalent to those prevailing in an arm's-length transaction. Revenue related to these transactions was $2.8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$9.0 million for the three and nine months ended September 30, 2015, respectively. Revenue related to these transactions was $6.0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$11.4 million for the three and nine months ended September 30, 2014, respectively. Accounts receivable due from these hospitals at September 30, 2015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were approximately $1.2 million and $2.0 million, respectively.</w:t>
      </w:r>
    </w:p>
    <w:p>
      <w:pPr>
        <w:spacing w:after="0" w:line="2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acquisition of MSN, the Company acquired a 68% ownership interest in InteliStaf of Oklahoma, LLC, a joint venture between the Company and a hospital system. The Company generated revenue providing staffing services to the hospital system of $2.6 million and $6.9 million for the three and nine months ended September 30, 2015, respectively. Revenue related to these services was $2.5 million for the three months ended September 30, 2014. At September 30, 2015 and December 31, 2014, the Company had a receivable balance of $0.5 million and $0.9 million, respectively, and a payable balance of $0.1 million at the end of each period, relating to these staffing services.</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RECENT ACCOUNTING PRONOUNCEMENTS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September 2015, the FASB issued ASU No. 2015-16, </w:t>
      </w:r>
      <w:r>
        <w:rPr>
          <w:rFonts w:ascii="Arial" w:cs="Arial" w:eastAsia="Arial" w:hAnsi="Arial"/>
          <w:sz w:val="18"/>
          <w:szCs w:val="18"/>
          <w:i w:val="1"/>
          <w:iCs w:val="1"/>
          <w:color w:val="auto"/>
        </w:rPr>
        <w:t>Business Combinations (Topic 805),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This ASU requires that an acquirer recognize adjustments to provisional amounts that are identified during the measurement period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 in which the adjustment amounts are determined. Prior to the issuance of the ASU, entities were required to retrospectively apply adjustments made to provisional amounts recognized in a business combination. The ASU is effective for fiscal years, and interim periods within those years, beginning after December 15, 2015, and early adoption is permitted. The Company does not expect this guidance to have a material impact on its consolidated financial statements.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2015, the FASB issued ASU No. 2015-15, </w:t>
      </w:r>
      <w:r>
        <w:rPr>
          <w:rFonts w:ascii="Arial" w:cs="Arial" w:eastAsia="Arial" w:hAnsi="Arial"/>
          <w:sz w:val="16"/>
          <w:szCs w:val="16"/>
          <w:i w:val="1"/>
          <w:iCs w:val="1"/>
          <w:color w:val="auto"/>
        </w:rPr>
        <w:t>Interest - Imputation of Interest (Subtopic 835-30), Presentation and Subsequent Measurement of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Issuance Costs Associated with Line-of-Credit Arrangements </w:t>
      </w:r>
      <w:r>
        <w:rPr>
          <w:rFonts w:ascii="Arial" w:cs="Arial" w:eastAsia="Arial" w:hAnsi="Arial"/>
          <w:sz w:val="16"/>
          <w:szCs w:val="16"/>
          <w:color w:val="auto"/>
        </w:rPr>
        <w:t>to clarify the SEC staff's position on presenting and measuring debt issuance costs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line-of-credit arrangements. Given the absence of authoritative guidance within ASU No. 2015-03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expects to adopt this guidance when effective, with no significant impact on its financial position and results of operations.</w:t>
      </w:r>
    </w:p>
    <w:p>
      <w:pPr>
        <w:spacing w:after="0" w:line="16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In April 2015, the FASB issued ASU No. 2015-05, </w:t>
      </w:r>
      <w:r>
        <w:rPr>
          <w:rFonts w:ascii="Arial" w:cs="Arial" w:eastAsia="Arial" w:hAnsi="Arial"/>
          <w:sz w:val="17"/>
          <w:szCs w:val="17"/>
          <w:i w:val="1"/>
          <w:iCs w:val="1"/>
          <w:color w:val="auto"/>
        </w:rPr>
        <w:t>Intangibles - Goodwill and Other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Fees Paid in a Cloud Computing Arrangement</w:t>
      </w:r>
      <w:r>
        <w:rPr>
          <w:rFonts w:ascii="Arial" w:cs="Arial" w:eastAsia="Arial" w:hAnsi="Arial"/>
          <w:sz w:val="17"/>
          <w:szCs w:val="17"/>
          <w:color w:val="auto"/>
        </w:rPr>
        <w:t>, to help entities evaluate the accounting for fees paid by a customer in a cloud computing arrangement.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provide guidance to customers about whether a cloud computing arrangement includes a software license. If a cloud computing arrangement includes a software license element, then the customer should account for the software license element arrangement consistent with the acquisition of other software licenses. If a cloud computing arrangement does not include a software license, the customer should account for the arrangement as a service contract. The amendments are effective for the Company for annual and interim periods beginning after December 15, 2015. A Company can elect prospective or retrospective adoption and early adoption is permitted. The Company expects to adopt this standard in its first quarter of 2016. The Company is currently evaluating the potential impact of the new guidance.</w:t>
      </w:r>
    </w:p>
    <w:p>
      <w:pPr>
        <w:spacing w:after="0" w:line="1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This guidance requires that debt issuance costs related to a recognized debt liability be presented in the balance sheet as a direct deduction from the carrying amount of that debt liability. This guidance is effective for the Company for fiscal years and interim periods beginning after December 15, 2015, and requires retrospective application. The Company expects to adopt this guidance when effective, and does not expect this guidance to have a significant impact on its financial statements, although it will change the financial statement classification of its debt issuance costs. As of September 30, 2015 and December 31, 2014, the Company had $1.0 million and $1.3 million of net debt issuance costs included on its condensed consolidated balance sheets. Under the new guidance, the net debt issuance costs would offset the carrying amount of the respective debt on the condensed consolidated balance sheets.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41" w:right="259" w:bottom="1440" w:gutter="0" w:footer="0" w:header="0"/>
        </w:sectPr>
      </w:pPr>
    </w:p>
    <w:bookmarkStart w:id="23" w:name="page24"/>
    <w:bookmarkEnd w:id="23"/>
    <w:p>
      <w:pPr>
        <w:spacing w:after="0" w:line="290" w:lineRule="auto"/>
        <w:rPr>
          <w:sz w:val="20"/>
          <w:szCs w:val="20"/>
          <w:color w:val="auto"/>
        </w:rPr>
      </w:pPr>
      <w:r>
        <w:rPr>
          <w:rFonts w:ascii="Arial" w:cs="Arial" w:eastAsia="Arial" w:hAnsi="Arial"/>
          <w:sz w:val="16"/>
          <w:szCs w:val="16"/>
          <w:color w:val="auto"/>
        </w:rPr>
        <w:t xml:space="preserve">In May 2014, the FASB and the International Accounting Standards Board (IASB) jointly issued ASU No. 2014-9,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which clarifies the principles for recognizing revenue and develops a common revenue standard for GAAP and International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Standards (IFRS). The core principle of the guidance is that an entity should recognize revenue to depict the transfer of promised goods or services to customers in an amount that reflects the consideration to which the entity expects to be entitled in exchange for those goods and services. The ASU was originally effective for public entities for annual and interim periods beginning after December 15, 2016. In August 2015, the FASB issued ASU No. 2015-14, </w:t>
      </w:r>
      <w:r>
        <w:rPr>
          <w:rFonts w:ascii="Arial" w:cs="Arial" w:eastAsia="Arial" w:hAnsi="Arial"/>
          <w:sz w:val="16"/>
          <w:szCs w:val="16"/>
          <w:i w:val="1"/>
          <w:iCs w:val="1"/>
          <w:color w:val="auto"/>
        </w:rPr>
        <w:t xml:space="preserve">Revenue from Contracts with Customers (Topic 606), Deferral of the Effective Date, </w:t>
      </w:r>
      <w:r>
        <w:rPr>
          <w:rFonts w:ascii="Arial" w:cs="Arial" w:eastAsia="Arial" w:hAnsi="Arial"/>
          <w:sz w:val="16"/>
          <w:szCs w:val="16"/>
          <w:color w:val="auto"/>
        </w:rPr>
        <w:t>which defers the effective date by one year and allows early adoption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all entities, however not before the original effective date of annual reports beginning after December 15, 2016. Retrospective application is permitted, but not required. The Company is currently evaluating the impact of adopting this guidance on its financial position and results of operations.</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SUBSEQUENT EVENT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October 30, 2015, the Company completed the acquisition of all of the membership interests of New Mediscan II, LLC, Mediscan Diagnostic Services, LLC, and Mediscan Nursing Staffing, LLC (collectively “Mediscan”). Mediscan provides temporary healthcare staffing and workforce solutions to both the healthcare and education markets - both public and charter schools. One of Mediscan’s founding members, as well as its President, are continuing with the business.</w:t>
      </w: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According to the terms of the agreement, the purchase price was $28.0 million in cash and $5.0 million in shares of the Company's Common Stock, subject to a net working capital adjustment. The Sellers are also eligible to receive an earn out based on Mediscan's 2016 and 2017 performance that could provide up to an additional $7.0 million of cash. The 349,871 shares of Common Stock issued in connection with the acquisition are subject to a lockup period. The acquisition was financed through a combination of cash-on-hand and borrowings under the Company's senior credit facility. The Company believes the transaction will be treated as a purchase of assets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Cross Country Healthcare, Inc.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Cross Country Healthcare, Inc., is a national leader in providing leading-edge healthcare workforce solutions. Our solutions are geared towards assisting our clients solve labor cost issues while maintaining high quality outcomes. With more than 30 years of experience, we are dedicated to placing highly qualified nurses and physicians as well as allied health, advanced practice, clinical research, and case management professionals. We provide both retained and contingent placement services for physicians, as well as retained search services for healthcare executives. We have more than 6,000 active contracts with a broad range of clients, including acute care hospitals, physician practice groups, nursing facilities, rehabilitation and sports medicine clinics, government facilities, as well as nonclinical settings such as homecare and schools. Through our national staffing teams and network of more than 70 branch office locations, we are able to place clinicians for travel and per diem assignments, local short-term contracts and permanent positions. We are a market leader in providing flexible workforce management solutions, which include managed services programs (MSP), workforce assessments, internal resource pool consulting and development, electronic medical record (EMR) transition staffing and recruitment process outsourcing.</w:t>
      </w:r>
    </w:p>
    <w:p>
      <w:pPr>
        <w:spacing w:after="0" w:line="16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We manage and segment our business based on the nature of our services we offer to our customers. As a result, in accordance with ASC 280,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Topic of the FASB ASC, we report three business segments – Nurse and Allied Staffing, Physician Staffing, and Other Human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Services, described below:</w:t>
      </w:r>
    </w:p>
    <w:p>
      <w:pPr>
        <w:spacing w:after="0" w:line="181" w:lineRule="exact"/>
        <w:rPr>
          <w:sz w:val="20"/>
          <w:szCs w:val="20"/>
          <w:color w:val="auto"/>
        </w:rPr>
      </w:pPr>
    </w:p>
    <w:p>
      <w:pPr>
        <w:ind w:left="660" w:right="12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represented approximately 80% of our total revenue in the third quarter of 2015. Nurse and</w:t>
      </w:r>
      <w:r>
        <w:rPr>
          <w:rFonts w:ascii="Arial" w:cs="Arial" w:eastAsia="Arial" w:hAnsi="Arial"/>
          <w:sz w:val="18"/>
          <w:szCs w:val="18"/>
          <w:i w:val="1"/>
          <w:iCs w:val="1"/>
          <w:color w:val="auto"/>
        </w:rPr>
        <w:t xml:space="preserve"> </w:t>
      </w:r>
      <w:r>
        <w:rPr>
          <w:rFonts w:ascii="Arial" w:cs="Arial" w:eastAsia="Arial" w:hAnsi="Arial"/>
          <w:sz w:val="18"/>
          <w:szCs w:val="18"/>
          <w:color w:val="auto"/>
        </w:rPr>
        <w:t>Allied Staffing provides traditional staffing, including temporary and permanent placement of travel nurses and allied professionals and branch-based local nurses and allied staffing. Our services include the placement of travel and per diem nurses, allied healthcare professionals, such as rehabilitation therapists, radiology technicians, and respiratory therapists. Our clients include: public and private acute care and non-acute care hospitals, government facilities, schools, outpatient clinics, ambulatory care facilities, retailers, and many other healthcare providers throughout the U.S.</w:t>
      </w:r>
    </w:p>
    <w:p>
      <w:pPr>
        <w:spacing w:after="0" w:line="193"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represented approximately 16% of our total revenue in the third quarter of 2015. Physician Staffing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physicians in many specialties, certified registered nurse anesthetists (CRNAs), nurse practitioners (NPs) and physician assistants (PAs) under our Medical Doctor Associates (MDA) and Saber-Salisbury brands as independent contractors on temporary assignments throughout the U.S. at various healthcare facilities, such as acute and non-acute care facilities, medical group practices, government facilities, and managed care organizations.</w:t>
      </w:r>
    </w:p>
    <w:p>
      <w:pPr>
        <w:spacing w:after="0" w:line="154" w:lineRule="exact"/>
        <w:rPr>
          <w:rFonts w:ascii="Arial" w:cs="Arial" w:eastAsia="Arial" w:hAnsi="Arial"/>
          <w:sz w:val="16"/>
          <w:szCs w:val="16"/>
          <w:color w:val="auto"/>
        </w:rPr>
      </w:pPr>
    </w:p>
    <w:p>
      <w:pPr>
        <w:ind w:left="660" w:right="14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(OHCMS) represented approximately 4%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third quarter of 2015. Subsequent to the sale of our education seminars business, Cross Country Education, LLC ("CCE") on August 31, 2015, Other Human Capital Management Services includes retained and contingent search services for physicians and healthcare executives within the 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Executive Summary of Operations</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For the quarter ended September 30, 2015, revenue from services was $195.7 million, and net income attributable to common shareholders was $5.0 million, or $0.16 per diluted share. Cash flow provided by operations for the nine months ended September 30, 2015 was $18.9 million. We ended the third quarter of 2015 with $24.6 million of cash and cash equivalents, which included $7.5 million of the cash proceeds from the sale of CCE. At the end of the third quarter of 2015, we had total debt of $72.0 million (including $17.1 million related to the cumulative change in valuation of the embedded derivative liability in our Convertible Notes less $0.8 million of debt discount).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2015, we made progress on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expanded bill/pay spreads in the Nurse and Allied and Physician Staffing business segments.</w:t>
      </w:r>
    </w:p>
    <w:p>
      <w:pPr>
        <w:spacing w:after="0" w:line="225"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completed the cost optimization project to better position us for continued margin expansion by (i) further centralizing back-office and support functions, (ii) closing and reducing excess facility space, (iii) reducing third-party expenditures, and (iv) outsourcing certain non-core functions.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2C2C2C"/>
        </w:rPr>
        <w:t>On July 22, 2015, we amended our Second Lien Term Loan, which reduced our current interest rate from 7.5% to 5.75%, effective July 2, 2015.</w:t>
      </w:r>
    </w:p>
    <w:p>
      <w:pPr>
        <w:spacing w:after="0" w:line="248"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31, 2015, we completed the sale of our non-core education seminars business. See Note 4 - Disposal in our condensed consolidated financial 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Throughout the quarter, we made investments in our business to improve our technology infrastructure and added recruiter capacity.</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October 30, 2015, we completed the acquisition of Mediscan. The acquisition will expand our customer base, increase our portfolio of new workforce solutions, and provide us access to additional healthcare professionals. See Note 17 - Subsequent Event in our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Metrics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Some of the segment financial results analyzed include revenue, gross profit margins, operating expenses, and contribution income. In addition, we monitor cash flow as well as operating and leverage ratios to help us assess our liquidity needs.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0"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Staffing revenue by the number of days worked in the respective periods. Nurse and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Allied Staffing revenue also includes revenue from the permanent placement of</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nurses.</w:t>
            </w:r>
          </w:p>
        </w:tc>
      </w:tr>
      <w:tr>
        <w:trPr>
          <w:trHeight w:val="60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rPr>
              <w:t>Days filled is calculated by dividing the total hours filled during the period by 8</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hours.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Revenue per day filled is calculated by dividing the actual revenue invoiced by</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7"/>
              </w:rPr>
              <w:t>Physician Staffing by days filled for the period presented. Revenue per day filled</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excludes permanent placement and accrued revenue.</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Business Metrics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3"/>
                <w:szCs w:val="23"/>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50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Nurse and Allied Staffing:</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0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FTEs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040" w:type="dxa"/>
            <w:vAlign w:val="bottom"/>
            <w:gridSpan w:val="4"/>
          </w:tcPr>
          <w:p>
            <w:pPr>
              <w:ind w:left="40"/>
              <w:spacing w:after="0"/>
              <w:rPr>
                <w:sz w:val="20"/>
                <w:szCs w:val="20"/>
                <w:color w:val="auto"/>
              </w:rPr>
            </w:pPr>
            <w:r>
              <w:rPr>
                <w:rFonts w:ascii="Arial" w:cs="Arial" w:eastAsia="Arial" w:hAnsi="Arial"/>
                <w:sz w:val="16"/>
                <w:szCs w:val="16"/>
                <w:b w:val="1"/>
                <w:bCs w:val="1"/>
                <w:color w:val="auto"/>
              </w:rPr>
              <w:t>Physician Staffing:</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Days filled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Revenue per day filled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1,432</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5"/>
          </w:tcPr>
          <w:p>
            <w:pPr>
              <w:ind w:left="720"/>
              <w:spacing w:after="0"/>
              <w:rPr>
                <w:sz w:val="20"/>
                <w:szCs w:val="20"/>
                <w:color w:val="auto"/>
              </w:rPr>
            </w:pPr>
            <w:r>
              <w:rPr>
                <w:rFonts w:ascii="Arial" w:cs="Arial" w:eastAsia="Arial" w:hAnsi="Arial"/>
                <w:sz w:val="16"/>
                <w:szCs w:val="16"/>
                <w:b w:val="1"/>
                <w:bCs w:val="1"/>
                <w:color w:val="auto"/>
              </w:rPr>
              <w:t>Nine Months Ended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3"/>
                <w:szCs w:val="23"/>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50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Nurse and Allied Staffing:</w:t>
            </w: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0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FTEs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55.0 %</w:t>
            </w:r>
          </w:p>
        </w:tc>
        <w:tc>
          <w:tcPr>
            <w:tcW w:w="0" w:type="dxa"/>
            <w:vAlign w:val="bottom"/>
          </w:tcPr>
          <w:p>
            <w:pPr>
              <w:spacing w:after="0"/>
              <w:rPr>
                <w:sz w:val="1"/>
                <w:szCs w:val="1"/>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040" w:type="dxa"/>
            <w:vAlign w:val="bottom"/>
            <w:gridSpan w:val="4"/>
          </w:tcPr>
          <w:p>
            <w:pPr>
              <w:ind w:left="40"/>
              <w:spacing w:after="0"/>
              <w:rPr>
                <w:sz w:val="20"/>
                <w:szCs w:val="20"/>
                <w:color w:val="auto"/>
              </w:rPr>
            </w:pPr>
            <w:r>
              <w:rPr>
                <w:rFonts w:ascii="Arial" w:cs="Arial" w:eastAsia="Arial" w:hAnsi="Arial"/>
                <w:sz w:val="16"/>
                <w:szCs w:val="16"/>
                <w:b w:val="1"/>
                <w:bCs w:val="1"/>
                <w:color w:val="auto"/>
              </w:rPr>
              <w:t>Physician Staffing:</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Days filled</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59,470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62,599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Revenue per day filled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1,485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1,448</w:t>
            </w:r>
          </w:p>
        </w:tc>
        <w:tc>
          <w:tcPr>
            <w:tcW w:w="2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4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5000" w:type="dxa"/>
            <w:vAlign w:val="bottom"/>
          </w:tcPr>
          <w:p>
            <w:pPr>
              <w:spacing w:after="0"/>
              <w:rPr>
                <w:sz w:val="23"/>
                <w:szCs w:val="23"/>
                <w:color w:val="auto"/>
              </w:rPr>
            </w:pPr>
          </w:p>
        </w:tc>
        <w:tc>
          <w:tcPr>
            <w:tcW w:w="222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2014</w:t>
            </w:r>
          </w:p>
        </w:tc>
        <w:tc>
          <w:tcPr>
            <w:tcW w:w="22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0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Direct operating expenses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74.4</w:t>
            </w:r>
          </w:p>
        </w:tc>
      </w:tr>
      <w:tr>
        <w:trPr>
          <w:trHeight w:val="27"/>
        </w:trPr>
        <w:tc>
          <w:tcPr>
            <w:tcW w:w="5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5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50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5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derivative liability</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 (loss)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000" w:type="dxa"/>
            <w:vAlign w:val="bottom"/>
          </w:tcPr>
          <w:p>
            <w:pPr>
              <w:ind w:left="40"/>
              <w:spacing w:after="0"/>
              <w:rPr>
                <w:sz w:val="20"/>
                <w:szCs w:val="20"/>
                <w:color w:val="auto"/>
              </w:rPr>
            </w:pPr>
            <w:r>
              <w:rPr>
                <w:rFonts w:ascii="Arial" w:cs="Arial" w:eastAsia="Arial" w:hAnsi="Arial"/>
                <w:sz w:val="18"/>
                <w:szCs w:val="18"/>
                <w:color w:val="auto"/>
              </w:rPr>
              <w:t>subsidiary</w:t>
            </w:r>
          </w:p>
        </w:tc>
        <w:tc>
          <w:tcPr>
            <w:tcW w:w="222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shareholders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78"/>
        </w:trPr>
        <w:tc>
          <w:tcPr>
            <w:tcW w:w="5000" w:type="dxa"/>
            <w:vAlign w:val="bottom"/>
          </w:tcPr>
          <w:p>
            <w:pPr>
              <w:spacing w:after="0"/>
              <w:rPr>
                <w:sz w:val="24"/>
                <w:szCs w:val="24"/>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4"/>
          </w:tcPr>
          <w:p>
            <w:pPr>
              <w:jc w:val="right"/>
              <w:ind w:right="731"/>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511"/>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6"/>
                <w:szCs w:val="16"/>
                <w:color w:val="auto"/>
                <w:w w:val="99"/>
              </w:rPr>
              <w:t>(amounts 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Nurse and Allied Staffing (a)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157,338</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147,851</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459,127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311,814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 (a)</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30,959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31,953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90,784</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7,395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9,140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27,093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195,692</w:t>
            </w:r>
          </w:p>
        </w:tc>
        <w:tc>
          <w:tcPr>
            <w:tcW w:w="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188,944</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574,273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429,691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 (b)</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Nurse and Allied Staffing (a)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16,251</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12,691</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39,368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 (a)</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29,287</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19,325</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6,867</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20" w:hanging="652"/>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 January 1, 2015, we reclassified a portion of our business from the Physician Staffing segment to the Nurse and Allied Staffing segment. For the three and nine months ended September 30, 2014, revenue of $0.3 million and $1.5 million, respectively, and contribution income of less than $0.1 million for each period have been reclassified to conform to the current period presentation.</w:t>
      </w:r>
    </w:p>
    <w:p>
      <w:pPr>
        <w:spacing w:after="0" w:line="165" w:lineRule="exact"/>
        <w:rPr>
          <w:rFonts w:ascii="Arial" w:cs="Arial" w:eastAsia="Arial" w:hAnsi="Arial"/>
          <w:sz w:val="17"/>
          <w:szCs w:val="17"/>
          <w:color w:val="auto"/>
        </w:rPr>
      </w:pPr>
    </w:p>
    <w:p>
      <w:pPr>
        <w:ind w:left="660" w:right="20" w:hanging="652"/>
        <w:spacing w:after="0" w:line="31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We define contribution income as income or loss from operations before depreciation, amortization, acquisition and integration costs, restructuring costs, impairment charges, and corporate expenses not specifically identified to a reporting segment. Contribution income is a financial measure used by management when assessing segment performance and is provided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Results for the Three Months Ended September 30, 2015 compared to the Three Months Ended September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Revenue from services increased 3.6%, to $195.7 million for the three months ended September 30, 2015, as compared to $188.9 million for the three months ended September 30, 2014. The increase was primarily due to growth in Nurse and Allied Staffing revenue, partly offset by lower revenue from Physician Staffing and Other Human Capital Management Services. Excluding the education seminars business, revenue for the quarter would have increased 5.2%.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Revenue from Nurse and Allied Staffing increased 6.4%, to $157.3 million for the three months ended September 30, 2015, as compared to $147.9 million for the three months ended September 30, 2014. The year-over-year increase was due to higher volume and higher average bill rates.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three months ended September 30, 2015 increased 3.7% from the three months ended September 30, 2014, primarily due to increased demand. The average Nurse and Allied Staffing revenue per FTE per day increased 2.4%, primarily due to higher average bill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Revenue from Physician Staffing decreased 3.1%, to $31.0 million for the three months ended September 30, 2015, as compared to $32.0 million for the three months ended September 30, 2014. The decrease in revenue was primarily due to lower volume partly offset by higher average revenue per day filled.</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Physician Staffing days filled decreased 7.0%, to 20,543 days in the three months ended September 30, 2015, as compared to 22,100 days in the three months ended September 30, 2014. Revenue per day filled for the three months ended September 30, 2015 was $1,505, up 5.1% over the prior year, due to improved pricing.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Revenue from Other Human Capital Management Services decreased 19.1%, to $7.4 million for the three months ended September 30, 2015, as compared to $9.1 million for the three months ended September 30, 2014. The decrease was entirely due to one less month of revenue from the education seminars business that was sold August 31, 2015, partly offset by year-over-year revenue growth in the search business of 29.6%, reflecting strong demand.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$2.5 million or 1.8%, to $144.2 million for the three months ended September 30, 2015, as compared to $141.7 million for the three months ended September 30, 2014.</w:t>
      </w:r>
    </w:p>
    <w:p>
      <w:pPr>
        <w:spacing w:after="0" w:line="18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a percentage of total revenue, direct operating expenses decreased to 73.7% compared to 75.0% in the prior year period primarily due to improved pricing and bill/pay spread, and lower professional liability expenses in Physician Staffing.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Selling, general and administrative expenses decreased 4.0%, to $39.2 million for the three months ended September 30, 2015, as compared to $40.9 million for the three months ended September 30, 2014. This decrease is primarily due to one less month of expenses from the education seminars business disposed of on August 31, 2015. Share-based compensation, included in unallocated corporate overhead, was $0.6 million and $0.4 million for the three months ended September 30, 2015 and 2014, respectively. As a percentage of total revenue, selling, general and administrative expenses were 20.0% and 21.6%, for the three months ended September 30, 2015 and 2014, respectively, reflecting improved operating leverage.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Contribution income from Nurse and Allied Staffing increased $3.6 million or 28.1%, to $16.3 million for the three months ended September 30, 2015, as compared to $12.7 million for the three months ended September 30, 2014. As a percentage of segment revenue, contribution income increased to 10.3% for the three months ended September 30, 2015, compared to 8.6% for the three months ended September 30, 2014, reflecting an improvement in our bill/pay spreads.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Contribution income from Physician Staffing increased $1.7 million or 117.3%, to $3.2 million for the three months ended September 30, 2015, as compared to $1.5 million for the three months ended September 30, 2014. As a percentage of segment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0" w:name="page31"/>
    <w:bookmarkEnd w:id="30"/>
    <w:p>
      <w:pPr>
        <w:spacing w:after="0" w:line="312" w:lineRule="auto"/>
        <w:rPr>
          <w:sz w:val="20"/>
          <w:szCs w:val="20"/>
          <w:color w:val="auto"/>
        </w:rPr>
      </w:pPr>
      <w:r>
        <w:rPr>
          <w:rFonts w:ascii="Arial" w:cs="Arial" w:eastAsia="Arial" w:hAnsi="Arial"/>
          <w:sz w:val="16"/>
          <w:szCs w:val="16"/>
          <w:color w:val="auto"/>
        </w:rPr>
        <w:t>revenue, contribution income was 10.3% for the three months ended September 30, 2015 and 4.6% for the three months ended September 30, 2014. The year-over-year improvement was primarily attributable to improved pricing and lower selling, general and administrative expenses. Also contributing to the year-over-year improvement was the impact from higher professional liability charges recorded in the prior year associated with specific claims.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Contribution income from Other Human Capital Management Services was $0.4 million for the three months ended September 30, 2015, as compared to a loss of $0.1 million for the three months ended September 30, 2014. Contribution income as a percentage of segment revenue increased to 5.0% for the three months ended September 30, 2015 compared to a negative 0.6% for the three months ended September 30, 2014. The increase was primarily due to growth in the search business, partly offset by one less month of activity from the education seminars business that was sold August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totaled $1.9 million for the three months ended September 30, 2015 and $2.0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2014. As a percentage of consolidated revenue, depreciation and amortization expense was 1.0% and 1.1%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September 30, 2014,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September 30, 2015, we incurred acquisition and integration costs of $0.6 million primarily related to due diligence work for the Mediscan acquisition, which closed in the fourth quarter of 2015. During the three months ended September 30, 2014, we incurred acquisition and integration costs of $2.4 million, primarily related to transaction costs for the MSN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2015, we incurred $0.1 million in restructuring costs related to severance under our cost optimization project.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restructuring costs in the three months ended September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expense totaled $1.7 million and $1.8 million for the three months ended September 30, 2015 and 2014, respectively. The decrease was due to lower average borrowings and a lower effective interest rate. The effective interest rate on our borrowings was 10.1% for the three month period ended September 30, 2015 compared to 10.3% for the three months ended September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Loss on derivative liability of $2.9 million for the three months ended September 30, 2015 relates to the change in the fair value of embedded features of our Convertible Notes from June 30, 2015. This loss was primarily a result of an increase in our share price compared to the prior quarter end. The Convertible Notes include terms that are considered to be embedded derivatives, including conversion and redemption features that primarily protect the investors' investment with us (see Note 9 - Convertible Notes Derivative Liability to our condensed consolidated financial statements). Each reporting period we are required to fair value the embedded derivative with the changes being recorded as a component of other expense (income) on our condensed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Income tax benefit from continuing operations totaled $2.7 million for the three months ended September 30, 2015, compared to an income tax expense of $0.2 million for the three months ended September 30, 2014. The effective tax rate was negative 113.0% and negative 2.3%, including the impact of discrete items, for the three months ended September 30, 2015 and September 30, 2014, respectively. Excluding discrete items, including the impact of a tax benefit associated with the sale of CCE, our effective tax rate for these periods was 30.1% and negative 15.2%, respectively. The effective tax rates are different than the statutory rates primarily due to the impact from amortization of indefinite-lived intangible assets for tax purposes, the partial non-deductibility of certain per diem expenses and international and state minimum taxes, which are partly offset by the reduction in unrecognized tax benefits due to the settlement of certain state examinations.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Comparison of Results for the Nine Months Ended September 30, 2015 compared to the Nine Months Ended September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services increased 33.6%, to $574.3 million for the nine months ended September 30, 2015, as compared to $429.7 million for the nine months ended September 30, 2014. The increase was primarily due to the June 2014 MSN acquisition and growth in Nurse and Allied Staffing revenue, partly offset by a decrease in Physician Staffing revenue. On a pro forma basis, including the results of MSN and excluding the results of the education seminars business in the prior year, revenue increased 4.8%.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Nurse and Allied Staffing increased 47.2%, to $459.1 million for the nine months ended September 30, 2015, as compared to $311.8 million for the nine months ended September 30, 2014. The year-over-year increase was due to the impact of the acquired businesses as well as organic growth. On a pro forma basis, revenue increased 6.6%, due to continued high demand in this segment.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average number of Nurse and Allied Staffing FTEs on contract during the nine months ended September 30, 2015 increased 55.0% from the nine months ended September 30, 2014, primarily due to the acquired businesses along with increased demand. The average Nurse and Allied Staffing revenue per FTE per day decreased 4.8%, primarily due to the impact of the lower average bill rates of MSN. On a pro forma basis, Nurse and Allied Staffing revenue per FTE per day increased 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Revenue from Physician Staffing decreased 3.0%, to $88.1 million for the nine months ended September 30, 2015, as compared to $90.8 million for the nine months ended September 30, 2014. The decrease in revenue was primarily due to lower volume partly offset by higher average revenue per day filled.</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Physician Staffing days filled decreased 5.0%, to 59,470 days in the nine months ended September 30, 2015, as compared to 62,599 days in the nine months ended September 30, 2014. Revenue per day filled for the nine months ended September 30, 2015 was $1,485, up 2.6% over the prior year, due to improved pricing.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2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Revenue from Other Human Capital Management Services decreased 0.2%, to $27.0 million for the nine months ended September 30, 2015, as compared to $27.1 million for the nine months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$107.9 million or 33.8%, to $427.4 million for the nine months ended September 30, 2015, as compared to $319.5 million for the nine months ended September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total revenue, direct operating expenses were consistent at 74.5% compared to 74.4% in the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general and administrative expenses increased 21.9% to $121.3 million for the nine months ended September 30, 2015, as compared to $99.5 million for the nine months ended September 30, 2014. This increase is primarily due to the MSN acquisition. As a percentage of total revenue, selling, general and administrative expenses were 21.1% and 23.1%, for the nine months ended September 30, 2015 and 2014, respectively, primarily reflecting improved operating leverage.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Included in selling, general and administrative expenses is unallocated corporate overhead of $23.8 million and $19.3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and 2014, respectively, representing an increase of $4.5 million. The increase is primarily due to an increase in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consolidated revenue, unallocated corporate overhead</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84" w:right="279" w:bottom="1440" w:gutter="0" w:footer="0" w:header="0"/>
        </w:sectPr>
      </w:pPr>
    </w:p>
    <w:bookmarkStart w:id="32" w:name="page33"/>
    <w:bookmarkEnd w:id="32"/>
    <w:p>
      <w:pPr>
        <w:ind w:right="400"/>
        <w:spacing w:after="0" w:line="277" w:lineRule="auto"/>
        <w:rPr>
          <w:sz w:val="20"/>
          <w:szCs w:val="20"/>
          <w:color w:val="auto"/>
        </w:rPr>
      </w:pPr>
      <w:r>
        <w:rPr>
          <w:rFonts w:ascii="Arial" w:cs="Arial" w:eastAsia="Arial" w:hAnsi="Arial"/>
          <w:sz w:val="18"/>
          <w:szCs w:val="18"/>
          <w:color w:val="auto"/>
        </w:rPr>
        <w:t>was 4.1% and 4.5% for the nine months ended September 30, 2015 and 2014, respectively. Share-based compensation, included in unallocated corporate overhead, was $1.8 million and $1.0 million for the nine months ended September 30,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Contribution income from Nurse and Allied Staffing increased $14.0 million or 55.1%, to $39.4 million for the nine months ended September 30, 2015, as compared to $25.4 million for the nine months ended September 30, 2014. As a percentage of segment revenue, contribution income increased to 8.6% for the nine months ended September 30, 2015, compared to 8.1% for the nine months ended September 30, 2014, reflecting lower selling,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Contribution income from Physician Staffing increased $3.5 million or 87.6%, to $7.5 million for the nine months ended September 30, 2015, as compared to $4.0 million for the nine months ended September 30, 2014. As a percentage of segment revenue, contribution income was 8.6% for the nine months ended September 30, 2015 and 4.4% for the nine months ended September 30, 2014. This increase was primarily due to improved gross margins, lower charges related to professional liability, and lower selling,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Contribution income from Other Human Capital Management Services was $1.7 million for the nine months ended September 30, 2015, as compared to a loss of $0.1 million for the nine months ended September 30, 2014. Contribution income as a percentage of segment revenue increased to 6.4% for the nine months ended September 30, 2015 compared to a negative 0.4% for the nine months ended September 30, 2014. The increase was primarily due to growth and significant operating leverage in the search business, partly offset by one less month of activity from the education seminars business that was sold August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totaled $5.8 million for the nine months ended September 30, 2015 and $5.4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2014. As a percentage of consolidated revenue, depreciation and amortization expense was 1.0% and 1.2%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September 30, 2014,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nine months ended September 30, 2015, we incurred acquisition and integration costs of $0.7 million which predominantly related to due diligence costs for the Mediscan acquisition, which closed in the fourth quarter of 2015. During the nine months ended September 30, 2014, we incurred acquisition and integration costs of $5.4 million, primarily related to the MSN acquisition, and partly related to our December 2013 allied staffing business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the nine months ended September 30, 2015, we incurred $1.1 million in restructuring costs related to severance and lease consolidations. We recorded restructuring costs of $0.8 million in the nine months ended September 30, 2014, primarily related to senior management severance pay.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Interest expense totaled $5.2 million and $2.4 million for the nine months ended September 30, 2015 and 2014, respectively. The increase was primarily due to the additional interest associated with our subordinated debt used to fund the June 2014 MSN acquisition. The effective interest rate on our borrowings was 10.3% for the nine month period ended September 30, 2015 compared to 8.1% for the nine months ended September 30, 2014.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Loss on derivative liability of $0.4 million for the nine months ended September 30, 2015 relates to a change in the fair value of embedded features of our Convertible Notes from December 31, 2014. This loss was primarily a result of an increase in our share price from December 31, 2014, partially offset by our improved credit quality that decreased the value of the conversion feature. The Convertible Notes include terms that are considered to be embedded derivatives, including conversion and redemption features that primarily protect the investors' investment with us (see Note 9 - Convertible Notes Derivative Liability to our condensed consolidated financial statements). Each reporting period we are required to fair value the embedded derivative with the changes being recorded as a component of other expense (income) on our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Income tax benefit from continuing operations totaled $1.5 million for the nine months ended September 30, 2015, as compared to an expense of $0.1 million for the nine months ended September 30, 2014. The effective tax rate was negative 15.9% and negative 0.9%, including the impact of discrete items, for the nine months ended September 30, 2015 and September 30, 2014, respectively. Excluding discrete items, our effective tax rate for these periods was 22.6% and negative 24.4%, respectively. The effective tax rates are different than the statutory rates primarily due to the impact from amortization of indefinite-lived intangible assets for tax purposes, the partial non-deductibility of certain per diem expenses and international and state minimum taxes, which are partly offset by the reduction in unrecognized tax benefits due to the settlement of certain state examinations. In addition, the effective tax rate in the nine months ended September 30, 2015 was impacted by the reversal of valuation allowance as a result of the sale of CCE.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2015, we had $24.6 million in cash and cash equivalents and $55.0 million of subordinated debt at par. The increase in cash and cash equivalents was driven by our operating cash flows and proceeds from the sale of CCE. Working capital increased to $85.6 million as of September 30, 2015 from $64.2 million as of December 31, 2014. Days' sales outstanding increased 4 days to 59 days as of September 30, 2015, compared to 55 days as of December 31, 2014.</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operating cash flows constitute our primary source of liquidity, and historically, have been sufficient to fund our working capital, capital expenditures, internal business expansion and debt service. We believe that our capital resources are sufficient to meet our working capital needs for the next twelve months. We expect to meet our future needs for working capital, capital expenditures, internal business expansion and debt service from a combination of cash on hand, operating cash flows and funds available through the revolving loan portion of our First Lien Loan Agreement. We believe that operating cash flows and cash on hand, along with amounts available under our First Lien Loan Agreement, will be sufficient to meet these needs during the next twelve months.</w:t>
      </w:r>
    </w:p>
    <w:p>
      <w:pPr>
        <w:spacing w:after="0" w:line="19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Net cash provided by operating activities was $18.9 million in the nine months ended September 30, 2015, compared to net cash used in operating activities of $3.1 million in the nine months ended September 30, 2014. Net cash provided by operating activities in the nine months ended September 30, 2015 was primarily the result of our improved profitability. The usage in cash in the nine months ended September 30, 2014 was primarily due to acquisition and integration costs related to the MSN acquisition and the integration of the allied health staffing business acquired in December of 2013.</w:t>
      </w:r>
    </w:p>
    <w:p>
      <w:pPr>
        <w:spacing w:after="0" w:line="15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Investing activities provided $5.2 million in the nine months ended September 30, 2015, compared to $44.9 million used in the nine months ended September 30, 2014. In the third quarter of 2015 we received proceeds of $7.2 million from the sale of CCE (see Note 4 - Disposal), net of related costs, and used $1.8 million for capital expenditures in the nine months ended September 30, 2015. In the nine months ended September 30, 2014, we acquired substantially all of the assets and certain liabilities of MSN and funded $44.9 million at closing, net of cash acquired. We used $3.8 million for capital expenditures in the nine months ended September 30, 2014, which primarily related to the relocation of our Physician Staffing location.</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used in financing activities during the nine months ended September 30, 2015 was $4.5 million, compared to $47.6 million provided by financing activities during the nine months ended September 30, 2014. During the nine months ended September 30, 2015, we repaid total debt, net of borrowings, of $3.6 million and used $0.5 million to repurchase stock for tax withholdings and pay $0.4 million to a noncontrolling shareholder. During the nine months ended September 30, 2014, we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4" w:name="page35"/>
    <w:bookmarkEnd w:id="34"/>
    <w:p>
      <w:pPr>
        <w:ind w:right="620"/>
        <w:spacing w:after="0" w:line="277" w:lineRule="auto"/>
        <w:rPr>
          <w:sz w:val="20"/>
          <w:szCs w:val="20"/>
          <w:color w:val="auto"/>
        </w:rPr>
      </w:pPr>
      <w:r>
        <w:rPr>
          <w:rFonts w:ascii="Arial" w:cs="Arial" w:eastAsia="Arial" w:hAnsi="Arial"/>
          <w:sz w:val="18"/>
          <w:szCs w:val="18"/>
          <w:color w:val="auto"/>
        </w:rPr>
        <w:t>increased our debt by $48.9 million primarily to fund the acquisition of MSN (including acquisition related expenses), operating activities and capital expenditures. In addition, we used $1.1 million for debt issuance costs related to the financing of the MSN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First Lien Loan Agreement, as amended, provides for, among other things, a revolving credit facility of $85.0 million and a letter of credit subline of $35.0 million, with a termination date of June 30, 2017. The revolving credit facility and letter of credit subline is used to provide our ongoing working capital and for other general corporate purposes.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September 30, 2015, the interest rate spreads and fees under the First Lien Loan Agreement are based on LIBOR plus 1.50% or Base Rate plus 0.50%. The LIBOR and Base Rate margins are subject to performance pricing adjustments, pursuant to a pricing matrix based on excess availability under the revolving credit facility, and could increase by 200 basis points if an event of default exists. We are required to pay a monthly commitment fee on the average daily unused portion of the revolving loan facility, which, as of September 30, 2015, was 0.375%.</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September 30, 2015, the Gross Availability, as defined in the First Lien Loan Agreement, was approximately $70.7 million based on our accounts receivable balance as of August 31, 2015. We had $23.5 million letters of credit outstanding and no borrowings drawn under the revolving credit facility, leaving $47.2 million available as of September 30, 2015. The letters of credit relate to our workers’ compensation and professional liability insurance policies. See Note 8 - Debt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Term Loan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Our Second Lien Term Loan Agreement provides for a five-year senior secured term loan facility in an aggregate principal amount of $30.0 million (the loans thereunder, the Second Lien Term Loan). Amounts borrowed under the Second Lien Term Loan Facility that are repaid or prepaid may not be re-borrowed. </w:t>
      </w:r>
      <w:r>
        <w:rPr>
          <w:rFonts w:ascii="Arial" w:cs="Arial" w:eastAsia="Arial" w:hAnsi="Arial"/>
          <w:sz w:val="18"/>
          <w:szCs w:val="18"/>
          <w:color w:val="2C2C2C"/>
        </w:rPr>
        <w:t xml:space="preserve">On July 22, 2015, we entered into an amendment to our Second Lien Term Loan. Under the terms of the amendment, the interest rate on the </w:t>
      </w:r>
      <w:r>
        <w:rPr>
          <w:rFonts w:ascii="Arial" w:cs="Arial" w:eastAsia="Arial" w:hAnsi="Arial"/>
          <w:sz w:val="18"/>
          <w:szCs w:val="18"/>
          <w:color w:val="000000"/>
        </w:rPr>
        <w:t>Second Lien</w:t>
      </w:r>
      <w:r>
        <w:rPr>
          <w:rFonts w:ascii="Arial" w:cs="Arial" w:eastAsia="Arial" w:hAnsi="Arial"/>
          <w:sz w:val="18"/>
          <w:szCs w:val="18"/>
          <w:color w:val="2C2C2C"/>
        </w:rPr>
        <w:t xml:space="preserve"> </w:t>
      </w:r>
      <w:r>
        <w:rPr>
          <w:rFonts w:ascii="Arial" w:cs="Arial" w:eastAsia="Arial" w:hAnsi="Arial"/>
          <w:sz w:val="18"/>
          <w:szCs w:val="18"/>
          <w:color w:val="000000"/>
        </w:rPr>
        <w:t xml:space="preserve">Term Loan </w:t>
      </w:r>
      <w:r>
        <w:rPr>
          <w:rFonts w:ascii="Arial" w:cs="Arial" w:eastAsia="Arial" w:hAnsi="Arial"/>
          <w:sz w:val="18"/>
          <w:szCs w:val="18"/>
          <w:color w:val="2C2C2C"/>
        </w:rPr>
        <w:t>was modified, effective July 1, 2015, at no cost from LIBOR</w:t>
      </w:r>
      <w:r>
        <w:rPr>
          <w:rFonts w:ascii="Arial" w:cs="Arial" w:eastAsia="Arial" w:hAnsi="Arial"/>
          <w:sz w:val="18"/>
          <w:szCs w:val="18"/>
          <w:color w:val="000000"/>
        </w:rPr>
        <w:t xml:space="preserve"> (defined as the 3-month London interbank offered rate for U.S. dollars, adjusted for customary Eurodollar reserve requirements, if any, and subject to a </w:t>
      </w:r>
      <w:r>
        <w:rPr>
          <w:rFonts w:ascii="Arial" w:cs="Arial" w:eastAsia="Arial" w:hAnsi="Arial"/>
          <w:sz w:val="18"/>
          <w:szCs w:val="18"/>
          <w:color w:val="2C2C2C"/>
        </w:rPr>
        <w:t>1% floor) plus 6.50% to LIBOR (1% floor) plus a rate based on our total net leverage</w:t>
      </w:r>
      <w:r>
        <w:rPr>
          <w:rFonts w:ascii="Arial" w:cs="Arial" w:eastAsia="Arial" w:hAnsi="Arial"/>
          <w:sz w:val="18"/>
          <w:szCs w:val="18"/>
          <w:color w:val="000000"/>
        </w:rPr>
        <w:t xml:space="preserve"> </w:t>
      </w:r>
      <w:r>
        <w:rPr>
          <w:rFonts w:ascii="Arial" w:cs="Arial" w:eastAsia="Arial" w:hAnsi="Arial"/>
          <w:sz w:val="18"/>
          <w:szCs w:val="18"/>
          <w:color w:val="2C2C2C"/>
        </w:rPr>
        <w:t xml:space="preserve">ratio, as defined in the Second Lien Term Loan Agreement. </w:t>
      </w:r>
      <w:r>
        <w:rPr>
          <w:rFonts w:ascii="Arial" w:cs="Arial" w:eastAsia="Arial" w:hAnsi="Arial"/>
          <w:sz w:val="18"/>
          <w:szCs w:val="18"/>
          <w:color w:val="000000"/>
        </w:rPr>
        <w:t>As of September 30, 2015, the Second Lien Term Loan bore interest at a rate equal to adjusted</w:t>
      </w:r>
      <w:r>
        <w:rPr>
          <w:rFonts w:ascii="Arial" w:cs="Arial" w:eastAsia="Arial" w:hAnsi="Arial"/>
          <w:sz w:val="18"/>
          <w:szCs w:val="18"/>
          <w:color w:val="2C2C2C"/>
        </w:rPr>
        <w:t xml:space="preserve"> </w:t>
      </w:r>
      <w:r>
        <w:rPr>
          <w:rFonts w:ascii="Arial" w:cs="Arial" w:eastAsia="Arial" w:hAnsi="Arial"/>
          <w:sz w:val="18"/>
          <w:szCs w:val="18"/>
          <w:color w:val="000000"/>
        </w:rPr>
        <w:t>LIBOR (</w:t>
      </w:r>
      <w:r>
        <w:rPr>
          <w:rFonts w:ascii="Arial" w:cs="Arial" w:eastAsia="Arial" w:hAnsi="Arial"/>
          <w:sz w:val="18"/>
          <w:szCs w:val="18"/>
          <w:color w:val="2C2C2C"/>
        </w:rPr>
        <w:t>1%</w:t>
      </w:r>
      <w:r>
        <w:rPr>
          <w:rFonts w:ascii="Arial" w:cs="Arial" w:eastAsia="Arial" w:hAnsi="Arial"/>
          <w:sz w:val="18"/>
          <w:szCs w:val="18"/>
          <w:color w:val="000000"/>
        </w:rPr>
        <w:t xml:space="preserve"> floor) plus </w:t>
      </w:r>
      <w:r>
        <w:rPr>
          <w:rFonts w:ascii="Arial" w:cs="Arial" w:eastAsia="Arial" w:hAnsi="Arial"/>
          <w:sz w:val="18"/>
          <w:szCs w:val="18"/>
          <w:color w:val="2C2C2C"/>
        </w:rPr>
        <w:t>4.75%</w:t>
      </w:r>
      <w:r>
        <w:rPr>
          <w:rFonts w:ascii="Arial" w:cs="Arial" w:eastAsia="Arial" w:hAnsi="Arial"/>
          <w:sz w:val="18"/>
          <w:szCs w:val="18"/>
          <w:color w:val="000000"/>
        </w:rPr>
        <w:t>. The interest rate is subject to an increase by 200 basis points if an event of default exists under the Second Lien Term Loan Agreement.</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may, at our option at any time, prepay the Second Lien Term Loan in whole or in part at the redemption prices set forth therein, which range from 103% of the principal amount thereof for prepayments during the period July 1, 2015 through June 30, 2016, 102% of the principal amount thereof for prepayments during the period July 1, 2016 through June 30, 2017, and 100% of the principal amount thereof for prepayments after such date.</w:t>
      </w:r>
    </w:p>
    <w:p>
      <w:pPr>
        <w:spacing w:after="0" w:line="16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Subject to certain exceptions, the Second Lien Term Loan is required to be prepaid with: (a) 50% of excess cash flow (as defined in the Second Lien Term Loan Agreement) above $5.0 million for each of our fiscal years (commencing with the fiscal year ending December 31, 2015), provided that voluntary prepayments of the Second Lien Term Loan made during such fiscal year will reduce the amount of excess cash flow prepayments required for such fiscal year on a dollar-for-dollar basis; (b) 100% of the net cash proceeds of all asset sales or other dispositions of property by us, as set forth in the agreement, in excess of a defined threshold and subject to our right to reinvest such proceeds within 12 months; (c) 100% of the net cash proceeds of issuances of debt offerings by us (except the net cash proceeds of any permitted debt); and (d) 50% of the net cash proceeds of our equity offerings.</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Second Lien Term Loan Agreement contains customary representations, warranties, and affirmative covenants. Among other things, the agreement also includes a financial covenant limiting our maximum “debt” to “EBITDA” (each, as defined therein) ratio to no greater than 4.50:1.00, subject to customary equity cure rights. As of September 30, 2015, we were in compliance with the financial covenants contained in the agreement. The "debt" to "EBITDA" ratio was 0.9:1.00 as of September 30, 2015. See Note 8 - Debt to our condensed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30, 2014, we entered into a Convertible Note Purchase Agreement (the Note Purchase Agreement), with certain note holders (collectively, the Noteholders). Pursuant to the Note Purchase Agreement, we sold to the Noteholders an aggregate of $25.0 million of convertible senior notes (the Convertible Notes). The proceeds from the Note Purchase Agreement were used to pay a portion of the consideration paid in the MSN Acquisition and related fees and expenses.</w:t>
      </w:r>
    </w:p>
    <w:p>
      <w:pPr>
        <w:spacing w:after="0" w:line="1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Convertible Notes are convertible at the option of the holders thereof at any time into shares of our common stock, at an initial conversion price of $7.10 per share, or 3,521,126 shares of Common Stock. After three years from the issuance date, we have the right to force a conversion of the Convertible Notes if the volume-weighted average price (VWAP) per share of our Common Stock exceeds 125% of the then conversion price for 20 days of a 30 day trading period. The conversion price is subject to adjustment pursuant to customary weighted average anti-dilution provisions including adjustments for the following: Common Stock dividends or distributions; issuance of any rights, warrants of options to acquire Common Stock; distributions of property; tender offer or exchange offer payments; cash dividends; or certain issuances of Common Stock at less than the conversion price. Upon conversion of the Convertible Notes, we will exchange, for the applicable conversion amount thereof a number of shares of Common Stock equal to the amount determined by dividing (i) such conversion amount by (ii) the conversion price in effect at the time of conversion. No fractional shares of Common Stock will be issued upon conversion of the Conversion Notes. In lieu of fractional shares, we shall pay cash in respect of each fractional share equal to such fractional amount multiplied by the 30-day VWAP as of the closing of business on the Business Day immediately preceding the conversion date as well as any unpaid accrued interest.</w:t>
      </w:r>
    </w:p>
    <w:p>
      <w:pPr>
        <w:spacing w:after="0" w:line="18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Convertible Notes bear interest at a rate of 8.00% per annum, payable in quarterly cash installments; provided, however, that, at our option, up to 4.00% of the interest payable may be “paid-in-kind” through a quarterly addition of such “paid-in-kind” interest amount to the principal amount of the Convertible Notes. The Convertible Notes will mature on June 30, 2020, unless earlier repurchased, redeemed or converted. Subject to certain exceptions, we are not permitted to redeem the Convertible Notes until June 30, 2017. If we redeem the Convertible Notes on or after June 30, 2017, we are required to pay a premium of 15% of the amount of principal of the Convertible Notes redeemed.</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If the Convertible Notes are redeemed prior to June 30, 2017, pursuant to a Prohibited Transaction, as defined by the agreement, we are required to pay a premium equal to the greater of (i) the sum of (a) the amount of principal of the Convertible Notes redeemed, plus (b) the accrued but unpaid interests on the principal amount so redeemed to the date of the redemption, plus (c) a “make whole” amount (described below) and (ii) the sum of (x) the average 30-day volume-weighted average price per share of Common Stock multiplied by the number of shares of Common Stock that the redeemed Convertible Notes are then convertible into and (y) the accrued but unpaid interest on the Convertible Notes. The “make whole” amount is equal to the excess, if any, of (1) the present value at the date of redemption of (A) 115% of the principal amount of the Convertible Notes redeemed, plus (B) all remaining scheduled interest due on the principal amount of the notes being redeemed through June 30, 2017 computed using a discount rate equal to the Treasury rate as of the date of redemption plus 50 basis points over (2) the outstanding principal amount of the Convertible Notes then redeemed.</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conjunction with ASC 815, </w:t>
      </w:r>
      <w:r>
        <w:rPr>
          <w:rFonts w:ascii="Arial" w:cs="Arial" w:eastAsia="Arial" w:hAnsi="Arial"/>
          <w:sz w:val="18"/>
          <w:szCs w:val="18"/>
          <w:i w:val="1"/>
          <w:iCs w:val="1"/>
          <w:color w:val="auto"/>
        </w:rPr>
        <w:t>Accounting for Derivative Financial Instruments and Hedging Activities</w:t>
      </w:r>
      <w:r>
        <w:rPr>
          <w:rFonts w:ascii="Arial" w:cs="Arial" w:eastAsia="Arial" w:hAnsi="Arial"/>
          <w:sz w:val="18"/>
          <w:szCs w:val="18"/>
          <w:color w:val="auto"/>
        </w:rPr>
        <w:t>, we have bifurcated and accounted for an embedded derivative related to specific features of these Convertible Notes. As required by ASC 815, the embedded derivative is required to be accounted for as a derivative liability at fair value in our condensed consolidated financial statements. See Note 9 - Convertible Notes Derivative Liability to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13 -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critical accounting principles and estimates remain consistent with those reported in our Annual Report on Form 10-K for the year ended December 31, 2014, filed with the SEC.</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fourth quarter of 2014, in conjunction with our annual testing of indefinite-lived intangible assets not subject to amortization, we recorded a pretax non-cash impairment charge of $10.0 million for Physician Staffing trade names. The fair value of the trade names in the Physician Staffing segment is impacted by revenue projections, royalty rates and other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assumptions. While our current expectations have resulted in a fair value in excess of carrying value, a future impairment charge may be recorded should those projections not be realized or underlying assumptions require modification. We will continue to monitor the recoverability of the related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ectPr>
          <w:pgSz w:w="11900" w:h="16838" w:orient="portrait"/>
          <w:cols w:equalWidth="0" w:num="1">
            <w:col w:w="11080"/>
          </w:cols>
          <w:pgMar w:left="240" w:top="584" w:right="57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exposed to the risk of fluctuation in interest rates relating to our variable rate debt related to our Senior Credit Facility and Second Lien Loan Agreement entered. See Note 8 - Debt for further information. During the nine months ended September 30, 2015 or 2014, we did not use interest rate swaps or other types of derivative financial instruments to hedge our interest rate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Liability Risk</w:t>
      </w:r>
    </w:p>
    <w:p>
      <w:pPr>
        <w:spacing w:after="0" w:line="22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As of September 30, 2015, in conjunction with the MSN acquisition, we had $25.0 million of 8.0% fixed rate Convertible Notes outstanding due June 30, 2020. The Convertible Notes include terms that are considered to be embedded derivatives, including conversion and redemption features that primarily protect the investors' investment with us. Each reporting period, we are required to record this embedded derivative at fair value with the changes being recorded as a component of other expense (income) on our condensed consolidated statements of operations. Accordingly, our results of operations are subject to exposure associated with increases or decreases in the estimated fair value of our embedded derivative.</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this derivative liability is primarily determined by fluctuations in our stock price, as well as changes in our credit profile. As our stock price increases or decreases, the fair value of this derivative liability increases or decreases, resulting in a corresponding current period loss or gain to be recognized. See Note 9 - Convertible Notes Derivative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other exposures as disclosed in our Annual Report on Form 10-K filed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ectPr>
          <w:pgSz w:w="11900" w:h="16838" w:orient="portrait"/>
          <w:cols w:equalWidth="0" w:num="1">
            <w:col w:w="11320"/>
          </w:cols>
          <w:pgMar w:left="240" w:top="341" w:right="33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341" w:right="299" w:bottom="1440" w:gutter="0" w:footer="0" w:header="0"/>
        </w:sectPr>
      </w:pPr>
    </w:p>
    <w:bookmarkStart w:id="39" w:name="page40"/>
    <w:bookmarkEnd w:id="39"/>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or results of operations.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2014.</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121" w:right="479"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November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580" w:right="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628"/>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Rule 13a-14(a) and Rule 15d-14 (a) by William J. Grubbs, President and Chief Executive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Rule 13a-14(a) and Rule 15d-14 (a) by William J. Burns, Chief Financial Officer</w:t>
            </w:r>
          </w:p>
        </w:tc>
      </w:tr>
      <w:tr>
        <w:trPr>
          <w:trHeight w:val="39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by William J. Grubbs, President and Chief Executive Officer</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by William J. Burns, Chief Financial Officer</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2015</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2015</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September 30, 2015,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2015</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September 30, 2015, (the "Periodic Report"), I, William J. Burns,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2015</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Roman"/>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1)"/>
      <w:numFmt w:val="decimal"/>
      <w:start w:val="18"/>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2019-12-29T14:19:30Z</dcterms:created>
  <dcterms:modified xsi:type="dcterms:W3CDTF">2019-12-29T14:19:30Z</dcterms:modified>
</cp:coreProperties>
</file>