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ind w:left="3920" w:right="2180" w:hanging="1699"/>
        <w:spacing w:after="0" w:line="378" w:lineRule="auto"/>
        <w:tabs>
          <w:tab w:leader="none" w:pos="241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2016</w:t>
      </w: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 Transition Report Pursuant to Section 13 or 15(d) of the Securities Exchange Act of 1934</w:t>
      </w:r>
    </w:p>
    <w:p>
      <w:pPr>
        <w:spacing w:after="0" w:line="11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157480</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CROSS COUNTRY HEALTHCARE, INC.</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0-33169</w:t>
            </w:r>
          </w:p>
        </w:tc>
        <w:tc>
          <w:tcPr>
            <w:tcW w:w="22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13-4066229</w:t>
            </w:r>
          </w:p>
        </w:tc>
      </w:tr>
      <w:tr>
        <w:trPr>
          <w:trHeight w:val="250"/>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8"/>
              </w:rPr>
              <w:t>Commission</w:t>
            </w:r>
          </w:p>
        </w:tc>
        <w:tc>
          <w:tcPr>
            <w:tcW w:w="2220" w:type="dxa"/>
            <w:vAlign w:val="bottom"/>
          </w:tcPr>
          <w:p>
            <w:pPr>
              <w:jc w:val="center"/>
              <w:ind w:left="4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file number</w:t>
            </w:r>
          </w:p>
        </w:tc>
        <w:tc>
          <w:tcPr>
            <w:tcW w:w="2220" w:type="dxa"/>
            <w:vAlign w:val="bottom"/>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329"/>
        </w:trPr>
        <w:tc>
          <w:tcPr>
            <w:tcW w:w="2620" w:type="dxa"/>
            <w:vAlign w:val="bottom"/>
          </w:tcPr>
          <w:p>
            <w:pPr>
              <w:spacing w:after="0"/>
              <w:rPr>
                <w:sz w:val="24"/>
                <w:szCs w:val="24"/>
                <w:color w:val="auto"/>
              </w:rPr>
            </w:pPr>
          </w:p>
        </w:tc>
        <w:tc>
          <w:tcPr>
            <w:tcW w:w="4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6551 Park of Commerce Blvd, N.W.</w:t>
            </w:r>
          </w:p>
        </w:tc>
        <w:tc>
          <w:tcPr>
            <w:tcW w:w="2220" w:type="dxa"/>
            <w:vAlign w:val="bottom"/>
          </w:tcPr>
          <w:p>
            <w:pPr>
              <w:spacing w:after="0"/>
              <w:rPr>
                <w:sz w:val="24"/>
                <w:szCs w:val="24"/>
                <w:color w:val="auto"/>
              </w:rPr>
            </w:pPr>
          </w:p>
        </w:tc>
      </w:tr>
      <w:tr>
        <w:trPr>
          <w:trHeight w:val="218"/>
        </w:trPr>
        <w:tc>
          <w:tcPr>
            <w:tcW w:w="2620" w:type="dxa"/>
            <w:vAlign w:val="bottom"/>
          </w:tcPr>
          <w:p>
            <w:pPr>
              <w:spacing w:after="0"/>
              <w:rPr>
                <w:sz w:val="18"/>
                <w:szCs w:val="18"/>
                <w:color w:val="auto"/>
              </w:rPr>
            </w:pPr>
          </w:p>
        </w:tc>
        <w:tc>
          <w:tcPr>
            <w:tcW w:w="4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Boca Raton, Florida 33487</w:t>
            </w:r>
          </w:p>
        </w:tc>
        <w:tc>
          <w:tcPr>
            <w:tcW w:w="2220" w:type="dxa"/>
            <w:vAlign w:val="bottom"/>
          </w:tcPr>
          <w:p>
            <w:pPr>
              <w:spacing w:after="0"/>
              <w:rPr>
                <w:sz w:val="18"/>
                <w:szCs w:val="18"/>
                <w:color w:val="auto"/>
              </w:rPr>
            </w:pPr>
          </w:p>
        </w:tc>
      </w:tr>
      <w:tr>
        <w:trPr>
          <w:trHeight w:val="236"/>
        </w:trPr>
        <w:tc>
          <w:tcPr>
            <w:tcW w:w="2620" w:type="dxa"/>
            <w:vAlign w:val="bottom"/>
          </w:tcPr>
          <w:p>
            <w:pPr>
              <w:spacing w:after="0"/>
              <w:rPr>
                <w:sz w:val="20"/>
                <w:szCs w:val="20"/>
                <w:color w:val="auto"/>
              </w:rPr>
            </w:pP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offices)(Zip Code)</w:t>
            </w:r>
          </w:p>
        </w:tc>
        <w:tc>
          <w:tcPr>
            <w:tcW w:w="2220" w:type="dxa"/>
            <w:vAlign w:val="bottom"/>
          </w:tcPr>
          <w:p>
            <w:pPr>
              <w:spacing w:after="0"/>
              <w:rPr>
                <w:sz w:val="20"/>
                <w:szCs w:val="20"/>
                <w:color w:val="auto"/>
              </w:rPr>
            </w:pPr>
          </w:p>
        </w:tc>
      </w:tr>
      <w:tr>
        <w:trPr>
          <w:trHeight w:val="304"/>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(561) 998-2232</w:t>
            </w:r>
          </w:p>
        </w:tc>
        <w:tc>
          <w:tcPr>
            <w:tcW w:w="2220" w:type="dxa"/>
            <w:vAlign w:val="bottom"/>
          </w:tcPr>
          <w:p>
            <w:pPr>
              <w:spacing w:after="0"/>
              <w:rPr>
                <w:sz w:val="24"/>
                <w:szCs w:val="24"/>
                <w:color w:val="auto"/>
              </w:rPr>
            </w:pPr>
          </w:p>
        </w:tc>
      </w:tr>
      <w:tr>
        <w:trPr>
          <w:trHeight w:val="236"/>
        </w:trPr>
        <w:tc>
          <w:tcPr>
            <w:tcW w:w="262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220" w:type="dxa"/>
            <w:vAlign w:val="bottom"/>
          </w:tcPr>
          <w:p>
            <w:pPr>
              <w:spacing w:after="0"/>
              <w:rPr>
                <w:sz w:val="20"/>
                <w:szCs w:val="20"/>
                <w:color w:val="auto"/>
              </w:rPr>
            </w:pPr>
          </w:p>
        </w:tc>
      </w:tr>
    </w:tbl>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o No</w:t>
      </w:r>
    </w:p>
    <w:p>
      <w:pPr>
        <w:spacing w:after="0" w:line="71"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5" w:lineRule="exact"/>
        <w:rPr>
          <w:sz w:val="24"/>
          <w:szCs w:val="24"/>
          <w:color w:val="auto"/>
        </w:rPr>
      </w:pPr>
    </w:p>
    <w:p>
      <w:pPr>
        <w:jc w:val="center"/>
        <w:ind w:right="-59"/>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2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32,984,741 shares of Common Stock, par value $0.0001 per share, as of July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52" w:right="27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2015, as filed and updated in our Quarterly Reports on Form 10-Q and other filings with the Securities and Exchange Commission.</w:t>
      </w:r>
    </w:p>
    <w:p>
      <w:pPr>
        <w:spacing w:after="0" w:line="1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firstLine="8"/>
        <w:spacing w:after="0" w:line="255"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JUNE 30, 2016</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w w:val="93"/>
              </w:rPr>
              <w:t>PAGE</w:t>
            </w:r>
          </w:p>
        </w:tc>
      </w:tr>
      <w:tr>
        <w:trPr>
          <w:trHeight w:val="500"/>
        </w:trPr>
        <w:tc>
          <w:tcPr>
            <w:tcW w:w="3020" w:type="dxa"/>
            <w:vAlign w:val="bottom"/>
            <w:gridSpan w:val="10"/>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Financial Statements</w:t>
              </w:r>
            </w:hyperlink>
          </w:p>
        </w:tc>
        <w:tc>
          <w:tcPr>
            <w:tcW w:w="2080" w:type="dxa"/>
            <w:vAlign w:val="bottom"/>
            <w:gridSpan w:val="4"/>
          </w:tcPr>
          <w:p>
            <w:pPr>
              <w:jc w:val="center"/>
              <w:ind w:left="1790"/>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(Unaudited)</w:t>
              </w:r>
            </w:hyperlink>
          </w:p>
        </w:tc>
        <w:tc>
          <w:tcPr>
            <w:tcW w:w="2080" w:type="dxa"/>
            <w:vAlign w:val="bottom"/>
            <w:gridSpan w:val="4"/>
          </w:tcPr>
          <w:p>
            <w:pPr>
              <w:jc w:val="center"/>
              <w:ind w:left="1790"/>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(Unaudited)</w:t>
              </w:r>
            </w:hyperlink>
          </w:p>
        </w:tc>
        <w:tc>
          <w:tcPr>
            <w:tcW w:w="2080" w:type="dxa"/>
            <w:vAlign w:val="bottom"/>
            <w:gridSpan w:val="4"/>
          </w:tcPr>
          <w:p>
            <w:pPr>
              <w:jc w:val="center"/>
              <w:ind w:left="179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(Loss)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21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Quantitative and Qualitative Disclosures About Market Risk</w:t>
              </w:r>
            </w:hyperlink>
          </w:p>
        </w:tc>
        <w:tc>
          <w:tcPr>
            <w:tcW w:w="2080" w:type="dxa"/>
            <w:vAlign w:val="bottom"/>
            <w:gridSpan w:val="4"/>
          </w:tcPr>
          <w:p>
            <w:pPr>
              <w:jc w:val="center"/>
              <w:ind w:left="1810"/>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4.</w:t>
              </w:r>
            </w:hyperlink>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Controls and Procedures</w:t>
              </w:r>
            </w:hyperlink>
          </w:p>
        </w:tc>
        <w:tc>
          <w:tcPr>
            <w:tcW w:w="2080" w:type="dxa"/>
            <w:vAlign w:val="bottom"/>
            <w:gridSpan w:val="4"/>
          </w:tcPr>
          <w:p>
            <w:pPr>
              <w:jc w:val="center"/>
              <w:ind w:left="1810"/>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PART II. – OTHER INFORMATION</w:t>
              </w:r>
            </w:hyperlink>
          </w:p>
        </w:tc>
        <w:tc>
          <w:tcPr>
            <w:tcW w:w="2080" w:type="dxa"/>
            <w:vAlign w:val="bottom"/>
            <w:gridSpan w:val="4"/>
          </w:tcPr>
          <w:p>
            <w:pPr>
              <w:jc w:val="center"/>
              <w:ind w:left="181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1.</w:t>
              </w:r>
            </w:hyperlink>
          </w:p>
        </w:tc>
        <w:tc>
          <w:tcPr>
            <w:tcW w:w="1760" w:type="dxa"/>
            <w:vAlign w:val="bottom"/>
            <w:gridSpan w:val="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Risk Factors</w:t>
              </w:r>
            </w:hyperlink>
          </w:p>
        </w:tc>
        <w:tc>
          <w:tcPr>
            <w:tcW w:w="2080" w:type="dxa"/>
            <w:vAlign w:val="bottom"/>
            <w:gridSpan w:val="4"/>
          </w:tcPr>
          <w:p>
            <w:pPr>
              <w:jc w:val="center"/>
              <w:ind w:left="181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6.</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Exhibits</w:t>
              </w:r>
            </w:hyperlink>
          </w:p>
        </w:tc>
        <w:tc>
          <w:tcPr>
            <w:tcW w:w="2080" w:type="dxa"/>
            <w:vAlign w:val="bottom"/>
            <w:gridSpan w:val="4"/>
          </w:tcPr>
          <w:p>
            <w:pPr>
              <w:jc w:val="center"/>
              <w:ind w:left="181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38</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Times New Roman" w:cs="Times New Roman" w:eastAsia="Times New Roman" w:hAnsi="Times New Roman"/>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0"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allowances of $3,577 in 2016 and $4,045 in 2015</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144,611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146,873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4,521</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2,032</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164,435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158,745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$41,194 in 2016 and $39,368 in 2015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10,470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95,096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 of accumulated amortization of $42,567 in 2016 and $39,754 in 2015 (excluding goodwill)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82,914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Debt issuance costs,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17,994</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344,366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365,595</w:t>
            </w:r>
          </w:p>
        </w:tc>
      </w:tr>
      <w:tr>
        <w:trPr>
          <w:trHeight w:val="230"/>
        </w:trPr>
        <w:tc>
          <w:tcPr>
            <w:tcW w:w="8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38,224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41,098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29,402</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and capital lease obligations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8,071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purchase price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2,184</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5,291</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73,922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86,046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and capital lease obligations, less current portion</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77,738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81,301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18,475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accrued claims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30,070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4,826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224,251</w:t>
            </w:r>
          </w:p>
        </w:tc>
      </w:tr>
      <w:tr>
        <w:trPr>
          <w:trHeight w:val="243"/>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254,108</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(112,056)</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Cross Country Healthcare stockholders'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143,807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140,848</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144,277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141,344</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365,595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199,443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192,617</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396,026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378,581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144,597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144,254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290,134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283,181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40,891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82,057</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216,459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188,295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407,877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370,539</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derivative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6,972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5,730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r>
        <w:trPr>
          <w:trHeight w:val="297"/>
        </w:trPr>
        <w:tc>
          <w:tcPr>
            <w:tcW w:w="5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5,507</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income per share attributable to common shareholders - 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income per share attributable to common shareholders - 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31,398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32,021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31,346</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32,085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32,040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36,194</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35,508</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3"/>
                <w:szCs w:val="23"/>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5,730</w:t>
            </w:r>
          </w:p>
        </w:tc>
      </w:tr>
      <w:tr>
        <w:trPr>
          <w:trHeight w:val="297"/>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loss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35"/>
        </w:trPr>
        <w:tc>
          <w:tcPr>
            <w:tcW w:w="59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5,712</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5,489</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 and debt issuance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derivative liability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non-cash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5,997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settlements - Medical Staffing Network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settlements - Mediscan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 on Senior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Second Lien Term Loan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fees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 to noncontrolling shareholder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176"/>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2016.</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2015 included in the Company’s Annual Report on Form 10-K as filed with the Securities and Exchange Commission. The December 31, 2015 condensed consolidated balance sheet included herein was derived from the December 31, 2015 audited consolidated balance sheet included in the Company’s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See Note 11 - Segment Data.</w:t>
      </w:r>
    </w:p>
    <w:p>
      <w:pPr>
        <w:spacing w:after="0" w:line="221" w:lineRule="exact"/>
        <w:rPr>
          <w:sz w:val="20"/>
          <w:szCs w:val="20"/>
          <w:color w:val="auto"/>
        </w:rPr>
      </w:pPr>
    </w:p>
    <w:p>
      <w:pPr>
        <w:ind w:right="6000" w:firstLine="8"/>
        <w:spacing w:after="0" w:line="503" w:lineRule="auto"/>
        <w:tabs>
          <w:tab w:leader="none" w:pos="64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condensed consolidated financial statements and accompanying notes. Estimates are used for, but not limited to, the valuation of accounts receivable, goodwill and intangible assets, other long-lived assets, share-based compensation, accruals for health, workers’ compensation and professional liability claims, valuation of deferred tax assets and the purchase price allocation, derivative liability, legal contingencies, future contingent considerations, income taxes and sales and other non-income tax liabilities. Accrued insurance claims and reserves include estimated settlements from known claims and actuarial estimates for claims incurred but not reported. Actual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w:t>
      </w:r>
    </w:p>
    <w:p>
      <w:pPr>
        <w:spacing w:after="0" w:line="22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2015, the Financial Accounting Standards Board (FASB) issued Accounting Standards Update (ASU) No. 2015-16,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805), Simplifying the Accounting for Measurement-Period Adjustments. </w:t>
      </w:r>
      <w:r>
        <w:rPr>
          <w:rFonts w:ascii="Times New Roman" w:cs="Times New Roman" w:eastAsia="Times New Roman" w:hAnsi="Times New Roman"/>
          <w:sz w:val="18"/>
          <w:szCs w:val="18"/>
          <w:color w:val="auto"/>
        </w:rPr>
        <w:t>This ASU requires that an acquirer recognize adjustments to provisional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that are identified during the measurement period in the reporting period in which the adjustment amounts are determined. Prior to the issuance of the ASU, entities were required to retrospectively apply adjustments made to provisional amounts recognized in a business combination. The Company adopted this guidance in the first quarter of 2016, with no impact on its financial position and results of operations upon adoption. This new guidance may impact the Company for potential measurement adjustments related to its 2015 acquisition. See Note 3 - Acquisitions.</w:t>
      </w:r>
    </w:p>
    <w:p>
      <w:pPr>
        <w:spacing w:after="0" w:line="18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2015-05, </w:t>
      </w:r>
      <w:r>
        <w:rPr>
          <w:rFonts w:ascii="Times New Roman" w:cs="Times New Roman" w:eastAsia="Times New Roman" w:hAnsi="Times New Roman"/>
          <w:sz w:val="18"/>
          <w:szCs w:val="18"/>
          <w:i w:val="1"/>
          <w:iCs w:val="1"/>
          <w:color w:val="auto"/>
        </w:rPr>
        <w:t>Intangibles - Goodwill and Other-Internal-Use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 Paid in a Cloud Computing Arrangement</w:t>
      </w:r>
      <w:r>
        <w:rPr>
          <w:rFonts w:ascii="Times New Roman" w:cs="Times New Roman" w:eastAsia="Times New Roman" w:hAnsi="Times New Roman"/>
          <w:sz w:val="18"/>
          <w:szCs w:val="18"/>
          <w:color w:val="auto"/>
        </w:rPr>
        <w:t>, to help entities evaluate the accounting for fees paid by a customer in a cloud computing arrangement.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provides guidance to customers about whether a cloud computing arrangement includes a software license. If a cloud computing arrangement includes a software license element, then the customer should account for the software license element arrangement consistent with the acquisition of other software licenses. If a cloud computing arrangement does not include a software license, the customer should account for the arrangement as a service contract. The Company prospectively adopted this guidance in the first quarter of 2016, with no impact on adoption.</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360" w:right="299" w:bottom="1440" w:gutter="0" w:footer="0" w:header="0"/>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This guidance requires that debt issuance costs related to a recognized debt liability be presented in the balance sheet as a direct deduction from the carrying amount of that debt liability. The Company adopted this guidance in the first quarter of 2016, and reclassified $0.5 million of the Company's net debt issuance costs to long-term debt and capital lease obligations in its condensed consolidated balance sheets as of March 31, 2016 and December 31, 2015.</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Mediscan</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30, 2015, the Company completed the acquisition of all of the membership interests of New Mediscan II, LLC, Mediscan Diagnostic Services, LLC, and Mediscan Nursing Staffing, LLC (collectively "Mediscan") for a purchase price of $29.9 million in cash ($28.0 million plus working capital estimate) and $4.7 million in shares (or 349,871 shares) of the Company's Common Stock, subject to a net working capital adjustment. In the first quarter of 2016, the net working capital adjustment was settled consistent with the receivable balance as of December 31, 2015.</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sellers are also eligible to receive an earnout based on Mediscan's 2016 and 2017 performance that could provide up to an additional $7.0 million of cash. As of June 30, 2016, a total of $4.1 million was estimated as the fair value for this contingent consideration and accordingly, is included in other current liabilities and contingent consideration on the condensed consolidated balance sheets. See Note 9 - Fair Value Measurements. The shares of Common Stock issued in connection with the acquisition were subject to a lockup period, which ended April 30, 2016.</w:t>
      </w:r>
    </w:p>
    <w:p>
      <w:pPr>
        <w:spacing w:after="0" w:line="17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has been accounted for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using the acquisition method of accounting. Mediscan's results of operations are included in the consolidated statements of operations from October 30, 2015 and have been included in the Company's Nurse and Allied Staffing business segment. As such, the associated goodwill related to the acquisition is fully allocated to Nurse and Allied Staffing.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Staffing Network</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June 30, 2014, the Company acquired substantially all of the assets and certain liabilities of Medical Staffing Network Healthcare, LLC (MSN). Of the purchase price,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financial information approximates the consolidated results of operations of the Company as if the Mediscan acquisition had occurred as of January 1, 2015,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 among other adjustments that could be made in the future but are not factually supportable on the date of the transaction.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70"/>
        </w:trPr>
        <w:tc>
          <w:tcPr>
            <w:tcW w:w="530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June 30, 2015</w:t>
            </w:r>
          </w:p>
        </w:tc>
      </w:tr>
      <w:tr>
        <w:trPr>
          <w:trHeight w:val="27"/>
        </w:trPr>
        <w:tc>
          <w:tcPr>
            <w:tcW w:w="53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9"/>
        </w:trPr>
        <w:tc>
          <w:tcPr>
            <w:tcW w:w="5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2"/>
              <w:spacing w:after="0"/>
              <w:rPr>
                <w:sz w:val="20"/>
                <w:szCs w:val="20"/>
                <w:color w:val="auto"/>
              </w:rPr>
            </w:pPr>
            <w:r>
              <w:rPr>
                <w:rFonts w:ascii="Times New Roman" w:cs="Times New Roman" w:eastAsia="Times New Roman" w:hAnsi="Times New Roman"/>
                <w:sz w:val="16"/>
                <w:szCs w:val="16"/>
                <w:color w:val="auto"/>
              </w:rPr>
              <w:t>(unaudited, amounts in</w:t>
            </w:r>
          </w:p>
        </w:tc>
      </w:tr>
      <w:tr>
        <w:trPr>
          <w:trHeight w:val="210"/>
        </w:trPr>
        <w:tc>
          <w:tcPr>
            <w:tcW w:w="5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92"/>
              <w:spacing w:after="0"/>
              <w:rPr>
                <w:sz w:val="20"/>
                <w:szCs w:val="20"/>
                <w:color w:val="auto"/>
              </w:rPr>
            </w:pPr>
            <w:r>
              <w:rPr>
                <w:rFonts w:ascii="Times New Roman" w:cs="Times New Roman" w:eastAsia="Times New Roman" w:hAnsi="Times New Roman"/>
                <w:sz w:val="16"/>
                <w:szCs w:val="16"/>
                <w:color w:val="auto"/>
              </w:rPr>
              <w:t>thousands)</w:t>
            </w:r>
          </w:p>
        </w:tc>
      </w:tr>
      <w:tr>
        <w:trPr>
          <w:trHeight w:val="195"/>
        </w:trPr>
        <w:tc>
          <w:tcPr>
            <w:tcW w:w="53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4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399,389</w:t>
            </w:r>
          </w:p>
        </w:tc>
      </w:tr>
      <w:tr>
        <w:trPr>
          <w:trHeight w:val="189"/>
        </w:trPr>
        <w:tc>
          <w:tcPr>
            <w:tcW w:w="53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4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6,629</w:t>
            </w:r>
          </w:p>
        </w:tc>
      </w:tr>
      <w:tr>
        <w:trPr>
          <w:trHeight w:val="189"/>
        </w:trPr>
        <w:tc>
          <w:tcPr>
            <w:tcW w:w="53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 - Basic</w:t>
            </w:r>
          </w:p>
        </w:tc>
        <w:tc>
          <w:tcPr>
            <w:tcW w:w="4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w:t>
            </w:r>
          </w:p>
        </w:tc>
      </w:tr>
      <w:tr>
        <w:trPr>
          <w:trHeight w:val="189"/>
        </w:trPr>
        <w:tc>
          <w:tcPr>
            <w:tcW w:w="53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 - Diluted</w:t>
            </w:r>
          </w:p>
        </w:tc>
        <w:tc>
          <w:tcPr>
            <w:tcW w:w="4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r>
      <w:tr>
        <w:trPr>
          <w:trHeight w:val="675"/>
        </w:trPr>
        <w:tc>
          <w:tcPr>
            <w:tcW w:w="5300" w:type="dxa"/>
            <w:vAlign w:val="bottom"/>
          </w:tcPr>
          <w:p>
            <w:pPr>
              <w:spacing w:after="0"/>
              <w:rPr>
                <w:sz w:val="24"/>
                <w:szCs w:val="24"/>
                <w:color w:val="auto"/>
              </w:rPr>
            </w:pPr>
          </w:p>
        </w:tc>
        <w:tc>
          <w:tcPr>
            <w:tcW w:w="3840" w:type="dxa"/>
            <w:vAlign w:val="bottom"/>
          </w:tcPr>
          <w:p>
            <w:pPr>
              <w:jc w:val="right"/>
              <w:ind w:right="329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20"/>
          </w:cols>
          <w:pgMar w:left="240" w:top="578" w:right="239" w:bottom="1440" w:gutter="0" w:footer="0" w:header="0"/>
        </w:sectPr>
      </w:pPr>
    </w:p>
    <w:bookmarkStart w:id="9" w:name="page10"/>
    <w:bookmarkEnd w:id="9"/>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approximately $1.2 million at both June 30, 2016 and December 31, 2015.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income tax impact related to foreign currency translation adjustments for the three and six months ended June 30, 2016 and June 30, 2015.</w:t>
      </w:r>
    </w:p>
    <w:p>
      <w:pPr>
        <w:spacing w:after="0" w:line="22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(amounts in thousands, except per share data)</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shareholders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Convertible Notes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derivative liability</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shareholders - Diluted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31,398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31,346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of dilutive shares: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awards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43"/>
        </w:trPr>
        <w:tc>
          <w:tcPr>
            <w:tcW w:w="4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Convertible Notes</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32,040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35,508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 -</w:t>
            </w: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 -</w:t>
            </w: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1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2016 and 2015, the Convertible Notes would have been anti-dilutive if converted at the beginning of the respective periods and therefore, amounts are not applicable.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periods presented, no tax benefits have been assumed in the weighted average share calculation due to a full valuation allowance on the Company's deferred tax assets.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securities that could potentially dilute net income per share attributable to common shareholders in the future that were not included in the computation of diluted net income per share attributable to common shareholders because to do so would have been anti-dilutive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5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18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2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Convertible Notes and share-based awards</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4,146,517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3,725,326</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174,485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INTANGIBLES</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2016 and December 31, 2015, 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Databases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31,225</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15,148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31,225</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14,150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17,075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41,212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26,470</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 definite-lived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79,240</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41,232</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38,008</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85,232</w:t>
            </w:r>
          </w:p>
        </w:tc>
        <w:tc>
          <w:tcPr>
            <w:tcW w:w="2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38,419</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46,813</w:t>
            </w:r>
          </w:p>
        </w:tc>
        <w:tc>
          <w:tcPr>
            <w:tcW w:w="0" w:type="dxa"/>
            <w:vAlign w:val="bottom"/>
          </w:tcPr>
          <w:p>
            <w:pPr>
              <w:spacing w:after="0"/>
              <w:rPr>
                <w:sz w:val="1"/>
                <w:szCs w:val="1"/>
                <w:color w:val="auto"/>
              </w:rPr>
            </w:pPr>
          </w:p>
        </w:tc>
      </w:tr>
      <w:tr>
        <w:trPr>
          <w:trHeight w:val="27"/>
        </w:trPr>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Intangible assets not subject to</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77,376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95,096</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36,101</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112,878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131,197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2016, estimated annual amortization expense for continuing operations is as follows: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Through Year Ending December 31:</w:t>
            </w:r>
          </w:p>
        </w:tc>
        <w:tc>
          <w:tcPr>
            <w:tcW w:w="5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5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5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5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19,793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38,008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120" w:type="dxa"/>
            <w:vAlign w:val="bottom"/>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1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0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are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Other Human</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Nurse</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And Allied</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3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5"/>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2015</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364,717</w:t>
            </w: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CCE</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(259,732)</w:t>
            </w:r>
          </w:p>
        </w:tc>
      </w:tr>
      <w:tr>
        <w:trPr>
          <w:trHeight w:val="237"/>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95,096</w:t>
            </w: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4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to aggregate goodwill in 2016</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r>
      <w:tr>
        <w:trPr>
          <w:trHeight w:val="324"/>
        </w:trPr>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2016</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302,005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364,717</w:t>
            </w:r>
          </w:p>
        </w:tc>
      </w:tr>
      <w:tr>
        <w:trPr>
          <w:trHeight w:val="27"/>
        </w:trPr>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shd w:val="clear" w:color="auto" w:fill="CCEEFF"/>
              </w:rPr>
              <w:t>Sale of CCE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(277,452)</w:t>
            </w:r>
          </w:p>
        </w:tc>
      </w:tr>
      <w:tr>
        <w:trPr>
          <w:trHeight w:val="27"/>
        </w:trPr>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shd w:val="clear" w:color="auto" w:fill="CCEEFF"/>
              </w:rPr>
              <w:t>Goodwill, net of impairment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77,376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2016, total impairment charges on the condensed consolidated statement of operations were $24.3 million and entirely related to the Physician Staffing reporting unit. The impairment charges included $17.7 million related to goodwill, $0.6 million related to trade names, and $6.0 million related to customer relationships. In the second quarter of 2016, the Physician Staffing reporting unit continued to under-perform relative to management’s expectations. The lower than expected revenue was driven by lower booking volumes partly due to the loss of customers, and margins that were negatively impacted from continued investments in the business all through the first half of 2016. The Company considered these factors to be impairment indicators that warranted impairment testing of goodwill and other intangible assets as described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Goodwill Impairment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determine the fair value of the Physician Staffing reporting unit, the Company used a combination of an income and a market approach to calculate the fair value of the Physician Staffing reporting unit. The discounted cash flow that served as the primary basis for the income approach was based on the Company’s discrete financial forecast of revenue, gross profit margins, operating costs and cash flows. It also considered historical and estimated future results, general economic and market conditions, as well as the impact of planned business and operational strategies. The assumptions used in the income approach included a discount rate of 11.5% and a terminal value growth rate of 3.0% for cash flows beyond the discrete forecast period of ten years.</w:t>
      </w:r>
    </w:p>
    <w:p>
      <w:pPr>
        <w:spacing w:after="0" w:line="1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Assumptions used in the market approach included valuation multiples based on an analysis of multiples for comparable public companies. The Company utilized total enterprise value/Earnings before Interest Taxes Depreciation and Amortization (EBITDA) ranging from 7.5 to 8.5.</w:t>
      </w:r>
    </w:p>
    <w:p>
      <w:pPr>
        <w:spacing w:after="0" w:line="8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50% weighting was applied to the components of each approach to estimate the total fair value of goodwill. This weight is an estimate by management and was developed based on the specific characteristics, risks and uncertainties of the Physician Staffing reporting unit.</w:t>
      </w:r>
    </w:p>
    <w:p>
      <w:pPr>
        <w:spacing w:after="0" w:line="8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a result of the testing, the Company compared the implied fair value of goodwill to its carrying amount and recorded a non-cash pre tax goodwill impairment charge of $17.7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2016 Other Intangible Asset Impairment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Names</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valued the Physician Staffing trade names based on a Relief From Royalty methodology using projected cash flows of an estimated royalty fee. The royalty rate was determined by a blended rate using the Market Royalty Rate Method and the Apportionment of Profit Method. The calculated value of the trade names was compared to its carrying amount and, as a result, the Company recorded a non-cash pre tax impairment charge of $0.6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Relationships</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valued the Physician Staffing customer relationships based on the Multi-Period Excess Earnings Method (MPEEM). The MPEEM estimates the fair value based on the present value of the allocated future economic benefits. The inputs include the projected revenue and associated expenses from the customers, an estimated attrition rate, and a discount rate of 13.5%. The Company performed a recoverability test on the asset group which customers are a part of and deemed customer relationships to be impaired. As a result, the calculated value of customer relationships was compared to its carrying amount and the Company recorded a non-cash pre tax impairment charge of $6.0 million.</w:t>
      </w:r>
    </w:p>
    <w:p>
      <w:pPr>
        <w:spacing w:after="0" w:line="1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based its fair value estimates on assumptions it believed to be reasonable, but such assumptions are subject to inherent uncertainty. Actual results may differ from those estimates.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 Fair Value Measurements.</w:t>
      </w:r>
    </w:p>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2016 and December 31, 2015, 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240" w:type="dxa"/>
            <w:vAlign w:val="bottom"/>
          </w:tcPr>
          <w:p>
            <w:pPr>
              <w:spacing w:after="0"/>
              <w:rPr>
                <w:sz w:val="20"/>
                <w:szCs w:val="20"/>
                <w:color w:val="auto"/>
              </w:rPr>
            </w:pPr>
          </w:p>
        </w:tc>
        <w:tc>
          <w:tcPr>
            <w:tcW w:w="2600" w:type="dxa"/>
            <w:vAlign w:val="bottom"/>
            <w:gridSpan w:val="4"/>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Unamortized</w:t>
            </w: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Discount and Debt</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Discount and Debt</w:t>
            </w:r>
          </w:p>
        </w:tc>
      </w:tr>
      <w:tr>
        <w:trPr>
          <w:trHeight w:val="212"/>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Issuance Costs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8"/>
                <w:szCs w:val="18"/>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Issuance Costs</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(amounts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interest 2.71% at June 30, 2016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Asset-Based, weighted average interest 2.41% at</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Second Lien Term Loan, interest 5.75% at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Notes, fixed rate interest of 8.00%</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Convertible Notes derivative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83,486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88,360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6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2016, the aggregate scheduled maturities of debt are as follows: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94"/>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18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Capital Leases</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in thousands)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Through Years Ending December 31:</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At December 31, 2015, the Company had a senior secured asset-based revolving credit facility ("First Lien Loan"), with a termination date of June 30, 2017, in the aggregate principal amount of up to $85.0 million, which included a subfacility for swingline loans up to an amount equal to 10% of the aggregate Revolver Commitments, as defined in the agreement, and a $35.0 million subfacility for standby letters of credit. The Company also had a five-year second lien term loan facility ("Second Lien Term Loan") in an aggregate principal amount of $30.0 million. The Company had the ability, at its option at any time, to prepay the Second Lien Term Loan in whole or in part at the redemption prices set forth therein, which range from 103% of the principal amount thereof for prepayments during the period July 1, 2015 through June 30, 2016, 102% of the principal amount thereof for prepayments during the period July 1, 2016 through June 30, 2017, and 100% of the principal amount thereof for prepayments after June 30, 2017.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Senior Credit Facilities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22, 2016, the Company entered into a senior credit agreement (“Credit Agreement”), which provides a term loan of $40.0 million ("Term Loan") and a revolving credit facility of up to $100.0 million ("Revolving Credit Facility") (together with the Term Loan, the "Senior Credit Facilities") both of which mature in five years. The Revolving Credit Facility includes a subfacility for swingline loans up to an amount not to exceed $15.0 million, and a $35.0 million sublimit for the issuance of standby letters of credit. The Credit Agreement also includes a provision permitting the Company, subject to certain conditions, to increase the aggregate amount of the commitments under the Revolving Credit Facility or establish one or more additional term loans in an aggregate amount of up to $50.0 million with optional additional commitments from existing lenders or new commitments from additional lenders. The Term Loan is payable in quarterly installments, with the first payment due September 30, 2016, and each such installment being in the aggregate principal amount (subject to adjustment as a result of prepayments) equal to 1.25% of the principal amount for the first four installments, 1.875% for the next eight installments and 2.50% of the principal amount for the remaining installments.</w:t>
      </w:r>
    </w:p>
    <w:p>
      <w:pPr>
        <w:spacing w:after="0" w:line="108"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Proceeds of the Senior Credit Facilities were used primarily to refinance the Company’s First Lien Loan and Second Lien Term Loan and to pay related transaction fees and expenses, including a prepayment penalty of $0.6 million. In addition, as of June 22, 2016, $23.1 million of standby letters of credit issued under the First Lien Loan have been rolled into and been deemed issued under the Revolving Credit Facility. The Revolving Credit Facility can be used to provide ongoing working capital, fund permitted acquisitions and for other general corporate purposes of the Company and its subsidiaries.</w:t>
      </w:r>
    </w:p>
    <w:p>
      <w:pPr>
        <w:spacing w:after="0" w:line="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repayment of the Second Lien Term Loan was treated as extinguishment of debt and, as a result, the Company recognized a loss on extinguishment of debt of approximately $1.6 million in the second quarter of 2016, related to the write-off of unamortized net debt discount and issuance costs as well as transaction fees and expenses.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Subject to the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4"/>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rPr>
              <w:t>Eurodollar Loans, LIBOR</w:t>
            </w:r>
          </w:p>
        </w:tc>
        <w:tc>
          <w:tcPr>
            <w:tcW w:w="21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Index Rate Loans and</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8"/>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Level</w:t>
            </w: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Consolidated Net Leverage Ratio</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Letter of Credit Fee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w w:val="99"/>
              </w:rPr>
              <w:t>Base Rate Loans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404040"/>
              </w:rPr>
              <w:t>Commitment Fee</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I</w:t>
            </w: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Less than 1.50:1.00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1.75%</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0.75%</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0.25%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18"/>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Greater than or equal to 1.50:1.00</w:t>
            </w:r>
          </w:p>
        </w:tc>
        <w:tc>
          <w:tcPr>
            <w:tcW w:w="2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II</w:t>
            </w: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but less than 2.00:1.00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2.00%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1.00%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18"/>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Greater than or equal to 2.00:1.00</w:t>
            </w:r>
          </w:p>
        </w:tc>
        <w:tc>
          <w:tcPr>
            <w:tcW w:w="2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III</w:t>
            </w: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but less than 2.50:1.00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2.25%</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1.25%</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18"/>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Greater than or equal to 2.50:1.00</w:t>
            </w:r>
          </w:p>
        </w:tc>
        <w:tc>
          <w:tcPr>
            <w:tcW w:w="2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4"/>
              </w:rPr>
              <w:t>IV</w:t>
            </w: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but less than 3.00:1.00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2.50%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1.50%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0.35%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V</w:t>
            </w: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9"/>
              </w:rPr>
              <w:t>Greater than or equal to 3.00:1.00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rPr>
              <w:t>2.75%</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1.75%</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04040"/>
                <w:w w:val="98"/>
              </w:rPr>
              <w:t>0.40%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2016, the Term Loan and Revolving Credit Facility bore interest at a rate equal to One Month LIBOR plus 225 basis points. The interest rate is subject to an increase of 200 basis points if an event of default exists under the Credit Agreement. The Company is required to pay a commitment fee on the average daily unused portion of the Revolving Credit Facility, based on the Applicable Margin which, as of June 30, 2016, was 0.30%.</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Senior Credit Facilities under certain circumstances including from net cash proceeds from asset sales or dispositions in excess of certain thresholds, as well as from net cash proceeds from the issuance of certain debt by the Company.</w:t>
      </w:r>
    </w:p>
    <w:p>
      <w:pPr>
        <w:spacing w:after="0" w:line="18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The Credit Agreement contains customary representations, warranties, and affirmative covenants. The Credit Agreement also contains customary negative covenants, subject to some exceptions, on (i) indebtedness and preferred equity, (ii) liens, (iii) fundamental changes, (iv) investments, (v) restricted payments, and (vi) sale of assets and certain other restrictive agreements. The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 The Credit Agreement also includes two financial covenants, commencing with the fiscal quarter ending September 30, 2016: (i) limiting the Company’s maximum Consolidated Total Leverage ratio (as defined therein) to be no greater than 3.50:1.00 for the fiscal quarters ending September 30, 2016 through June 30, 2017, 3.25:1.00 for the fiscal quarters ending September 30, 2017 through June 30, 2018, and 3.00:1.00 for each fiscal quarter ending thereafter and as adjusted pursuant to a Qualified Permitted Acquisition (as defined therein); and, (ii) requiring a minimum Consolidated Fixed Charge Coverage ratio (as defined therein) as of the end of each fiscal quarter of 1.50:1.00.</w:t>
      </w:r>
    </w:p>
    <w:p>
      <w:pPr>
        <w:spacing w:after="0" w:line="17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all of the Company’s domestic wholly-owned subsidiaries. The obligations under the Credit Agreement are secured by a first-priority security interest in the Collateral (as defined therein).</w:t>
      </w:r>
    </w:p>
    <w:p>
      <w:pPr>
        <w:spacing w:after="0" w:line="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2016, the Company had $23.1 million letters of credit outstanding and $76.9 million available under the Revolving Credit Facility. The letters of credit relate to the Company’s workers’ compensation and professional liability insurance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June 30, 2016, the Convertible Notes are convertible at the option of the holders thereof at any time into shares of the Company’s common stock, par value $0.0001 per share (Common Stock), at an initial conversion price of $7.10 per share, or 3,521,126 shares of Common Stock. After three years from the issuance date, the Company has the right to force a conversion of the Convertible Notes if the volume-weighted average price (VWAP) per share of its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the Company will exchange, for the applicable conversion amount thereof a number of shares of Common Stock, with no maximum, on amount, equal to the amount determined by dividing (i) such conversion amount by (ii) the conversion price in effect at the time of conversion. No fractional shares of Common Stock will be issued</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40"/>
          </w:cols>
          <w:pgMar w:left="240" w:top="498" w:right="219" w:bottom="1440" w:gutter="0" w:footer="0" w:header="0"/>
        </w:sectPr>
      </w:pPr>
    </w:p>
    <w:bookmarkStart w:id="15" w:name="page16"/>
    <w:bookmarkEnd w:id="15"/>
    <w:p>
      <w:pPr>
        <w:ind w:right="40"/>
        <w:spacing w:after="0" w:line="282" w:lineRule="auto"/>
        <w:rPr>
          <w:sz w:val="20"/>
          <w:szCs w:val="20"/>
          <w:color w:val="auto"/>
        </w:rPr>
      </w:pPr>
      <w:r>
        <w:rPr>
          <w:rFonts w:ascii="Times New Roman" w:cs="Times New Roman" w:eastAsia="Times New Roman" w:hAnsi="Times New Roman"/>
          <w:sz w:val="18"/>
          <w:szCs w:val="18"/>
          <w:color w:val="auto"/>
        </w:rPr>
        <w:t>upon conversion of the Conversion Notes. In lieu of fractional shares, the Company shall pay cash in respect of each fractional share multiplied by the 30-day VWAP as of the closing of business on the Business Day immediately preceding the conversion date as well as any unpaid accrued interest.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8.00% per annum, payable in quarterly cash installments; provided, however, that, at the Company’s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the Company is not permitted to redeem the Convertible Notes until June 30, 2017. If the Company redeems the Convertible Notes on or after June 30, 2017, the Company is required to pay a premium of 15% of the amount of principal of the Convertible Notes redeemed.</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the Convertible Notes are redeemed prior to June 30, 2017, pursuant to a Prohibited Transaction, as defined by the agreement, the Company is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30-day VWAP per share of Common Stock multiplied by the number of shares of Common Stock that the redeemed Convertible Notes are then convertible into, with no maximum,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CONVERTIBLE NOTES DERIVATIVE LIABILITY</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Derivative financial instruments, as defined in ASC 815, </w:t>
      </w:r>
      <w:r>
        <w:rPr>
          <w:rFonts w:ascii="Times New Roman" w:cs="Times New Roman" w:eastAsia="Times New Roman" w:hAnsi="Times New Roman"/>
          <w:sz w:val="18"/>
          <w:szCs w:val="18"/>
          <w:i w:val="1"/>
          <w:iCs w:val="1"/>
          <w:color w:val="auto"/>
        </w:rPr>
        <w:t>Accounting for Derivative Financial Instruments and Hedging Activities</w:t>
      </w:r>
      <w:r>
        <w:rPr>
          <w:rFonts w:ascii="Times New Roman" w:cs="Times New Roman" w:eastAsia="Times New Roman" w:hAnsi="Times New Roman"/>
          <w:sz w:val="18"/>
          <w:szCs w:val="18"/>
          <w:color w:val="auto"/>
        </w:rPr>
        <w:t>, consist of financial instruments or other contracts that contain a notional amount and one or more underlyings (e.g. interest rate, security price or other variable), require no initial net investment and permit net settlement. Derivative financial instruments may be free-standing or embedded in other financial instruments. Further, derivative financial instruments are initially, and subsequently, measured at fair value and recorded as liabilities or, in rare instances, assets.</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financial instruments to hedge exposures to cash-flow, market or foreign-currency risks. However, the Company issued Convertible Notes with features that are either (i) not afforded equity classification, (ii) embody risks not clearly and closely related to host contracts, or (iii) may be net-cash settled by the counterparty. As required by ASC 815, in certain instances, these instruments are required to be carried as derivative liabilities, at fair value, in the financial statements.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Convertible Notes are subject to anti-dilution adjustments that allow for the reduction in the Conversion Price, as defined in the agreement, in the event the Company subsequently issues equity securities including Common Stock or any security convertible or exchangeable for shares of Common Stock for a price less than the current conversion price. In addition, the Convertible Notes allow the issuer to exercise optional redemption features and the holder to exercise an offer to purchase feature, under certain conditions. The Company accounted for the conversion option in accordance with ASC 815. Since this conversion feature is not considered to be solely indexed to the Company’s own stock the derivative was recorded as a liability in the line item long-term debt on the Company's condensed consolidated balance sheets. See Note 7 - Debt.</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Convertible Notes derivative liability is measured at fair value using a trinomial lattice model. The optional redemption features, along with the offer to purchase features are incorporated into the valuation model. Inputs into the model require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contains an anti-dilution adjustment, the probability that the Conversion Price of the Notes would decrease as the share price decreased is incorporated into the valuation calculation.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inputs into the valuation model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80" w:type="dxa"/>
            <w:vAlign w:val="bottom"/>
          </w:tcPr>
          <w:p>
            <w:pPr>
              <w:spacing w:after="0"/>
              <w:rPr>
                <w:sz w:val="18"/>
                <w:szCs w:val="18"/>
                <w:color w:val="auto"/>
              </w:rPr>
            </w:pPr>
          </w:p>
        </w:tc>
        <w:tc>
          <w:tcPr>
            <w:tcW w:w="194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June 30, 2016</w:t>
            </w:r>
          </w:p>
        </w:tc>
      </w:tr>
      <w:tr>
        <w:trPr>
          <w:trHeight w:val="33"/>
        </w:trPr>
        <w:tc>
          <w:tcPr>
            <w:tcW w:w="9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share price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$13.92</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price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rate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0.91%</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r>
    </w:tbl>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this derivative liability is primarily determined by fluctuations in our stock price. In addition, changes in our credit risk profile impact the fair value determination. As of June 30, 2016, a $1 increase or decrease in our stock price would result in a corresponding increase or decrease of approximately $3.3 million in the fair value of the derivative liability, and a 1% increase or decrease in interest rates would result in a corresponding increase or decrease of $0.8 million in the fair value of the derivative liability. These fluctuations result in a current period gain or loss that is presented on the condensed consolidated statements of operations as loss (gain) on derivative liability.</w:t>
      </w:r>
    </w:p>
    <w:p>
      <w:pPr>
        <w:spacing w:after="0" w:line="18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June 30, 2016 and December 31, 2015, the Company’s financial assets/liabilities required to be measured on a recurring basis were: contingent consideration receivable, deferred compensation liability included in other long-term liabilities, convertible notes derivative liability included in long-term debt and capital lease obligations, and contingent purchase price liabilities included in deferred purchase price on the condensed consolidated balance sheets.</w:t>
      </w:r>
    </w:p>
    <w:p>
      <w:pPr>
        <w:spacing w:after="0" w:line="17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Contingent consideration receivable</w:t>
      </w:r>
      <w:r>
        <w:rPr>
          <w:rFonts w:ascii="Times New Roman" w:cs="Times New Roman" w:eastAsia="Times New Roman" w:hAnsi="Times New Roman"/>
          <w:sz w:val="18"/>
          <w:szCs w:val="18"/>
          <w:color w:val="auto"/>
        </w:rPr>
        <w:t>—In connection with the sale of its education seminars business, Cross Country Education, LLC ("CCE"),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 related performance-based earnout as a contingent consideration receivable at December 31, 2015 for accounting purposes. The Company assigned no fair value to this earnout as of December 31, 2015 as the performance milestones were not met. The amount escrowed for this earnout was released to the buyer in the first quarter of 2016.</w:t>
      </w:r>
    </w:p>
    <w:p>
      <w:pPr>
        <w:spacing w:after="0" w:line="18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liability. The Company’s deferred compensation liability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publicly available indices that define the liability amounts, as per the plan documents.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Convertible Notes derivative liability</w:t>
      </w:r>
      <w:r>
        <w:rPr>
          <w:rFonts w:ascii="Times New Roman" w:cs="Times New Roman" w:eastAsia="Times New Roman" w:hAnsi="Times New Roman"/>
          <w:sz w:val="18"/>
          <w:szCs w:val="18"/>
          <w:color w:val="auto"/>
        </w:rPr>
        <w:t>—The Company utilizes Level 3 inputs to value its convertible notes derivative liability. See Note 8 - Convertible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Liability.</w:t>
      </w:r>
    </w:p>
    <w:p>
      <w:pPr>
        <w:spacing w:after="0" w:line="15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Contingent purchase price liabilities</w:t>
      </w:r>
      <w:r>
        <w:rPr>
          <w:rFonts w:ascii="Times New Roman" w:cs="Times New Roman" w:eastAsia="Times New Roman" w:hAnsi="Times New Roman"/>
          <w:sz w:val="18"/>
          <w:szCs w:val="18"/>
          <w:color w:val="auto"/>
        </w:rPr>
        <w:t>—Potential earnout payments related to the acquisition of Mediscan are contingent upon meeting certain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through 2019. See Note 3 - Acquisitions. The long-term portion of these liabilities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4" w:right="23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t>included in contingent consideration, and the short-term portion is included in other current liabilities on the condensed consolidated balance sheets. The Company utilized Level 3 inputs to value these contingent purchase price liabilities as significant unobservable inputs were used in the calculation of their fair value. Contingent consideration is recorded as a liability and measured at fair value using a discounted cash flow model in a Monte Carlo simulation setting, utilizing significant unobservable inputs, including the expected volatility of Mediscan gross profits and an estimated discount rate commensurate with the risks of the expected gross profit stream. Significant increases (decreases) in the volatility, or decreases (increases) in the discount rate would result in a significantly higher (lower) fair value, respectively, and commensurate changes to these liabilities. The fair value of contingent consideration and the associated liabilities will be adjusted to fair value at each reporting date until actual settlement occurs, with the changes in fair value and liability accretion reflected as acquisition-related contingent consideration on the condensed consolidated statements of operations.</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which follows summarizes the estimated fair value of the Company’s financial assets and liabilities measured on a recurring basis as of June 30, 2016 and December 31,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42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2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gridSpan w:val="3"/>
          </w:tcPr>
          <w:p>
            <w:pPr>
              <w:jc w:val="right"/>
              <w:ind w:right="153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(Level 1)</w:t>
            </w:r>
          </w:p>
        </w:tc>
        <w:tc>
          <w:tcPr>
            <w:tcW w:w="2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compensation</w:t>
            </w:r>
          </w:p>
        </w:tc>
        <w:tc>
          <w:tcPr>
            <w:tcW w:w="3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1,362</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(Level 3)</w:t>
            </w:r>
          </w:p>
        </w:tc>
        <w:tc>
          <w:tcPr>
            <w:tcW w:w="2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Convertible Notes derivative liability</w:t>
            </w:r>
          </w:p>
        </w:tc>
        <w:tc>
          <w:tcPr>
            <w:tcW w:w="3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20,472</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33,337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Contingent purchase price liabilities</w:t>
            </w:r>
          </w:p>
        </w:tc>
        <w:tc>
          <w:tcPr>
            <w:tcW w:w="3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4,139</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which follows reconciles the opening balances to the closing balances for fair value measurements categorized within Level 3 of the fair value hierarchy: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Contingent Purchase</w:t>
            </w:r>
          </w:p>
        </w:tc>
        <w:tc>
          <w:tcPr>
            <w:tcW w:w="320" w:type="dxa"/>
            <w:vAlign w:val="bottom"/>
          </w:tcPr>
          <w:p>
            <w:pPr>
              <w:spacing w:after="0"/>
              <w:rPr>
                <w:sz w:val="20"/>
                <w:szCs w:val="20"/>
                <w:color w:val="auto"/>
              </w:rPr>
            </w:pPr>
          </w:p>
        </w:tc>
        <w:tc>
          <w:tcPr>
            <w:tcW w:w="2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Price Liabilities (a)</w:t>
            </w:r>
          </w:p>
        </w:tc>
        <w:tc>
          <w:tcPr>
            <w:tcW w:w="320" w:type="dxa"/>
            <w:vAlign w:val="bottom"/>
          </w:tcPr>
          <w:p>
            <w:pPr>
              <w:spacing w:after="0"/>
              <w:rPr>
                <w:sz w:val="23"/>
                <w:szCs w:val="23"/>
                <w:color w:val="auto"/>
              </w:rPr>
            </w:pPr>
          </w:p>
        </w:tc>
        <w:tc>
          <w:tcPr>
            <w:tcW w:w="2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Derivative Liability</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gridSpan w:val="4"/>
          </w:tcPr>
          <w:p>
            <w:pPr>
              <w:jc w:val="right"/>
              <w:ind w:right="177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33,337</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gain for the period</w:t>
            </w:r>
          </w:p>
        </w:tc>
        <w:tc>
          <w:tcPr>
            <w:tcW w:w="280" w:type="dxa"/>
            <w:vAlign w:val="bottom"/>
          </w:tcPr>
          <w:p>
            <w:pPr>
              <w:spacing w:after="0"/>
              <w:rPr>
                <w:sz w:val="21"/>
                <w:szCs w:val="21"/>
                <w:color w:val="auto"/>
              </w:rPr>
            </w:pP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2016</w:t>
            </w:r>
          </w:p>
        </w:tc>
        <w:tc>
          <w:tcPr>
            <w:tcW w:w="2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16,901</w:t>
            </w:r>
          </w:p>
        </w:tc>
        <w:tc>
          <w:tcPr>
            <w:tcW w:w="0" w:type="dxa"/>
            <w:vAlign w:val="bottom"/>
          </w:tcPr>
          <w:p>
            <w:pPr>
              <w:spacing w:after="0"/>
              <w:rPr>
                <w:sz w:val="1"/>
                <w:szCs w:val="1"/>
                <w:color w:val="auto"/>
              </w:rPr>
            </w:pPr>
          </w:p>
        </w:tc>
      </w:tr>
      <w:tr>
        <w:trPr>
          <w:trHeight w:val="237"/>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28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loss for the period</w:t>
            </w:r>
          </w:p>
        </w:tc>
        <w:tc>
          <w:tcPr>
            <w:tcW w:w="28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30, 2016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4,139</w:t>
            </w:r>
          </w:p>
        </w:tc>
        <w:tc>
          <w:tcPr>
            <w:tcW w:w="2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hanging="652"/>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Mediscan acquisition on October 30, 2015. See Note 3 - Acquisitions. The key assumptions used to calculate the fair value of contingent consideration at the acquisition date remained consistent at June 30, 2016. Accretion expense is included as acquisition-related contingent consideration on the condensed consolidated statement of operations. Should the assumptions regarding probability of achievement of certain targets change in future periods, the change in fair value of the contingent consideration will be recognized, along with accretion expense, as acquisition-related contingent consideration.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Goodwill, trade names, and other identifiable intangible assets are reviewed for impairment annually, and whenever events or changes in circumstances indicate that the carrying value may not be recoverable. If the testing performed indicates that impairment has occurred, the Company records a non-cash impairment charge for the difference between the carrying amount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of the goodwill or other intangible assets and the implied fair value of the goodwill or other intangible assets in the period the determination is made.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total pre tax non-cash impairment charges of $24.3 million ($17.3 million after tax) related to its Physician Staffing reporting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Goodwill and Other Intangibles for more information about the fair value measurements and related inputs.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Physician Staffing goodwill and intangible assets required to be measured at fair value as of June 30,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610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40" w:type="dxa"/>
            <w:vAlign w:val="bottom"/>
          </w:tcPr>
          <w:p>
            <w:pPr>
              <w:spacing w:after="0"/>
              <w:rPr>
                <w:sz w:val="20"/>
                <w:szCs w:val="20"/>
                <w:color w:val="auto"/>
              </w:rPr>
            </w:pPr>
          </w:p>
        </w:tc>
      </w:tr>
      <w:tr>
        <w:trPr>
          <w:trHeight w:val="270"/>
        </w:trPr>
        <w:tc>
          <w:tcPr>
            <w:tcW w:w="328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June 30, 2016</w:t>
            </w:r>
          </w:p>
        </w:tc>
      </w:tr>
      <w:tr>
        <w:trPr>
          <w:trHeight w:val="27"/>
        </w:trPr>
        <w:tc>
          <w:tcPr>
            <w:tcW w:w="32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32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76"/>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
        </w:trPr>
        <w:tc>
          <w:tcPr>
            <w:tcW w:w="32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64"/>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25,685</w:t>
            </w:r>
          </w:p>
        </w:tc>
      </w:tr>
      <w:tr>
        <w:trPr>
          <w:trHeight w:val="20"/>
        </w:trPr>
        <w:tc>
          <w:tcPr>
            <w:tcW w:w="32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91"/>
        </w:trPr>
        <w:tc>
          <w:tcPr>
            <w:tcW w:w="3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58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15,000</w:t>
            </w:r>
          </w:p>
        </w:tc>
      </w:tr>
      <w:tr>
        <w:trPr>
          <w:trHeight w:val="251"/>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6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 The estimated fair value of the Company's new term loan facility approximates principal amount due to the short time span since the Company entered into the new Credit Agreement.</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carrying amounts and estimated fair value of the Company’s significant financial instruments that were not measured at fair value: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Carrying</w:t>
            </w:r>
          </w:p>
        </w:tc>
        <w:tc>
          <w:tcPr>
            <w:tcW w:w="540" w:type="dxa"/>
            <w:vAlign w:val="bottom"/>
          </w:tcPr>
          <w:p>
            <w:pPr>
              <w:spacing w:after="0"/>
              <w:rPr>
                <w:sz w:val="18"/>
                <w:szCs w:val="18"/>
                <w:color w:val="auto"/>
              </w:rPr>
            </w:pP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Fair</w:t>
            </w:r>
          </w:p>
        </w:tc>
        <w:tc>
          <w:tcPr>
            <w:tcW w:w="32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Carrying</w:t>
            </w:r>
          </w:p>
        </w:tc>
        <w:tc>
          <w:tcPr>
            <w:tcW w:w="640" w:type="dxa"/>
            <w:vAlign w:val="bottom"/>
          </w:tcPr>
          <w:p>
            <w:pPr>
              <w:spacing w:after="0"/>
              <w:rPr>
                <w:sz w:val="18"/>
                <w:szCs w:val="18"/>
                <w:color w:val="auto"/>
              </w:rPr>
            </w:pPr>
          </w:p>
        </w:tc>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Amount</w:t>
            </w:r>
          </w:p>
        </w:tc>
        <w:tc>
          <w:tcPr>
            <w:tcW w:w="540" w:type="dxa"/>
            <w:vAlign w:val="bottom"/>
          </w:tcPr>
          <w:p>
            <w:pPr>
              <w:spacing w:after="0"/>
              <w:rPr>
                <w:sz w:val="20"/>
                <w:szCs w:val="20"/>
                <w:color w:val="auto"/>
              </w:rPr>
            </w:pP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7"/>
              </w:rPr>
              <w:t>Value</w:t>
            </w:r>
          </w:p>
        </w:tc>
        <w:tc>
          <w:tcPr>
            <w:tcW w:w="320" w:type="dxa"/>
            <w:vAlign w:val="bottom"/>
          </w:tcPr>
          <w:p>
            <w:pPr>
              <w:spacing w:after="0"/>
              <w:rPr>
                <w:sz w:val="20"/>
                <w:szCs w:val="20"/>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Amount</w:t>
            </w:r>
          </w:p>
        </w:tc>
        <w:tc>
          <w:tcPr>
            <w:tcW w:w="6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20" w:type="dxa"/>
            <w:vAlign w:val="bottom"/>
            <w:gridSpan w:val="5"/>
          </w:tcPr>
          <w:p>
            <w:pPr>
              <w:ind w:left="540"/>
              <w:spacing w:after="0"/>
              <w:rPr>
                <w:sz w:val="20"/>
                <w:szCs w:val="20"/>
                <w:color w:val="auto"/>
              </w:rPr>
            </w:pPr>
            <w:r>
              <w:rPr>
                <w:rFonts w:ascii="Times New Roman" w:cs="Times New Roman" w:eastAsia="Times New Roman" w:hAnsi="Times New Roman"/>
                <w:sz w:val="16"/>
                <w:szCs w:val="16"/>
                <w:color w:val="auto"/>
              </w:rPr>
              <w:t>(amounts in thousands)</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Second Lien Term Loan,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28,948</w:t>
            </w: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30,600</w:t>
            </w:r>
          </w:p>
        </w:tc>
        <w:tc>
          <w:tcPr>
            <w:tcW w:w="0" w:type="dxa"/>
            <w:vAlign w:val="bottom"/>
          </w:tcPr>
          <w:p>
            <w:pPr>
              <w:spacing w:after="0"/>
              <w:rPr>
                <w:sz w:val="1"/>
                <w:szCs w:val="1"/>
                <w:color w:val="auto"/>
              </w:rPr>
            </w:pPr>
          </w:p>
        </w:tc>
      </w:tr>
      <w:tr>
        <w:trPr>
          <w:trHeight w:val="251"/>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Term Loan,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39,593</w:t>
            </w: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39,593</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Convertible Notes,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19,658</w:t>
            </w: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28,500</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18,993</w:t>
            </w: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23,250</w:t>
            </w:r>
          </w:p>
        </w:tc>
        <w:tc>
          <w:tcPr>
            <w:tcW w:w="0" w:type="dxa"/>
            <w:vAlign w:val="bottom"/>
          </w:tcPr>
          <w:p>
            <w:pPr>
              <w:spacing w:after="0"/>
              <w:rPr>
                <w:sz w:val="1"/>
                <w:szCs w:val="1"/>
                <w:color w:val="auto"/>
              </w:rPr>
            </w:pPr>
          </w:p>
        </w:tc>
      </w:tr>
      <w:tr>
        <w:trPr>
          <w:trHeight w:val="251"/>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Senior Secured Asset-Based Loan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64" w:right="239" w:bottom="1440" w:gutter="0" w:footer="0" w:header="0"/>
        </w:sectPr>
      </w:pPr>
    </w:p>
    <w:bookmarkStart w:id="19" w:name="page20"/>
    <w:bookmarkEnd w:id="19"/>
    <w:p>
      <w:pPr>
        <w:ind w:right="280"/>
        <w:spacing w:after="0" w:line="282" w:lineRule="auto"/>
        <w:rPr>
          <w:sz w:val="20"/>
          <w:szCs w:val="20"/>
          <w:color w:val="auto"/>
        </w:rPr>
      </w:pPr>
      <w:r>
        <w:rPr>
          <w:rFonts w:ascii="Times New Roman" w:cs="Times New Roman" w:eastAsia="Times New Roman" w:hAnsi="Times New Roman"/>
          <w:sz w:val="18"/>
          <w:szCs w:val="18"/>
          <w:color w:val="auto"/>
        </w:rPr>
        <w:t>particular negotiated contract terms. Overall, based on the large number of customers in differing geographic areas, primarily throughout the United States and its territories, the Company believes the concentration of credit risk is limited.</w:t>
      </w:r>
    </w:p>
    <w:p>
      <w:pPr>
        <w:spacing w:after="0" w:line="158" w:lineRule="exact"/>
        <w:rPr>
          <w:sz w:val="20"/>
          <w:szCs w:val="20"/>
          <w:color w:val="auto"/>
        </w:rPr>
      </w:pPr>
    </w:p>
    <w:p>
      <w:pPr>
        <w:ind w:right="8440" w:firstLine="8"/>
        <w:spacing w:after="0" w:line="503" w:lineRule="auto"/>
        <w:tabs>
          <w:tab w:leader="none" w:pos="64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Stock Repurchase Program</w:t>
      </w:r>
    </w:p>
    <w:p>
      <w:pPr>
        <w:spacing w:after="0" w:line="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2016 and 2015, the Company did not repurchase any shares of its Common Stock under its February 2008 Board authorization.</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June 30, 2016, the Company may purchase up to an additional 942,443 shares of Common Stock under the February 2008 Board authorization, subject to certain conditions in the Company's new Credit Agreement. The Company may repurchase up to an aggregate amount not to exceed $2.5 million in any fiscal year, or an unlimited amount if the Company meets certain conditions as described in its new Credit Agreement. At June 30, 2016, the Company had 32,198,575 shares of Common Stock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2016, 246,020 of restricted stock awards and 202,442 of performance stock awards were granted under the 2014 Omnibus Incentive Plan (2014 Plan) to the Company's non-employee Directors and management team. Pursuant to the 2014 Plan, the number of target shares that are issued for performance-based stock awards are determined based on the level of attainment of the targets. If the minimum level of performance is attained for the 2016 awards, restricted stock will be issued with a vesting date of December 31, 2018, subject to the employee’s continuing employment.</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first quarter of 2016, the Company's Compensation Committee of the Board of Directors approved a 100% level of attainment for the 2015 performance-based share awards, resulting in the issuance of 148,178 performance shares that will vest on December 31, 2017.</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2014 Plan for the six months ended June 30,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2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4"/>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7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470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restricted stock awards, January 1, 2016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586,488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234,138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246,020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202,442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restricted stock awards, June 30, 2016</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559,890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427,246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2016, $1.1 million and $1.8 million, respectively, was included in selling, general and administrative expenses related to share-based payments, and a net of 164,274 and 215,365 shares, respectively, of Common Stock were issued upon the vesting of restricted stock.</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2015, $0.8 million and $1.2 million, respectively, was included in selling, general and administrative expenses related to share-based payments, and a net of 165,842 and 180,301 shares, respectively, of Common Stock were issued upon the vesting of restricted stock.</w:t>
      </w:r>
    </w:p>
    <w:p>
      <w:pPr>
        <w:spacing w:after="0" w:line="17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4" w:right="239" w:bottom="1440" w:gutter="0" w:footer="0" w:header="0"/>
        </w:sectPr>
      </w:pPr>
    </w:p>
    <w:bookmarkStart w:id="20" w:name="page21"/>
    <w:bookmarkEnd w:id="20"/>
    <w:p>
      <w:pPr>
        <w:ind w:left="660" w:right="60" w:hanging="328"/>
        <w:spacing w:after="0" w:line="25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provides traditional staffing, including temporary and permanent placement of travel nurses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allied professionals and branch-based local nurses and allied staffing. Its clients include: public and private acute-care and non-acute care hospitals, government facilities, public schools and charter schools, outpatient clinics, ambulatory care facilities, physician practice groups, retailers, and many other healthcare providers throughout the U.S. The results of the Mediscan acquisition have been aggregated with the Company's Nurse and Allied Staffing business segment. See Note 3 - Acquisitions.</w:t>
      </w:r>
    </w:p>
    <w:p>
      <w:pPr>
        <w:spacing w:after="0" w:line="179" w:lineRule="exact"/>
        <w:rPr>
          <w:rFonts w:ascii="Times New Roman" w:cs="Times New Roman" w:eastAsia="Times New Roman" w:hAnsi="Times New Roman"/>
          <w:sz w:val="18"/>
          <w:szCs w:val="18"/>
          <w:color w:val="auto"/>
        </w:rPr>
      </w:pPr>
    </w:p>
    <w:p>
      <w:pPr>
        <w:jc w:val="both"/>
        <w:ind w:left="660" w:right="100" w:hanging="328"/>
        <w:spacing w:after="0" w:line="26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provides physicians in many specialties, certified registered nurse anesthetists (CRNAs), nurse practitioners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(NPs), and physician assistants (PAs) as independent contractors on temporary assignments throughout the U.S. at various healthcare facilities, such as acute and non-acute care facilities, medical group practices, government facilities, and managed care organizations.</w:t>
      </w:r>
    </w:p>
    <w:p>
      <w:pPr>
        <w:spacing w:after="0" w:line="173" w:lineRule="exact"/>
        <w:rPr>
          <w:rFonts w:ascii="Times New Roman" w:cs="Times New Roman" w:eastAsia="Times New Roman" w:hAnsi="Times New Roman"/>
          <w:sz w:val="18"/>
          <w:szCs w:val="18"/>
          <w:color w:val="auto"/>
        </w:rPr>
      </w:pPr>
    </w:p>
    <w:p>
      <w:pPr>
        <w:ind w:left="660" w:right="440" w:hanging="328"/>
        <w:spacing w:after="0" w:line="315"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Other Human Capital Management Services </w:t>
      </w:r>
      <w:r>
        <w:rPr>
          <w:rFonts w:ascii="Times New Roman" w:cs="Times New Roman" w:eastAsia="Times New Roman" w:hAnsi="Times New Roman"/>
          <w:sz w:val="17"/>
          <w:szCs w:val="17"/>
          <w:color w:val="auto"/>
        </w:rPr>
        <w:t>– Subsequent to the sale of CCE on August 31, 2015, Other Human Capital Management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includes retained and contingent search services for physicians, healthcare executives and other healthcare professionals within the U.S.</w:t>
      </w:r>
    </w:p>
    <w:p>
      <w:pPr>
        <w:spacing w:after="0" w:line="1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(loss)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(amounts in thousands)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172,048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152,677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340,813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29,794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57,141</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19,651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192,617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396,026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378,581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income: (a)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 (b)</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17,615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29,416</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 corporate overhead (b)</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4,322</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defines contribution income as income or loss from operations before depreciation, amortization, acquisition and integration costs, acquisition-related contingent consideration, restructuring costs, impairment charges and corporate expenses not specifically identified to a reporting segment. Contribution income is a financial measure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62" w:right="239" w:bottom="1440" w:gutter="0" w:footer="0" w:header="0"/>
        </w:sectPr>
      </w:pPr>
    </w:p>
    <w:bookmarkStart w:id="21" w:name="page22"/>
    <w:bookmarkEnd w:id="21"/>
    <w:p>
      <w:pPr>
        <w:ind w:left="660" w:right="360"/>
        <w:spacing w:after="0" w:line="331" w:lineRule="auto"/>
        <w:rPr>
          <w:sz w:val="20"/>
          <w:szCs w:val="20"/>
          <w:color w:val="auto"/>
        </w:rPr>
      </w:pPr>
      <w:r>
        <w:rPr>
          <w:rFonts w:ascii="Times New Roman" w:cs="Times New Roman" w:eastAsia="Times New Roman" w:hAnsi="Times New Roman"/>
          <w:sz w:val="18"/>
          <w:szCs w:val="18"/>
          <w:color w:val="auto"/>
        </w:rPr>
        <w:t xml:space="preserve">used by management when assessing segment performance and is provided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w:t>
      </w:r>
    </w:p>
    <w:p>
      <w:pPr>
        <w:spacing w:after="0" w:line="133" w:lineRule="exact"/>
        <w:rPr>
          <w:sz w:val="20"/>
          <w:szCs w:val="20"/>
          <w:color w:val="auto"/>
        </w:rPr>
      </w:pPr>
    </w:p>
    <w:p>
      <w:pPr>
        <w:ind w:left="660" w:right="24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2015, $0.3 million and $0.6 million, respectively, of expenses was reclassified from Nurse and Allied Staffing to unallocated corporate overhead to conform to the current period presentation.</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4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as of June 30, 2016, associated with these agreements with terms of one year or more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Through Year Ending December 31:</w:t>
            </w:r>
          </w:p>
        </w:tc>
        <w:tc>
          <w:tcPr>
            <w:tcW w:w="280" w:type="dxa"/>
            <w:vAlign w:val="bottom"/>
          </w:tcPr>
          <w:p>
            <w:pPr>
              <w:spacing w:after="0"/>
              <w:rPr>
                <w:sz w:val="20"/>
                <w:szCs w:val="20"/>
                <w:color w:val="auto"/>
              </w:rPr>
            </w:pPr>
          </w:p>
        </w:tc>
        <w:tc>
          <w:tcPr>
            <w:tcW w:w="2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w:t>
            </w:r>
          </w:p>
        </w:tc>
      </w:tr>
      <w:tr>
        <w:trPr>
          <w:trHeight w:val="243"/>
        </w:trPr>
        <w:tc>
          <w:tcPr>
            <w:tcW w:w="8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6,541</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5,569</w:t>
            </w:r>
          </w:p>
        </w:tc>
      </w:tr>
      <w:tr>
        <w:trPr>
          <w:trHeight w:val="243"/>
        </w:trPr>
        <w:tc>
          <w:tcPr>
            <w:tcW w:w="8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4,365</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3,879</w:t>
            </w:r>
          </w:p>
        </w:tc>
      </w:tr>
      <w:tr>
        <w:trPr>
          <w:trHeight w:val="243"/>
        </w:trPr>
        <w:tc>
          <w:tcPr>
            <w:tcW w:w="8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15,489</w:t>
            </w:r>
          </w:p>
        </w:tc>
      </w:tr>
      <w:tr>
        <w:trPr>
          <w:trHeight w:val="27"/>
        </w:trPr>
        <w:tc>
          <w:tcPr>
            <w:tcW w:w="8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39,500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condensed consolidated statements of operations and the liability is reflected in sales tax payable within other current liabilities as of December 31, 2015 and June 30, 2016, on its condensed consolidated balance sheets.</w:t>
      </w:r>
    </w:p>
    <w:p>
      <w:pPr>
        <w:spacing w:after="0" w:line="18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periods ended June 30, 2016 and 2015, the Company has calculated its effective tax rate based on year-to-date results (under ASC 740-270-30-18) as opposed to estimating its annual effective tax rate. The Company’s effective tax rate for the three and six months ended June 30, 2016 was 28.0% and</w:t>
      </w:r>
    </w:p>
    <w:p>
      <w:pPr>
        <w:ind w:right="60"/>
        <w:spacing w:after="0" w:line="277" w:lineRule="auto"/>
        <w:rPr>
          <w:sz w:val="20"/>
          <w:szCs w:val="20"/>
          <w:color w:val="auto"/>
        </w:rPr>
      </w:pPr>
      <w:r>
        <w:rPr>
          <w:rFonts w:ascii="Times New Roman" w:cs="Times New Roman" w:eastAsia="Times New Roman" w:hAnsi="Times New Roman"/>
          <w:sz w:val="17"/>
          <w:szCs w:val="17"/>
          <w:color w:val="auto"/>
        </w:rPr>
        <w:t>155.8%, respectively, including the impact of discrete items. Excluding discrete items, the Company’s effective tax rate for the three and six months ended June 30, 2016 was 27.2% and 151.3%,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89" w:right="239" w:bottom="1440" w:gutter="0" w:footer="0" w:header="0"/>
        </w:sectPr>
      </w:pPr>
    </w:p>
    <w:bookmarkStart w:id="22" w:name="page23"/>
    <w:bookmarkEnd w:id="22"/>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records valuation allowances to reduce deferred tax assets when it is more likely than not that a tax benefit will not be realized. The assessment of whether or not a valuation allowance is required often requires significant judgment, including the long-range forecast of future taxable income and the evaluation of tax planning initiatives. Adjustments to the deferred tax valuation allowances are made to earnings in the period when such assessments are made. The Company intends to maintain a valuation allowance until sufficient positive evidence exists to support its reversal.</w:t>
      </w:r>
    </w:p>
    <w:p>
      <w:pPr>
        <w:spacing w:after="0" w:line="18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June 30, 2016, the Company had approximately $0.9 million of unrecognized tax benefits included in other current liabilities and other long-term liabilities ($4.3 million, net of deferred taxes, which would affect the effective tax rate if recognized). During the six months ended June 30, 2016, the Company had gross increases of $0.5 million to its current year unrecognized tax benefits related to federal and state tax issues.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tax years of 2004, 2005, 2008, and 2010 through 2015 remain open to examination by certain taxing jurisdictions to which the Company is subject to tax, other than certain states in which the statute of limitations has been extended.</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$1.3 million and $2.7 million for the three and six months ended June 30, 2016, respectively. Revenue related to these transactions was $4.0 million and $7.0 million for the three and six months ended June 30, 2015, respectively. Accounts receivable due from these hospitals at both June 30, 2016 and December 31, 2015 were approximately $0.6 million.</w:t>
      </w:r>
    </w:p>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MSN, the Company acquired a 68% ownership interest in InteliStaf of Oklahoma, LLC, a joint venture between the Company and a hospital system. The Company generated revenue providing staffing services to the hospital system of $2.9 million and $6.0 million for the three and six months ended June 30, 2016, respectively, and $2.2 million and $4.3 million for the three and six months ended June 30, 2015, respectively. At June 30, 2016 and December 31, 2015, the Company had a receivable balance of $1.5 million and $1.4 million, respectively, and a payable balance of $0.1 million and $0.2 million, respectively, relating to these staffing services.</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Subsequent to the Company's acquisition of Mediscan on October 30, 2015, Mediscan continued to operate at premises owned, in part, by the founding members of Mediscan. The Company paid $0.1 million and $0.2 million in rent expense for these premises for the three and six months ended June 30, 2016, respectively.</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The areas for simplification in this update involve several aspects of the accounting for share-based payment transactions, including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consequences, classification of awards as either equity or liabilities, and classification on the statement of cash flows. ASU 2016-09 is effective for annual periods beginning after December 15, 2016, and interim periods within those annual periods. Early adoption is permitted. There are various methods of adoption for each aspect. The Company is currently evaluating the effect ASU 2016-09 will have on its consolidated financial statements.</w:t>
      </w:r>
    </w:p>
    <w:p>
      <w:pPr>
        <w:spacing w:after="0" w:line="2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2016-06, </w:t>
      </w:r>
      <w:r>
        <w:rPr>
          <w:rFonts w:ascii="Times New Roman" w:cs="Times New Roman" w:eastAsia="Times New Roman" w:hAnsi="Times New Roman"/>
          <w:sz w:val="18"/>
          <w:szCs w:val="18"/>
          <w:i w:val="1"/>
          <w:iCs w:val="1"/>
          <w:color w:val="auto"/>
        </w:rPr>
        <w:t>Derivatives and Hedging: Contingent Put and Call Options in Debt Instruments</w:t>
      </w:r>
      <w:r>
        <w:rPr>
          <w:rFonts w:ascii="Times New Roman" w:cs="Times New Roman" w:eastAsia="Times New Roman" w:hAnsi="Times New Roman"/>
          <w:sz w:val="18"/>
          <w:szCs w:val="18"/>
          <w:color w:val="auto"/>
        </w:rPr>
        <w:t>, to clarify the steps required to assess whether a call or put option meets the criteria for bifurcation as an embedded derivative. ASU 2016-06 is effective for interim and annual periods beginning after December 15, 2016, and requires a modified retrospective approach to adoption. Early adoption is permitted. The Company is currently evaluating the effect ASU 2016-06 will have on its consolidated financial statements.</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 are required to use a modified retrospective approach for leases that exist or are entered into after the beginning of the earliest comparative period in the financial statements. Full retrospective application is prohibited. The Company is currently evaluating the effect ASU 2016-02 will have on its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580" w:right="259" w:bottom="1440" w:gutter="0" w:footer="0" w:header="0"/>
        </w:sectPr>
      </w:pPr>
    </w:p>
    <w:bookmarkStart w:id="23" w:name="page24"/>
    <w:bookmarkEnd w:id="23"/>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and the International Accounting Standards Board jointly issued ASU No. 2014-09,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that introduces a new five-step revenue recognition model in which an entity should recognize revenue to depict the transfer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customers in an amount that reflects the consideration to which the entity expects to be entitled in exchange for those goods or services. This ASU also requires disclosures sufficient to enable users to understand the nature, amount, timing, and uncertainty of revenue and cash flows arising from contracts with customers, including qualitative and quantitative disclosures about contracts with customers, significant judgments and changes in judgments, and assets recognized from the costs to obtain or fulfill a contract. In March 2016, the FASB issued ASU 2016-08 which further clarifies the guidance on the principal versus agent considerations within ASU 2014-09. In April 2016, the FASB issued ASU 2016-10 to expand the guidance on identifying performance obligations and licensing within ASU 2014-09. In May 2016, the FASB issued ASU 2016-12 to improve revenue recognition in the areas of collectability, presentation of sales tax and other similar taxes collected from customers, non-cash consideration, contract modifications and completed contracts at transition. This update also amends the disclosure requirements within ASU 2014-09 for entities that retrospectively apply the guidance. The latest amendments are intended to address implementation issues that were raised by stakeholders and discussed by the Revenue Recognition Transition Resource Group, and provide additional practical expedients. These standards are effective for fiscal years beginning after December 15, 2017, including interim periods within that reporting period. The Company is currently evaluating the new guidance to determine the impact, if any, it will have on its consolidated financial statements.</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Cross Country Healthcare, Inc.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Cross Country Healthcare is a national leader in providing innovative healthcare workforce solutions and staffing services. Our solutions leverage our nearly 40 years of expertise and insight to assist clients in solving complex labor-related challenges while maintaining high quality outcomes. We are dedicated to recruiting and placing highly qualified healthcare professionals in virtually every specialty and area of expertise. With more than 9,500 active contracts, our diverse client base includes both clinical and nonclinical settings, servicing acute care hospitals, physician practice groups, nursing facilities, both public schools and charter schools, rehabilitation and sports medicine clinics, government facilities, and homecare. Through our national staffing teams and network of more than 70 branch office locations, we are able to place clinicians on travel and per diem assignments, local short-term contracts and permanent positions. We are a market leader in providing flexible workforce management solutions, which include managed service programs (MSP), internal resource pool consulting and development, electronic medical record (EMR) transition staffing, recruitment process outsourcing, predictive modeling and consultative services. In addition, we provide both retained and contingent placement services for healthcare executives, physicians, and other healthcare professionals.</w:t>
      </w:r>
    </w:p>
    <w:p>
      <w:pPr>
        <w:spacing w:after="0" w:line="187"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color w:val="auto"/>
        </w:rPr>
        <w:t xml:space="preserve">We manage and segment our business based on the nature of our services we offer to our customers. As a result, in accordance with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Topic of the FASB ASC, we report three business segments – Nurse and Allied Staffing, Physician Staffing, and Other Human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Services, described below:</w:t>
      </w:r>
    </w:p>
    <w:p>
      <w:pPr>
        <w:spacing w:after="0" w:line="174" w:lineRule="exact"/>
        <w:rPr>
          <w:sz w:val="20"/>
          <w:szCs w:val="20"/>
          <w:color w:val="auto"/>
        </w:rPr>
      </w:pPr>
    </w:p>
    <w:p>
      <w:pPr>
        <w:ind w:left="660" w:right="120" w:hanging="328"/>
        <w:spacing w:after="0" w:line="25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86% of our total revenue in the second quarter of 2016. Nurse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Allied Staffing provides traditional staffing, including temporary and permanent placement of travel nurses and allied professionals, and branch-based local nurses and allied staffing. Our services include the placement of travel and per diem nurses, allied healthcare professionals, such as rehabilitation therapists, radiology technicians, and respiratory therapists. The results of the Mediscan acquisition have been aggregated with our Nurse and Allied Staffing business segment. See Note 3 - Acquisitions to our condensed consolidated financial statements.</w:t>
      </w:r>
    </w:p>
    <w:p>
      <w:pPr>
        <w:spacing w:after="0" w:line="179"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12% of our total revenue in the second quarter of 2016. Physician Staffing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physicians in many specialties, certified registered nurse anesthetists, nurse practitioners and physician assistants under our Medical Doctor Associates (MDA) and Saber-Salisbury brands as independent contractors on temporary assignments throughout the U.S.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362" w:right="259" w:bottom="1440" w:gutter="0" w:footer="0" w:header="0"/>
        </w:sectPr>
      </w:pPr>
    </w:p>
    <w:bookmarkStart w:id="24" w:name="page25"/>
    <w:bookmarkEnd w:id="24"/>
    <w:p>
      <w:pPr>
        <w:ind w:left="660" w:right="30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Human Capital Management Services </w:t>
      </w:r>
      <w:r>
        <w:rPr>
          <w:rFonts w:ascii="Times New Roman" w:cs="Times New Roman" w:eastAsia="Times New Roman" w:hAnsi="Times New Roman"/>
          <w:sz w:val="18"/>
          <w:szCs w:val="18"/>
          <w:color w:val="auto"/>
        </w:rPr>
        <w:t>– Other Human Capital Management Services (OHCMS) represented approximately 2% of our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 the second quarter of 2016. Subsequent to the sale of our education seminars business, Cross Country Education, LLC ("CCE") on August 31, 2015, OHCMS is comprised of retained and contingent search services for physicians, healthcare executives, and other healthcare professionals within the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quarter ended June 30, 2016, revenue from services was $199.4 million, and net loss attributable to common shareholders was $17.2 million, or $0.54 per diluted share. The consolidated net loss was primarily attributable to the following non-cash charges: an impairment charge of $24.3 million related to the Physician Staffing segment, an unrealized loss on derivative liability of $3.6 million, and a loss on early extinguishment of debt of $1.6 million (total of $22.5 million after taxes). Cash flow provided by operating activities for the six months ended June 30, 2016 was $12.9 million.</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June 2016, we entered a new $140 million Credit Agreement (Senior Credit Facilities), which provides a $40 million Term Loan and a Revolving Credit Facility of up to $100 million, both of which mature in five years. Proceeds of the Senior Credit Facilities were used primarily to refinance the Company’s First Lien Loan and Second Lien Term Loan and to pay related transaction fees and expenses. In addition, $23.1 million of standby letters of credit issued under the First Lien Loan have been rolled into and been deemed issued under the Revolving Credit Facility. The Revolving Credit Facility can be used to provide ongoing working capital, fund permitted acquisitions and for other general corporate purposes of the Company and its subsidiaries. The new Credit Agreement significantly lowers our overall borrowing costs and expands our liquidity, allowing us to continue to grow our business and make strategic investments. See Note 7 - Debt to our condensed consolidated financial statements for further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the quarter, we continued to make investments in our business to improve our technology infrastructure and add recruiter capacity.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Metrics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Some of the segment financial results analyzed include revenue, gross profit margins, operating expenses, and contribution income. In addition, we monitor cash flow as well as operating and leverage ratios to help us assess our liquidity needs.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18"/>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r>
      <w:tr>
        <w:trPr>
          <w:trHeight w:val="234"/>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on a full-time equivalent basis.</w:t>
            </w:r>
          </w:p>
        </w:tc>
      </w:tr>
      <w:tr>
        <w:trPr>
          <w:trHeight w:val="252"/>
        </w:trPr>
        <w:tc>
          <w:tcPr>
            <w:tcW w:w="3580" w:type="dxa"/>
            <w:vAlign w:val="bottom"/>
          </w:tcPr>
          <w:p>
            <w:pPr>
              <w:spacing w:after="0"/>
              <w:rPr>
                <w:sz w:val="21"/>
                <w:szCs w:val="21"/>
                <w:color w:val="auto"/>
              </w:rPr>
            </w:pP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Staffing revenue by the number of days worked in the respective periods. Nurse and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Allied Staffing revenue also includes revenue from the permanent placement of</w:t>
            </w:r>
          </w:p>
        </w:tc>
      </w:tr>
      <w:tr>
        <w:trPr>
          <w:trHeight w:val="234"/>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nurses.</w:t>
            </w:r>
          </w:p>
        </w:tc>
      </w:tr>
      <w:tr>
        <w:trPr>
          <w:trHeight w:val="60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 by 8</w:t>
            </w:r>
          </w:p>
        </w:tc>
      </w:tr>
      <w:tr>
        <w:trPr>
          <w:trHeight w:val="234"/>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hours.</w:t>
            </w:r>
          </w:p>
        </w:tc>
      </w:tr>
      <w:tr>
        <w:trPr>
          <w:trHeight w:val="252"/>
        </w:trPr>
        <w:tc>
          <w:tcPr>
            <w:tcW w:w="3580" w:type="dxa"/>
            <w:vAlign w:val="bottom"/>
          </w:tcPr>
          <w:p>
            <w:pPr>
              <w:spacing w:after="0"/>
              <w:rPr>
                <w:sz w:val="21"/>
                <w:szCs w:val="21"/>
                <w:color w:val="auto"/>
              </w:rPr>
            </w:pP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Revenue per day filled is calculated by dividing revenue invoiced by days filled for</w:t>
            </w:r>
          </w:p>
        </w:tc>
      </w:tr>
      <w:tr>
        <w:trPr>
          <w:trHeight w:val="234"/>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the period presented.</w:t>
            </w:r>
          </w:p>
        </w:tc>
      </w:tr>
      <w:tr>
        <w:trPr>
          <w:trHeight w:val="918"/>
        </w:trPr>
        <w:tc>
          <w:tcPr>
            <w:tcW w:w="358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420"/>
          </w:cols>
          <w:pgMar w:left="240" w:top="79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4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70"/>
        </w:trPr>
        <w:tc>
          <w:tcPr>
            <w:tcW w:w="5000" w:type="dxa"/>
            <w:vAlign w:val="bottom"/>
          </w:tcPr>
          <w:p>
            <w:pPr>
              <w:spacing w:after="0"/>
              <w:rPr>
                <w:sz w:val="23"/>
                <w:szCs w:val="23"/>
                <w:color w:val="auto"/>
              </w:rPr>
            </w:pPr>
          </w:p>
        </w:tc>
        <w:tc>
          <w:tcPr>
            <w:tcW w:w="212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74.8</w:t>
            </w: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Bad debt expense</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212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charges</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5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on derivative liability</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5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0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5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78"/>
        </w:trPr>
        <w:tc>
          <w:tcPr>
            <w:tcW w:w="5000" w:type="dxa"/>
            <w:vAlign w:val="bottom"/>
          </w:tcPr>
          <w:p>
            <w:pPr>
              <w:spacing w:after="0"/>
              <w:rPr>
                <w:sz w:val="24"/>
                <w:szCs w:val="24"/>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June 30, 2016 compared to the Three Months Ended June 30, 2015</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8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8"/>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144,597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derivative liability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Revenue from services increased 3.5%, to $199.4 million for the three months ended June 30, 2016, as compared to $192.6 million for the three months ended June 30, 2015. The increase was entirely from Nurse and Allied Staffing, and partially offset by lower revenue from Physician Staffing and OHCMS. See further discussion in Segment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field insurance expenses. Direct operating expenses increased $0.3 million or 0.2%, to $144.6 million for the three months ended June 30, 2016, as compared to $144.3 million for the three months ended June 30, 2015, primarily due to the Mediscan acquisition, partly offset by lower direct operating expenses in Physician Staffing as well as lower expenses due to the CCE divestiture.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total revenue, direct operating expenses decreased to 72.5% compared to 74.9% in the prior year period primarily due to improved pricing.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9.3%, to $44.7 million for the three months ended June 30, 2016, as compared to $40.9 million for the three months ended June 30, 2015. The increase was primarily due to investments in our IT infrastructure and revenue producing headcount such as recruiters and workforce solutions specialists, as well as higher marketing costs for candidate attraction and additional expenses pertaining to the Mediscan business, which were partially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86" w:right="239" w:bottom="1440" w:gutter="0" w:footer="0" w:header="0"/>
        </w:sectPr>
      </w:pPr>
    </w:p>
    <w:bookmarkStart w:id="27" w:name="page28"/>
    <w:bookmarkEnd w:id="27"/>
    <w:p>
      <w:pPr>
        <w:ind w:right="280"/>
        <w:spacing w:after="0" w:line="282" w:lineRule="auto"/>
        <w:rPr>
          <w:sz w:val="20"/>
          <w:szCs w:val="20"/>
          <w:color w:val="auto"/>
        </w:rPr>
      </w:pPr>
      <w:r>
        <w:rPr>
          <w:rFonts w:ascii="Times New Roman" w:cs="Times New Roman" w:eastAsia="Times New Roman" w:hAnsi="Times New Roman"/>
          <w:sz w:val="18"/>
          <w:szCs w:val="18"/>
          <w:color w:val="auto"/>
        </w:rPr>
        <w:t>offset by a reduction in expenses related to the CCE divestiture. As a percentage of total revenue, selling, general and administrative expenses were 22.4% and 21.2%, for the three months ended June 30, 2016 and June 30, 2015,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$2.5 million for the three months ended June 30, 2016 and $2.0 million for the three months ended June 30, 2015. The increase is the result of the Mediscan acquisition. As a percentage of revenue, depreciation and amortization expense was 1.2% and 1.1% for the three months ended June 30, 2016 and June 30, 2015,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Acquisition-related contingent consideration totaled $0.2 million for the three months ended June 30, 2016 and was related to our acquisition of Mediscan. There were no such costs for the three months ended June 30, 2015. See Note 9 - Fair Value Measurements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did not incur restructuring costs during the three months ended June 30, 2016. During the three months ended June 30, 2015, we incurred $1.0 million in restructuring costs related to severance and lease consolidations.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second quarter of 2016, we conducted an assessment of our goodwill and identifiable intangible assets related to Physician Staffing, which resulted in impairment charges of $24.3 million relating to the reporting unit. Based on its recent under-performance to plan, we revised our growth assumptions for the Physician Staffing reporting unit which triggered our evaluation. We did not incur impairment charges during the three months ended June 30, 2015. See Critical Accounting Principles and Estimates and Note 6 - Goodwill and Other Intangibles to our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totaled $1.6 million and $1.8 million for the three months ended June 30, 2016 and June 30, 2015, respectively. The decrease was due to a lower effective interest rate on our Second Lien Term Loan related to an amendment effective July 1, 2015. The effective interest rate on our borrowings was 9.1% for the three month period ended June 30, 2016 compared to 10.2% for the three months ended June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on derivative liability</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incurred a loss on derivative liability of $3.6 million and a gain on derivative liability of $0.4 million for the three months ended June 30, 2016 and June 30, 2015, respectively, related to the change in the fair value of embedded features of our Convertible Notes from the end of the prior quarters. The loss in 2016 was primarily a result of an increase in our share price compared to the prior quarter end, partially offset by a reduction in credit risk. The gain in 2015 was primarily a result of our improved credit quality that decreased the value of the conversion feature, partially offset by an increase in our share price compared to the prior quarter end. See Note 8 - Convertible Notes Derivative Liability to our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of $1.6 million for the three months ended June 30, 2016 is related to the extinguishment of our Second Lien Term Loan and includes the write-off of unamortized net debt discount and issuance costs as well as a redemption premium of $0.6 million. See Note 7 - Debt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 benefit from continuing operations totaled $6.6 million for the three months ended June 30, 2016, compared to income tax expense of $0.2 million for the three months ended June 30, 2015. The effective tax rate was 28.0% and 7.1%, including the impact of discrete items, for the three months ended June 30, 2016 and June 30, 2015, respectively. Excluding discrete items, our effective tax rate for these periods was 27.2% and 23.0%,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Six Months Ended June 30, 2016 compared to the Six Months Ended June 30, 2015</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50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38"/>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70"/>
        </w:trPr>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50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17,445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283,181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4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4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derivative liability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Revenue from services increased 4.6%, to $396.0 million for the six months ended June 30, 2016, as compared to $378.6 million for the six months ended June 30, 2015. The increase was entirely from Nurse and Allied Staffing, and partially offset by lower revenue from Physician Staffing and OHCMS. See further discussion in Segment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field insurance expenses. Direct operating expenses increased $7.0 million or 2.5%, to $290.1 million for the six months ended June 30, 2016, as compared to $283.2 million for the six months ended June 30, 2015, primarily due to the Mediscan acquisition, partly offset by the impact of the divestiture of CCE and lower direct costs in Physician Staffing.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percentage of total revenue, direct operating expenses decreased to 73.3% compared to 74.8% in the prior year period primarily due to improved pricing.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6.8%, to $87.6 million for the six months ended June 30, 2016, as compared to $82.1 million for the six months ended June 30, 2015. The increase was primarily due to investments in our IT infrastructure and revenue producing headcount such as recruiters and workforce solutions specialists, as well as higher marketing costs for candidate attraction and additional expenses pertaining to the Mediscan business, which were partially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789" w:right="259" w:bottom="1440" w:gutter="0" w:footer="0" w:header="0"/>
        </w:sectPr>
      </w:pPr>
    </w:p>
    <w:bookmarkStart w:id="29" w:name="page30"/>
    <w:bookmarkEnd w:id="29"/>
    <w:p>
      <w:pPr>
        <w:ind w:right="260"/>
        <w:spacing w:after="0" w:line="282" w:lineRule="auto"/>
        <w:rPr>
          <w:sz w:val="20"/>
          <w:szCs w:val="20"/>
          <w:color w:val="auto"/>
        </w:rPr>
      </w:pPr>
      <w:r>
        <w:rPr>
          <w:rFonts w:ascii="Times New Roman" w:cs="Times New Roman" w:eastAsia="Times New Roman" w:hAnsi="Times New Roman"/>
          <w:sz w:val="18"/>
          <w:szCs w:val="18"/>
          <w:color w:val="auto"/>
        </w:rPr>
        <w:t>offset by a reduction in expenses related to the CCE divestiture. As a percentage of total revenue, selling, general and administrative expenses were 22.1% and 21.7% for the six months ended June 30, 2016 and June 30, 2015,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$4.9 million for the six months ended June 30, 2016 and $3.9 million for the six months ended June 30, 2015. The increase is the result of the Mediscan acquisition. As a percentage of revenue, depreciation and amortization expense was 1.2% and 1.0% for the six months ended June 30, 2016 and June 30, 2015,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Acquisition-related contingent consideration totaled $0.5 million for the six months ended June 30, 2016 and was related to our acquisition of Mediscan.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such costs for the six months ended June 30, 2015. See Note 9 - Fair Value Measurements to our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did not incur restructuring costs during the six months ended June 30, 2016. During the six months ended June 30, 2015, we incurred $1.0 million in restructuring costs related to severance and lease consolidations.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2016, we recorded impairment charges of $24.3 million relating to the Physician Staffing reporting unit. Based on its under-performance to plan, we revised our growth assumptions for the Physician Staffing reporting unit which triggered our evaluation. We did not incur impairment charges during the six months ended June 30, 2015. See Critical Accounting Principles and Estimates and Note 6 - Goodwill and Other Intangibles to our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expense totaled $3.2 million and $3.5 million for the six months ended June 30, 2016 and June 30, 2015, respectively. The decrease was due to a lower effective interest rate on our Second Lien Term Loan related to an amendment effective July 1, 2015. The effective interest rate on our borrowings was 9.4% for the six month period ended June 30, 2016 compared to 10.5% for the six months ended June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derivative liability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Gain on derivative liability of $12.9 million and $2.5 million for the six months ended June 30, 2016 and June 30, 2015, respectively, relate to the change in the fair value of embedded features of our Convertible Notes from the end of the prior year. The gain in 2016 was primarily a result of a decrease in our share price from December 31, 2015 and was partially offset by a reduction in credit risk. The gain in 2015 was primarily a result of our improved credit quality that decreased the value of the conversion feature, partially offset by an increase in our share price from December 31, 2014. See Note 8 - Convertible Notes Derivative Liability to our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was $1.6 million for the six months ended June 30, 2016 and related to the write-off of unamortized net debt discount and issuance costs, including a redemption premium of $0.6 million, related to our Second Lien Term Loan. See Note 7 - Debt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Income tax benefit from continuing operations totaled $5.8 million for the six months ended June 30, 2016, compared to income tax expense of $1.2 million for the six months ended June 30, 2015. The effective tax rate was 155.8% and 17.8%, including the impact of discrete items, for the six months ended June 30, 2016 and June 30, 2015, respectively. Excluding discrete items, our effective tax rate for these periods was 151.3% and 20.0%, respectively. The effective tax rates are different than the statutory rates primarily due to the impact from amortization of indefinite-lived intangible assets for tax purposes, the partial non-deductibility of certain per diem expenses and international and state minimum taxes.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580"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(loss)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0"/>
                <w:szCs w:val="20"/>
                <w:color w:val="auto"/>
              </w:rPr>
            </w:pPr>
          </w:p>
        </w:tc>
        <w:tc>
          <w:tcPr>
            <w:tcW w:w="23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3"/>
                <w:szCs w:val="23"/>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(amounts 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172,048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152,677</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340,813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301,789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29,794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57,141</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19,651</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199,443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192,617</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396,026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378,581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income: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17,615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12,821</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34,405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23,723</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4,344</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1,349</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29,416</w:t>
            </w:r>
          </w:p>
        </w:tc>
      </w:tr>
      <w:tr>
        <w:trPr>
          <w:trHeight w:val="324"/>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 corporate overhead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16,295</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1,965</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4,322</w:t>
            </w:r>
          </w:p>
        </w:tc>
        <w:tc>
          <w:tcPr>
            <w:tcW w:w="2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9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6,884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6,607</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37"/>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filled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14,480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20,282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37"/>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Revenue per day filled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1,525</w:t>
            </w:r>
          </w:p>
        </w:tc>
        <w:tc>
          <w:tcPr>
            <w:tcW w:w="2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1,468</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9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6,850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6,531</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37"/>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filled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31,322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38,926</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37"/>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Revenue per day filled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1,523</w:t>
            </w:r>
          </w:p>
        </w:tc>
        <w:tc>
          <w:tcPr>
            <w:tcW w:w="2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1,475</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June 30, 2016 compared to the Three Months Ended June 30, 2015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Nurse and Allied Staffing increased $19.4 million, or 12.7%, to $172.0 million for the three months ended June 30, 2016, as compared to</w:t>
      </w:r>
    </w:p>
    <w:p>
      <w:pPr>
        <w:spacing w:after="0" w:line="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$152.7 million for the three months ended June 30, 2015. The year-over-year increase was primarily due to the impact of the Mediscan acquisition, coupled with higher average bill rates.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average number of Nurse and Allied Staffing FTEs on contract during the three months ended June 30, 2016 increased 4.2% from the three months ended June 30, 2015, due to the approximately 500 additional FTEs related to the Mediscan acquisition. The average Nurse and Allied Staffing revenue per FTE per day increased 8.3%, reflecting higher average bill rates.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income from Nurse and Allied Staffing increased $4.8 million or 37.4%, to $17.6 million for the three months ended June 30, 2016, as compared to $12.8 million for the three months ended June 30, 2015. As a percentage of segment revenue, contribution income increased to 10.2% for the three months ended June 30, 2016, compared to 8.4% for the three months ended June 30, 2015, primarily reflecting improvement in our bill/pay spreads.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Revenue from Physician Staffing decreased $5.9 million, or 19.7%, to $23.9 million for the three months ended June 30, 2016, as compared to $29.8 million for the three months ended June 30, 2015. The decrease in revenue was entirely due to lower volume.</w:t>
      </w:r>
    </w:p>
    <w:p>
      <w:pPr>
        <w:spacing w:after="0" w:line="162"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Physician Staffing days filled decreased 28.6%, to 14,480 days in the three months ended June 30, 2016, as compared to 20,282 days in the three months ended June 30, 2015. Revenue per day filled for the three months ended June 30, 2016 was $1,525, up 3.9% over the prior year, due to improved pricing.</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type w:val="continuous"/>
        </w:sectPr>
      </w:pPr>
    </w:p>
    <w:bookmarkStart w:id="32" w:name="page33"/>
    <w:bookmarkEnd w:id="32"/>
    <w:p>
      <w:pPr>
        <w:ind w:right="120"/>
        <w:spacing w:after="0" w:line="261" w:lineRule="auto"/>
        <w:rPr>
          <w:sz w:val="20"/>
          <w:szCs w:val="20"/>
          <w:color w:val="auto"/>
        </w:rPr>
      </w:pPr>
      <w:r>
        <w:rPr>
          <w:rFonts w:ascii="Times New Roman" w:cs="Times New Roman" w:eastAsia="Times New Roman" w:hAnsi="Times New Roman"/>
          <w:sz w:val="18"/>
          <w:szCs w:val="18"/>
          <w:color w:val="auto"/>
        </w:rPr>
        <w:t>Contribution income from Physician Staffing decreased $0.2 million or 8.0%, to $2.1 million for the three months ended June 30, 2016, as compared to $2.2 million for the three months ended June 30, 2015. As a percentage of segment revenue, contribution income was 8.6% for the three months ended June 30, 2016 and 7.5% for the three months ended June 30, 2015. The year-over-year decrease was largely attributable to reduced operating leverage on the lower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Human Capital Management Services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Revenue from OHCMS decreased $6.7 million, or 65.8%, to $3.5 million for the three months ended June 30, 2016, as compared to $10.1 million for the three months ended June 30, 2015. The decrease was primarily related to the divestiture of CCE in the third quarter of 2015. Revenue from our search business decreased 19.7%, primarily attributable to lower revenue from retained executive searches.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Contribution income from OHCMS was $0.1 million for the three months ended June 30, 2016, as compared to $0.7 million for the three months ended June 30, 2015. Contribution income as a percentage of segment revenue decreased to 2.0% for the three months ended June 30, 2016 compared to 7.4% for the three months ended June 30, 2015. The decrease was primarily due to the revenue decrease in our physician and executive search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Overhead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increased $1.3 million or 15.8%, to $9.8 million for the three months ended June 30, 2016, from $8.5 million in the three months ended June 30, 2015. The increase was primarily due to an increase in compensation and consulting expenses as we continued to centralize functions as well as investments in IT infrastructure. As a percentage of consolidated revenue, unallocated corporate overhead was 4.9% for the three months ended June 30, 2016, and 4.4% for the three months ended June 30,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Six Months Ended June 30, 2016 compared to the Six Months Ended June 30, 2015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Revenue from Nurse and Allied Staffing increased $39.0 million, or 12.9%, to $340.8 million for the six months ended June 30, 2016, as compared to $301.8 million for the six months ended June 30, 2015. The year-over-year increase was due to the impact of the Mediscan acquisition coupled with higher average bill rates.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average number of Nurse and Allied Staffing FTEs on contract during the six months ended June 30, 2016 increased 4.9% from the six months ended June 30, 2015, due to the approximately 500 additional FTEs related to the Mediscan acquisition. The average Nurse and Allied Staffing revenue per FTE per day increased 7.1%, reflecting higher average bill rates.</w:t>
      </w:r>
    </w:p>
    <w:p>
      <w:pPr>
        <w:spacing w:after="0" w:line="1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Contribution income from Nurse and Allied Staffing increased $10.7 million or 45.0%, to $34.4 million for the six months ended June 30, 2016, as compared to $23.7 million for the six months ended June 30, 2015. As a percentage of segment revenue, contribution income increased to 10.1% for the six months ended June 30, 2016, compared to 7.9% for the six months ended June 30, 2015, primarily reflecting improvement in our bill/pay spreads.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from Physician Staffing decreased $8.8 million, or 15.3%, to $48.4 million for the six months ended June 30, 2016, as compared to $57.1 million for the six months ended June 30, 2015. The decrease in revenue was primarily due to lower volume partly offset by higher average revenue per day filled.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Physician Staffing days filled decreased 19.5%, to 31,322 days in the six months ended June 30, 2016, as compared to 38,926 days in the six months ended June 30, 2015. Revenue per day filled for the six months ended June 30, 2016 was $1,523, up 3.3% over the prior year, due to improved pricing.</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Contribution income from Physician Staffing decreased $0.7 million or 17.1%, to $3.6 million for the six months ended June 30, 2016, as compared to $4.3 million for the six months ended June 30, 2015. As a percentage of segment revenue, contribution income was 7.4% for the six months ended June 30, 2016 and 7.6% for the six months ended June 30, 2015. The year-over-year decrease was largely attributable to reduced operating leverage on the lower revenue.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580"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Other Human Capital Management Services</w:t>
      </w:r>
    </w:p>
    <w:p>
      <w:pPr>
        <w:spacing w:after="0" w:line="22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Revenue from OHCMS decreased $12.8 million, or 65.2%, to $6.8 million for the six months ended June 30, 2016, as compared to $19.7 million for the six months ended June 30, 2015. The decrease was primarily related to the divestiture of CCE in the third quarter of 2015. Excluding CCE, revenue from our search business decreased 16.5%, primarily attributable to lower revenue from retained executive searches. .</w:t>
      </w:r>
    </w:p>
    <w:p>
      <w:pPr>
        <w:spacing w:after="0" w:line="4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Contribution income from OHCMS was a loss of less than $1.0 million for the six months ended June 30, 2016, as compared to income of $1.3 million for the six months ended June 30, 2015. Contribution income as a percentage of segment revenue decreased to a negative 0.6% for the six months ended June 30, 2016 compared to a positive 6.9% for the six months ended June 30, 2015. The decrease was primarily due to the revenue decrease in our physician and executive search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Overhead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increased $3.9 million or 23.7%, to $20.2 million for the six months ended June 30, 2016, from $16.3 million in the six months ended June 30, 2015. The increase was primarily due to an increase in compensation and consulting expenses as we continued to centralize functions as well as investments in IT infrastructure. As a percentage of consolidated revenue, unallocated corporate overhead was 5.1% for the six months ended June 30, 2016, and 4.3% for the six months ended June 30,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At June 30, 2016, we had $10.2 million in cash and cash equivalents and $79.8 million of total debt, including the cumulative non-cash change in the fair value of convertible notes derivative liability of $13.7 million. Working capital increased to $90.5 million as of June 30, 2016 from $72.7 million as of December 31, 2015. Days' sales outstanding (DSO), which includes balances billed on behalf of our subcontractors, decreased 4 days to 66 days as of</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June 30, 2016, compared to 70 days as of December 31, 2015. Our net DSO, which excludes amounts owed to subcontractors, decreased 3 days to 54 days as of June 30, 2016, compared to 57 days as of December 31, 2015. We continue to focus on collections and expect our DSO to continue to improve.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operating cash flows constitute our primary source of liquidity, and historically, have been sufficient to fund our working capital, capital expenditures, internal business expansion and debt service. We expect to meet our future needs for working capital, capital expenditures, internal business expansion and debt service from a combination of cash on hand, operating cash flows and funds available through the revolving loan portion of our new Credit Agreement. Operating cash flows and cash on hand, along with amounts available under our revolving credit facility, should be sufficient to meet these needs during the next twelve months.</w:t>
      </w:r>
    </w:p>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$12.9 million in the six months ended June 30, 2016 compared to $6.0 million in the six months ended June 30, 2015, primarily due to improved a 4 day improvement in DSO in the six months ended June 30, 2016 compared to a 2 day increase in DSO in the six months ended June 30, 2015.</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$4.5 million in the six months ended June 30, 2016, compared to $1.0 million in the six months ended June 30, 2015. Investing activities in the six months ended June 30, 2016 included a use of $2.6 million for capital expenditures and $1.9 million of acquisition-related settlements ($2.2 million related to the MSN acquisition, partially offset by an inflow of $0.3 million related to the Mediscan acquisition). Of the cash used for capital expenditures in the six months ended June 30, 2016, $1.2 million is expected to be reimbursed in future periods through payments from our landlord for tenant improvement incentives which will be reflected in operating activities. Net cash used in investing activities in the six months ended June 30, 2015 was $1.0 million for capital expenditures.</w:t>
      </w:r>
    </w:p>
    <w:p>
      <w:pPr>
        <w:spacing w:after="0" w:line="18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2016 was $0.6 million, compared to $1.3 million during the six months ended June 30, 2015. During the six months ended June 30, 2016, we entered into a Senior Credit Facility which provided us with $40.0 million of borrowings under its Term Loan Facility. Part of the proceeds from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76" w:right="239" w:bottom="1440" w:gutter="0" w:footer="0" w:header="0"/>
        </w:sectPr>
      </w:pPr>
    </w:p>
    <w:bookmarkStart w:id="34" w:name="page35"/>
    <w:bookmarkEnd w:id="34"/>
    <w:p>
      <w:pPr>
        <w:ind w:right="100"/>
        <w:spacing w:after="0" w:line="281" w:lineRule="auto"/>
        <w:rPr>
          <w:sz w:val="20"/>
          <w:szCs w:val="20"/>
          <w:color w:val="auto"/>
        </w:rPr>
      </w:pPr>
      <w:r>
        <w:rPr>
          <w:rFonts w:ascii="Times New Roman" w:cs="Times New Roman" w:eastAsia="Times New Roman" w:hAnsi="Times New Roman"/>
          <w:sz w:val="17"/>
          <w:szCs w:val="17"/>
          <w:color w:val="auto"/>
        </w:rPr>
        <w:t>borrowings were used to prepay our $30.0 million Second Lien Term Loan including a prepayment penalty of $0.6 million and $1.0 million of debt issuance costs. In addition, during the six months ended June 30, 2016, we repaid a net of $8.0 million on our senior secured asset-based credit facility, used $0.6 million to pay for shares withheld for taxes and used $0.3 million to pay a noncontrolling shareholder. During the six months ended June 30, 2015, we repaid total debt, net of borrowings, of $0.6 million and used $0.5 million to pay for shares withheld for taxes and pay $0.2 million to a noncontrolling shareholder.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Senior Credit Facilities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22, 2016, we entered into a senior credit agreement (“Credit Agreement”), which provides a term loan of $40.0 million ("Term Loan") and a revolving credit facility of up to $100.0 million ("Revolving Credit Facility") (together with the Term Loan, the "Senior Credit Facilities") both of which mature in five years. The Revolving Credit Facility includes a subfacility for swingline loans up to an amount not to exceed $15.0 million, and a $35.0 million sublimit for the issuance of standby letters of credit. The Credit Agreement also includes a provision permitting the Company, subject to certain conditions, to increase the aggregate amount of the commitments under the Revolving Credit Facility or establish one or more additional term loans in an aggregate amount of up to $50.0 million with optional additional commitments from existing lenders or new commitments from additional lenders.</w:t>
      </w:r>
    </w:p>
    <w:p>
      <w:pPr>
        <w:spacing w:after="0" w:line="10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Proceeds of the Senior Credit Facilities were used primarily to refinance our First Lien Loan and Second Lien Term Loan and to pay related transaction fees and expenses, including a prepayment premium of $0.6 million. In addition, $23.1 million of standby letters of credit issued under the First Lien Loan have been rolled into and been deemed issued under the Revolving Credit Facility. The Revolving Credit Facility can be used to provide ongoing working capital, fund permitted acquisitions and for other general corporate purposes.</w:t>
      </w:r>
    </w:p>
    <w:p>
      <w:pPr>
        <w:spacing w:after="0" w:line="9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Subject to the Credit Agreement, we pay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30, 2016, the Term Loan and Revolving Credit Facility bore interest at a rate equal to One Month LIBOR plus 225 basis points. The interest rate is subject to an increase of 200 basis points if an event of default exists under the Credit Agreement. We are required to pay a commitment fee on the average daily unused portion of the Revolving Credit Facility, based on the Applicable Margin which, as of June 30, 2016, was 0.30%. We expect interest expense to decrease as a result of our refinancing based on current interest rates.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2016, we had $23.1 million letters of credit outstanding and $76.9 million available under the Revolving Credit Facility. The letters of credit relate to our workers’ compensation and professional liability insurance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 Debt to our condensed consolidated financial statements for further information.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March 31, 2016, the Convertible Notes are convertible at the option of the holders thereof at any time into shares of our common stock, at an initial conversion price of $7.10 per share, or 3,521,126 shares of Common Stock. After three years from the issuance date, we have the right to force a conversion of the Convertible Notes if the volume-weighted average price (VWAP) per share of our Common Stock exceeds 125% of the then conversion price for 20 days of a 30 day trading period.</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Convertible Notes bear interest at a rate of 8.00% per annum, payable in quarterly cash installments; provided, however, that, at our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we are not permitted to redeem the Convertible Notes until June 30, 2017. If we redeem the Convertible Notes on or after June 30, 2017, we are required to pay a premium of 15% of the amount of principal of the Convertible Notes redeemed. See Note 7 - Debt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0" w:right="239" w:bottom="1440" w:gutter="0" w:footer="0" w:header="0"/>
        </w:sectPr>
      </w:pPr>
    </w:p>
    <w:bookmarkStart w:id="35" w:name="page36"/>
    <w:bookmarkEnd w:id="35"/>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conjunction with ASC 815, </w:t>
      </w:r>
      <w:r>
        <w:rPr>
          <w:rFonts w:ascii="Times New Roman" w:cs="Times New Roman" w:eastAsia="Times New Roman" w:hAnsi="Times New Roman"/>
          <w:sz w:val="18"/>
          <w:szCs w:val="18"/>
          <w:i w:val="1"/>
          <w:iCs w:val="1"/>
          <w:color w:val="auto"/>
        </w:rPr>
        <w:t>Accounting for Derivative Financial Instruments and Hedging Activities</w:t>
      </w:r>
      <w:r>
        <w:rPr>
          <w:rFonts w:ascii="Times New Roman" w:cs="Times New Roman" w:eastAsia="Times New Roman" w:hAnsi="Times New Roman"/>
          <w:sz w:val="18"/>
          <w:szCs w:val="18"/>
          <w:color w:val="auto"/>
        </w:rPr>
        <w:t>, we have bifurcated and accounted for an embedded derivative related to specific features of these Convertible Notes. As required by ASC 815, the embedded derivative is required to be accounted for as a derivative liability at fair value in our condensed consolidated financial statements. See Note 8 - Convertible Notes Derivative Liability to our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contractual obligations and other commitments as of June 30,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7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Convertible Notes (b)</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 (c)</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Contingent consideration (d)</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obligations (e)</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4,365</w:t>
            </w: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15,489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38,596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w w:val="99"/>
              </w:rPr>
              <w:t>_______________</w:t>
            </w: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00" w:right="180" w:hanging="325"/>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Term Loan, we are required to comply with certain financial covenants. Our inability to comply with the required covenants or other provisions could result in default under our senior credit facilities. In the event of any such default and our inability to obtain a waiver of the default, all amounts outstanding under the Senior Credit Facilities could be declared immediately due and payable.</w:t>
      </w:r>
    </w:p>
    <w:p>
      <w:pPr>
        <w:spacing w:after="0" w:line="1" w:lineRule="exact"/>
        <w:rPr>
          <w:rFonts w:ascii="Times New Roman" w:cs="Times New Roman" w:eastAsia="Times New Roman" w:hAnsi="Times New Roman"/>
          <w:sz w:val="18"/>
          <w:szCs w:val="18"/>
          <w:color w:val="auto"/>
        </w:rPr>
      </w:pPr>
    </w:p>
    <w:p>
      <w:pPr>
        <w:ind w:left="900" w:hanging="325"/>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are convertible into shares of our common stock at the option of the holders thereof at any time. After three years from the issuance date, we have the right to force a conversion of the Convertible Notes if the volume-weighted average price per share of our Common Stock exceeds 125% of the then conversion price for 20 days of a 30 day trading period. See Note 7 - Debt to our condensed consolidated financial statements.</w:t>
      </w:r>
    </w:p>
    <w:p>
      <w:pPr>
        <w:spacing w:after="0" w:line="1" w:lineRule="exact"/>
        <w:rPr>
          <w:rFonts w:ascii="Times New Roman" w:cs="Times New Roman" w:eastAsia="Times New Roman" w:hAnsi="Times New Roman"/>
          <w:sz w:val="18"/>
          <w:szCs w:val="18"/>
          <w:color w:val="auto"/>
        </w:rPr>
      </w:pPr>
    </w:p>
    <w:p>
      <w:pPr>
        <w:jc w:val="both"/>
        <w:ind w:left="900" w:right="160" w:hanging="325"/>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debt represents payments due through maturity for our Term Loan and Convertible Notes. Interest payments on our Term Loan were calculated using the June 30, 2016 applicable LIBOR and margin rate totaling 2.7%. Interest on our Convertible Notes was calculated using the fixed interest rate of 8.0% and assuming no conversion.</w:t>
      </w:r>
    </w:p>
    <w:p>
      <w:pPr>
        <w:spacing w:after="0" w:line="1" w:lineRule="exact"/>
        <w:rPr>
          <w:rFonts w:ascii="Times New Roman" w:cs="Times New Roman" w:eastAsia="Times New Roman" w:hAnsi="Times New Roman"/>
          <w:sz w:val="18"/>
          <w:szCs w:val="18"/>
          <w:color w:val="auto"/>
        </w:rPr>
      </w:pPr>
    </w:p>
    <w:p>
      <w:pPr>
        <w:ind w:left="900" w:right="40" w:hanging="325"/>
        <w:spacing w:after="0" w:line="25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consideration amounts represent the estimated payments due to the seller related to the Mediscan acquisition, including accretion. While it is not certain if, or when, these contingent payments will be made, we have included the payments in the table based on our best estimates of the amounts and dates when the contingencies may be resolved.</w:t>
      </w:r>
    </w:p>
    <w:p>
      <w:pPr>
        <w:spacing w:after="0" w:line="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associated with operating lease agreements with original terms of more than one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critical accounting principles and estimates remain consistent with those reported in our Annual Report on Form 10-K for the year ended December 31, 2015, filed with the SEC. The below provides updated information regarding our critical accounting principles and estimates related to goodwill, trade names, and other identifiable intangible assets.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2016, we recognized total impairment charges relating to our Physician Staffing reporting unit of $24.3 million, comprised of $17.7 million related to goodwill, $0.6 million related to trade names, and $6.0 million related to customer relationships. These charges comprise impairment charges on the condensed consolidated statement of operations for the respective periods.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578"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Goodwill, trade names, and other identifiable intangible assets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our quantitative review of impairment indicators in the second quarter of 2016, we revised our growth assumptions for the Physician Staffing reporting unit based on its continued under-performance relative to management's expectations. The lower than expected revenue was driven by lower booking volumes partly due to the loss of customers, and margins that were negatively impacted from continued investments in the business all through the first half of 2016. We considered these factors to be impairment indicators that warranted impairment testing on goodwill and other intangible assets as described below.</w:t>
      </w:r>
    </w:p>
    <w:p>
      <w:pPr>
        <w:spacing w:after="0" w:line="1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used a combination of an income and a market approach to calculate the fair value of the Physician Staffing reporting unit. The discounted cash flow that served as the primary basis for the income approach was based on our discrete financial forecast of revenue, gross profit margins, operating costs and cash flows. We also considered historical and estimated future results, general economic and market conditions, as well as the impact of planned business and operational strategies. Assumptions used in the market approach included valuation multiples based on an analysis of multiples for comparable public companies. Finally, a 50% weighting was applied to the components of each approach to estimate the total fair value of goodwill. As a result of the testing, we compared the implied fair value of goodwill to its carrying amount and recorded a non-cash pre tax goodwill impairment charge of $17.7 million.</w:t>
      </w:r>
    </w:p>
    <w:p>
      <w:pPr>
        <w:spacing w:after="0" w:line="1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valued the Physician Staffing trade names based on a Relief from Royalty methodology using projected cash flows of an estimated royalty fee. The royalty rate was determined by a blended rate using the Market Royalty Rate Method and the Apportionment of Profit Method and has been applied consistently since the date of acquisition. The calculated value of the trade names was compared to their carrying amount and, as a result, we recorded a non-cash pre tax impairment charge of $0.6 million.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valued the Physician Staffing customer relationships based on the Multi-Period Excess Earnings Method (MPEEM). The MPEEM estimates the fair value based on the present value of the allocated future economic benefits. The inputs include the projected revenue and associated expenses from the customers, an estimated attrition rate, and a discount rate of 13.5%. We performed a recoverability test on the asset group which customers are a part of and deemed customer relationships to be impaired. As a result, the calculated value of customer relationships was compared to its carrying amount and we recorded a non-cash pre tax impairment charge of $6.0 million.</w:t>
      </w:r>
    </w:p>
    <w:p>
      <w:pPr>
        <w:spacing w:after="0" w:line="1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2016, the carrying amount of goodwill, trade names, and other intangible assets, net, relating to the Physician Staffing reporting unit were $25.7 million, $15.0 million, and $1.3 million,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and Uncertainties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calculation of fair value used in these impairment assessments included a number of estimates and assumptions that required significant judgments, including projections of future income and cash flows, appropriate royalty rates and the choice of an appropriate discount rate. See Note 9 - Fair Value Measurements. Changes in these assumptions could materially affect the determination of fair value for the Physician Staffing reporting unit. Specifically, further deterioration of demand for our services, further deterioration of labor market conditions, or other factors as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December 31, 2015, may affect our determination of fair value of the Physician Staffing reporting unit. This evaluation can also be triggered by various indicators of impairment which could cause the estimated discounted cash flows to be less than the carrying amount of net assets. If we are required to record an impairment charge in the future, it could have an adverse impact on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Goodwill and Other Intangibles to our condensed consolidated financial statements for further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576" w:right="259" w:bottom="1440" w:gutter="0" w:footer="0" w:header="0"/>
        </w:sectPr>
      </w:pPr>
    </w:p>
    <w:bookmarkStart w:id="37" w:name="page38"/>
    <w:bookmarkEnd w:id="3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the risk of fluctuation in interest rates relating to our variable rate debt related to our Senior Credit Facilities. See Note 7 - Debt for further information. During the six months ended June 30, 2016 or 2015, we did not use interest rate swaps or other types of derivative financial instruments to hedge our interest rate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Liability Risk</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2016, we had $25.0 million of 8.0% fixed rate Convertible Notes outstanding due June 30, 2020. The Convertible Notes include terms that are considered to be embedded derivatives, including conversion and redemption features that primarily protect the investors' investment with us. Each reporting period, we are required to record this embedded derivative at fair value with the changes being recorded as a component of other expense (income) on our condensed consolidated statements of operations. Accordingly, our results of operations are subject to exposure associated with increases or decreases in the estimated fair value of our embedded derivative.</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this derivative liability is primarily determined by fluctuations in our stock price, as well as changes in our credit profile. As our stock price increases or decreases, the fair value of this derivative liability increases or decreases, resulting in a corresponding current period loss or gain to be recognized. See Note 8 - Convertible Notes Derivative Liability to our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Annual Report on Form 10-K filed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360" w:right="259" w:bottom="1440" w:gutter="0" w:footer="0" w:header="0"/>
        </w:sectPr>
      </w:pPr>
    </w:p>
    <w:bookmarkStart w:id="38" w:name="page39"/>
    <w:bookmarkEnd w:id="3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60"/>
          </w:cols>
          <w:pgMar w:left="240" w:top="360" w:right="299" w:bottom="1440" w:gutter="0" w:footer="0" w:header="0"/>
        </w:sectPr>
      </w:pPr>
    </w:p>
    <w:bookmarkStart w:id="39" w:name="page40"/>
    <w:bookmarkEnd w:id="39"/>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2140"/>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Form 10-K for the year ended December 31, 2015.</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80"/>
          </w:cols>
          <w:pgMar w:left="240" w:top="360" w:right="479" w:bottom="1440" w:gutter="0" w:footer="0" w:header="0"/>
        </w:sectPr>
      </w:pPr>
    </w:p>
    <w:bookmarkStart w:id="40" w:name="page41"/>
    <w:bookmarkEnd w:id="4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Times New Roman" w:cs="Times New Roman" w:eastAsia="Times New Roman" w:hAnsi="Times New Roman"/>
          <w:sz w:val="18"/>
          <w:szCs w:val="18"/>
          <w:color w:val="auto"/>
        </w:rPr>
        <w:t>Date: August 5,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80"/>
          </w:cols>
          <w:pgMar w:left="240" w:top="576" w:right="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No.</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610"/>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dated June 22, 2016, by and among Cross Country Healthcare, Inc., as borrower, certain of its domestic</w:t>
            </w:r>
          </w:p>
        </w:tc>
      </w:tr>
      <w:tr>
        <w:trPr>
          <w:trHeight w:val="216"/>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as guarantors, the Lenders referenced therein, and Suntrust Bank, as agent (previously filed as an exhibit to the</w:t>
            </w:r>
          </w:p>
        </w:tc>
      </w:t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Form 8-K dated June 22, 2016 and incorporated by reference herein.)</w:t>
            </w:r>
          </w:p>
        </w:tc>
      </w:tr>
      <w:tr>
        <w:trPr>
          <w:trHeight w:val="37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Rule 13a-14(a) and Rule 15d-14 (a) by William J. Grubbs, President, Chief Executive Officer, Director</w:t>
            </w:r>
          </w:p>
        </w:tc>
      </w:t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Rule 13a-14(a) and Rule 15d-14 (a) by William J. Burns, Chief Financial Officer (Principal Accounting and</w:t>
            </w:r>
          </w:p>
        </w:tc>
      </w:t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37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by William J. Grubbs, President, Chief Executive Officer, Director (Principal</w:t>
            </w:r>
          </w:p>
        </w:tc>
      </w:t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by William J. Burns, Chief Financial Officer (Principal Accounting and Financial</w:t>
            </w:r>
          </w:p>
        </w:tc>
      </w:t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39</w:t>
            </w:r>
          </w:p>
        </w:tc>
      </w:tr>
    </w:tbl>
    <w:p>
      <w:pPr>
        <w:sectPr>
          <w:pgSz w:w="11900" w:h="16838" w:orient="portrait"/>
          <w:cols w:equalWidth="0" w:num="1">
            <w:col w:w="11420"/>
          </w:cols>
          <w:pgMar w:left="240" w:top="360"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Grubbs, certify that:</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2016</w:t>
      </w:r>
      <w:r>
        <w:rPr>
          <w:sz w:val="20"/>
          <w:szCs w:val="20"/>
          <w:color w:val="auto"/>
        </w:rPr>
        <w:tab/>
      </w:r>
      <w:r>
        <w:rPr>
          <w:rFonts w:ascii="Times New Roman" w:cs="Times New Roman" w:eastAsia="Times New Roman" w:hAnsi="Times New Roman"/>
          <w:sz w:val="17"/>
          <w:szCs w:val="17"/>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Grubbs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2016</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2016, (the "Periodic Report"), I, William J. Grubbs, President and Chief Executive Officer of the Company, hereby certify pursuant to</w:t>
      </w:r>
    </w:p>
    <w:p>
      <w:pPr>
        <w:jc w:val="both"/>
        <w:spacing w:after="0" w:line="255"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48"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2016</w:t>
      </w:r>
      <w:r>
        <w:rPr>
          <w:sz w:val="20"/>
          <w:szCs w:val="20"/>
          <w:color w:val="auto"/>
        </w:rPr>
        <w:tab/>
      </w:r>
      <w:r>
        <w:rPr>
          <w:rFonts w:ascii="Times New Roman" w:cs="Times New Roman" w:eastAsia="Times New Roman" w:hAnsi="Times New Roman"/>
          <w:sz w:val="17"/>
          <w:szCs w:val="17"/>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Grubbs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2016, (the "Periodic Report"), I, William J. Burns,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46"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2016</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3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Roman"/>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9"/>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decimal"/>
      <w:start w:val="13"/>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2019-12-29T10:10:52Z</dcterms:created>
  <dcterms:modified xsi:type="dcterms:W3CDTF">2019-12-29T10:10:52Z</dcterms:modified>
</cp:coreProperties>
</file>