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396" w:lineRule="exact"/>
        <w:rPr>
          <w:sz w:val="24"/>
          <w:szCs w:val="24"/>
          <w:color w:val="auto"/>
        </w:rPr>
      </w:pPr>
    </w:p>
    <w:p>
      <w:pPr>
        <w:ind w:left="860" w:right="2420" w:hanging="825"/>
        <w:spacing w:after="0" w:line="282" w:lineRule="auto"/>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860" w:right="2480" w:hanging="825"/>
        <w:spacing w:after="0" w:line="282"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154940</wp:posOffset>
            </wp:positionV>
            <wp:extent cx="2418080"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808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94" w:orient="portrait"/>
          <w:cols w:equalWidth="0" w:num="1">
            <w:col w:w="11380"/>
          </w:cols>
          <w:pgMar w:left="240" w:top="1161" w:right="279" w:bottom="0" w:gutter="0" w:footer="0" w:header="0"/>
        </w:sectPr>
      </w:pPr>
    </w:p>
    <w:p>
      <w:pPr>
        <w:spacing w:after="0" w:line="36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13-4066229</w:t>
      </w:r>
    </w:p>
    <w:p>
      <w:pPr>
        <w:spacing w:after="0" w:line="90" w:lineRule="exact"/>
        <w:rPr>
          <w:sz w:val="24"/>
          <w:szCs w:val="24"/>
          <w:color w:val="auto"/>
        </w:rPr>
      </w:pPr>
    </w:p>
    <w:p>
      <w:pPr>
        <w:sectPr>
          <w:pgSz w:w="11900" w:h="16894" w:orient="portrait"/>
          <w:cols w:equalWidth="0" w:num="2">
            <w:col w:w="7420" w:space="720"/>
            <w:col w:w="3240"/>
          </w:cols>
          <w:pgMar w:left="240" w:top="1161" w:right="279" w:bottom="0" w:gutter="0" w:footer="0" w:header="0"/>
          <w:type w:val="continuous"/>
        </w:sectPr>
      </w:pPr>
    </w:p>
    <w:p>
      <w:pPr>
        <w:ind w:left="7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94" w:orient="portrait"/>
          <w:cols w:equalWidth="0" w:num="2">
            <w:col w:w="6540" w:space="720"/>
            <w:col w:w="4120"/>
          </w:cols>
          <w:pgMar w:left="240" w:top="1161" w:right="279" w:bottom="0" w:gutter="0" w:footer="0" w:header="0"/>
          <w:type w:val="continuous"/>
        </w:sectPr>
      </w:pP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5201 Congress Avenue, Suite 100B</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Boca Raton, Florida 33487</w:t>
      </w:r>
    </w:p>
    <w:p>
      <w:pPr>
        <w:sectPr>
          <w:pgSz w:w="11900" w:h="16894" w:orient="portrait"/>
          <w:cols w:equalWidth="0" w:num="1">
            <w:col w:w="11380"/>
          </w:cols>
          <w:pgMar w:left="240" w:top="1161" w:right="279" w:bottom="0" w:gutter="0" w:footer="0" w:header="0"/>
          <w:type w:val="continuous"/>
        </w:sectPr>
      </w:pP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(561) 998-2232</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94" w:orient="portrait"/>
          <w:cols w:equalWidth="0" w:num="1">
            <w:col w:w="11380"/>
          </w:cols>
          <w:pgMar w:left="240" w:top="1161" w:right="279" w:bottom="0" w:gutter="0" w:footer="0" w:header="0"/>
          <w:type w:val="continuous"/>
        </w:sectPr>
      </w:pPr>
    </w:p>
    <w:p>
      <w:pPr>
        <w:spacing w:after="0" w:line="399"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2" w:lineRule="exact"/>
        <w:rPr>
          <w:sz w:val="24"/>
          <w:szCs w:val="24"/>
          <w:color w:val="auto"/>
        </w:rPr>
      </w:pPr>
    </w:p>
    <w:p>
      <w:pPr>
        <w:sectPr>
          <w:pgSz w:w="11900" w:h="16894" w:orient="portrait"/>
          <w:cols w:equalWidth="0" w:num="2">
            <w:col w:w="6180" w:space="720"/>
            <w:col w:w="4480"/>
          </w:cols>
          <w:pgMar w:left="240" w:top="1161" w:right="279" w:bottom="0" w:gutter="0" w:footer="0" w:header="0"/>
          <w:type w:val="continuous"/>
        </w:sectPr>
      </w:pPr>
    </w:p>
    <w:p>
      <w:pPr>
        <w:ind w:left="1260"/>
        <w:spacing w:after="0"/>
        <w:rPr>
          <w:sz w:val="20"/>
          <w:szCs w:val="20"/>
          <w:color w:val="auto"/>
        </w:rPr>
      </w:pPr>
      <w:r>
        <w:rPr>
          <w:rFonts w:ascii="Arial" w:cs="Arial" w:eastAsia="Arial" w:hAnsi="Arial"/>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NASDAQ Stock Market</w:t>
      </w:r>
    </w:p>
    <w:p>
      <w:pPr>
        <w:spacing w:after="0" w:line="200" w:lineRule="exact"/>
        <w:rPr>
          <w:sz w:val="24"/>
          <w:szCs w:val="24"/>
          <w:color w:val="auto"/>
        </w:rPr>
      </w:pPr>
    </w:p>
    <w:p>
      <w:pPr>
        <w:sectPr>
          <w:pgSz w:w="11900" w:h="16894" w:orient="portrait"/>
          <w:cols w:equalWidth="0" w:num="2">
            <w:col w:w="6800" w:space="720"/>
            <w:col w:w="3860"/>
          </w:cols>
          <w:pgMar w:left="240" w:top="1161" w:right="279" w:bottom="0" w:gutter="0" w:footer="0" w:header="0"/>
          <w:type w:val="continuous"/>
        </w:sectPr>
      </w:pP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o</w:t>
      </w:r>
    </w:p>
    <w:p>
      <w:pPr>
        <w:sectPr>
          <w:pgSz w:w="11900" w:h="16894" w:orient="portrait"/>
          <w:cols w:equalWidth="0" w:num="1">
            <w:col w:w="11380"/>
          </w:cols>
          <w:pgMar w:left="240" w:top="1161" w:right="27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w:t>
      </w:r>
    </w:p>
    <w:p>
      <w:pPr>
        <w:spacing w:after="0" w:line="259"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Act). 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market value of the voting stock held by non-affiliates of the Registrant, based on the closing price of Common Stock on June 30, 2018 of</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$11.25 as reported on the NASDAQ National Market, was $395,272,643</w:t>
      </w:r>
      <w:r>
        <w:rPr>
          <w:rFonts w:ascii="Arial" w:cs="Arial" w:eastAsia="Arial" w:hAnsi="Arial"/>
          <w:sz w:val="18"/>
          <w:szCs w:val="18"/>
          <w:b w:val="1"/>
          <w:bCs w:val="1"/>
          <w:color w:val="auto"/>
        </w:rPr>
        <w:t>.</w:t>
      </w:r>
      <w:r>
        <w:rPr>
          <w:rFonts w:ascii="Arial" w:cs="Arial" w:eastAsia="Arial" w:hAnsi="Arial"/>
          <w:sz w:val="18"/>
          <w:szCs w:val="18"/>
          <w:color w:val="auto"/>
        </w:rPr>
        <w:t xml:space="preserve"> This calculation does not reflect a determination that persons are affiliated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2019, 36,139,876 shares of Common Stock, $0.0001 par value per share, were outstanding.</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right="940"/>
        <w:spacing w:after="0" w:line="342" w:lineRule="auto"/>
        <w:rPr>
          <w:sz w:val="20"/>
          <w:szCs w:val="20"/>
          <w:color w:val="auto"/>
        </w:rPr>
      </w:pPr>
      <w:r>
        <w:rPr>
          <w:rFonts w:ascii="Arial" w:cs="Arial" w:eastAsia="Arial" w:hAnsi="Arial"/>
          <w:sz w:val="16"/>
          <w:szCs w:val="16"/>
          <w:color w:val="auto"/>
        </w:rPr>
        <w:t>Portions of the Registrant’s definitive proxy statement, for the 2019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1" w:right="37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0" w:type="dxa"/>
            <w:vAlign w:val="bottom"/>
            <w:gridSpan w:val="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1160" w:type="dxa"/>
            <w:vAlign w:val="bottom"/>
            <w:gridSpan w:val="6"/>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16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500" w:type="dxa"/>
            <w:vAlign w:val="bottom"/>
            <w:tcBorders>
              <w:top w:val="single" w:sz="8" w:color="auto"/>
            </w:tcBorders>
          </w:tcPr>
          <w:p>
            <w:pPr>
              <w:spacing w:after="0"/>
              <w:rPr>
                <w:rFonts w:ascii="Arial" w:cs="Arial" w:eastAsia="Arial" w:hAnsi="Arial"/>
                <w:sz w:val="18"/>
                <w:szCs w:val="18"/>
                <w:color w:val="auto"/>
                <w:w w:val="83"/>
              </w:rPr>
            </w:pPr>
            <w:hyperlink w:anchor="page4">
              <w:r>
                <w:rPr>
                  <w:rFonts w:ascii="Arial" w:cs="Arial" w:eastAsia="Arial" w:hAnsi="Arial"/>
                  <w:sz w:val="18"/>
                  <w:szCs w:val="18"/>
                  <w:color w:val="auto"/>
                  <w:w w:val="83"/>
                </w:rPr>
                <w:t>Item 1.</w:t>
              </w:r>
            </w:hyperlink>
          </w:p>
        </w:tc>
        <w:tc>
          <w:tcPr>
            <w:tcW w:w="80" w:type="dxa"/>
            <w:vAlign w:val="bottom"/>
            <w:tcBorders>
              <w:top w:val="single" w:sz="8" w:color="auto"/>
            </w:tcBorders>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11">
              <w:r>
                <w:rPr>
                  <w:rFonts w:ascii="Arial" w:cs="Arial" w:eastAsia="Arial" w:hAnsi="Arial"/>
                  <w:sz w:val="18"/>
                  <w:szCs w:val="18"/>
                  <w:color w:val="auto"/>
                  <w:w w:val="80"/>
                </w:rPr>
                <w:t>Item 1A.</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19">
              <w:r>
                <w:rPr>
                  <w:rFonts w:ascii="Arial" w:cs="Arial" w:eastAsia="Arial" w:hAnsi="Arial"/>
                  <w:sz w:val="18"/>
                  <w:szCs w:val="18"/>
                  <w:color w:val="auto"/>
                  <w:w w:val="80"/>
                </w:rPr>
                <w:t>Item 1B.</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19">
              <w:r>
                <w:rPr>
                  <w:rFonts w:ascii="Arial" w:cs="Arial" w:eastAsia="Arial" w:hAnsi="Arial"/>
                  <w:sz w:val="18"/>
                  <w:szCs w:val="18"/>
                  <w:color w:val="auto"/>
                </w:rPr>
                <w:t>Unresolved Staff Comments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19">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19">
              <w:r>
                <w:rPr>
                  <w:rFonts w:ascii="Arial" w:cs="Arial" w:eastAsia="Arial" w:hAnsi="Arial"/>
                  <w:sz w:val="18"/>
                  <w:szCs w:val="18"/>
                  <w:color w:val="auto"/>
                  <w:w w:val="83"/>
                </w:rPr>
                <w:t>Item 2.</w:t>
              </w:r>
            </w:hyperlink>
          </w:p>
        </w:tc>
        <w:tc>
          <w:tcPr>
            <w:tcW w:w="80" w:type="dxa"/>
            <w:vAlign w:val="bottom"/>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19">
              <w:r>
                <w:rPr>
                  <w:rFonts w:ascii="Arial" w:cs="Arial" w:eastAsia="Arial" w:hAnsi="Arial"/>
                  <w:sz w:val="18"/>
                  <w:szCs w:val="18"/>
                  <w:color w:val="auto"/>
                </w:rPr>
                <w:t>Properties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19">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19">
              <w:r>
                <w:rPr>
                  <w:rFonts w:ascii="Arial" w:cs="Arial" w:eastAsia="Arial" w:hAnsi="Arial"/>
                  <w:sz w:val="18"/>
                  <w:szCs w:val="18"/>
                  <w:color w:val="auto"/>
                  <w:w w:val="83"/>
                </w:rPr>
                <w:t>Item 3.</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19">
              <w:r>
                <w:rPr>
                  <w:rFonts w:ascii="Arial" w:cs="Arial" w:eastAsia="Arial" w:hAnsi="Arial"/>
                  <w:sz w:val="18"/>
                  <w:szCs w:val="18"/>
                  <w:color w:val="auto"/>
                </w:rPr>
                <w:t>Legal Proceedings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19">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19">
              <w:r>
                <w:rPr>
                  <w:rFonts w:ascii="Arial" w:cs="Arial" w:eastAsia="Arial" w:hAnsi="Arial"/>
                  <w:sz w:val="18"/>
                  <w:szCs w:val="18"/>
                  <w:color w:val="auto"/>
                  <w:w w:val="83"/>
                </w:rPr>
                <w:t>Item 4.</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19">
              <w:r>
                <w:rPr>
                  <w:rFonts w:ascii="Arial" w:cs="Arial" w:eastAsia="Arial" w:hAnsi="Arial"/>
                  <w:sz w:val="18"/>
                  <w:szCs w:val="18"/>
                  <w:color w:val="auto"/>
                </w:rPr>
                <w:t>Mine Safety Disclosures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19">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60" w:type="dxa"/>
            <w:vAlign w:val="bottom"/>
            <w:tcBorders>
              <w:bottom w:val="single" w:sz="8" w:color="auto"/>
            </w:tcBorders>
            <w:gridSpan w:val="3"/>
          </w:tcPr>
          <w:p>
            <w:pPr>
              <w:spacing w:after="0"/>
              <w:rPr>
                <w:rFonts w:ascii="Arial" w:cs="Arial" w:eastAsia="Arial" w:hAnsi="Arial"/>
                <w:sz w:val="18"/>
                <w:szCs w:val="18"/>
                <w:b w:val="1"/>
                <w:bCs w:val="1"/>
                <w:color w:val="auto"/>
                <w:w w:val="99"/>
              </w:rPr>
            </w:pPr>
            <w:hyperlink w:anchor="page4">
              <w:r>
                <w:rPr>
                  <w:rFonts w:ascii="Arial" w:cs="Arial" w:eastAsia="Arial" w:hAnsi="Arial"/>
                  <w:sz w:val="18"/>
                  <w:szCs w:val="18"/>
                  <w:b w:val="1"/>
                  <w:bCs w:val="1"/>
                  <w:color w:val="auto"/>
                  <w:w w:val="99"/>
                </w:rPr>
                <w:t xml:space="preserve">PART </w:t>
              </w:r>
            </w:hyperlink>
            <w:r>
              <w:rPr>
                <w:rFonts w:ascii="Arial" w:cs="Arial" w:eastAsia="Arial" w:hAnsi="Arial"/>
                <w:sz w:val="18"/>
                <w:szCs w:val="18"/>
                <w:b w:val="1"/>
                <w:bCs w:val="1"/>
                <w:color w:val="auto"/>
                <w:w w:val="99"/>
              </w:rPr>
              <w:t>II</w:t>
            </w:r>
          </w:p>
        </w:tc>
        <w:tc>
          <w:tcPr>
            <w:tcW w:w="5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19">
              <w:r>
                <w:rPr>
                  <w:rFonts w:ascii="Arial" w:cs="Arial" w:eastAsia="Arial" w:hAnsi="Arial"/>
                  <w:sz w:val="18"/>
                  <w:szCs w:val="18"/>
                  <w:color w:val="auto"/>
                  <w:w w:val="83"/>
                </w:rPr>
                <w:t>Item 5.</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19">
              <w:r>
                <w:rPr>
                  <w:rFonts w:ascii="Arial" w:cs="Arial" w:eastAsia="Arial" w:hAnsi="Arial"/>
                  <w:sz w:val="18"/>
                  <w:szCs w:val="18"/>
                  <w:color w:val="auto"/>
                </w:rPr>
                <w:t>Market for Registrant’s Common Equity, Related Stockholder Matters and Issuer Purchases of Equity Securities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19">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0">
              <w:r>
                <w:rPr>
                  <w:rFonts w:ascii="Arial" w:cs="Arial" w:eastAsia="Arial" w:hAnsi="Arial"/>
                  <w:sz w:val="18"/>
                  <w:szCs w:val="18"/>
                  <w:color w:val="auto"/>
                  <w:w w:val="83"/>
                </w:rPr>
                <w:t>Item 6.</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0">
              <w:r>
                <w:rPr>
                  <w:rFonts w:ascii="Arial" w:cs="Arial" w:eastAsia="Arial" w:hAnsi="Arial"/>
                  <w:sz w:val="18"/>
                  <w:szCs w:val="18"/>
                  <w:color w:val="auto"/>
                </w:rPr>
                <w:t>Selected Financial Data</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0">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2">
              <w:r>
                <w:rPr>
                  <w:rFonts w:ascii="Arial" w:cs="Arial" w:eastAsia="Arial" w:hAnsi="Arial"/>
                  <w:sz w:val="18"/>
                  <w:szCs w:val="18"/>
                  <w:color w:val="auto"/>
                  <w:w w:val="83"/>
                </w:rPr>
                <w:t>Item 7.</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39">
              <w:r>
                <w:rPr>
                  <w:rFonts w:ascii="Arial" w:cs="Arial" w:eastAsia="Arial" w:hAnsi="Arial"/>
                  <w:sz w:val="18"/>
                  <w:szCs w:val="18"/>
                  <w:color w:val="auto"/>
                  <w:w w:val="80"/>
                </w:rPr>
                <w:t>Item 7A.</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39">
              <w:r>
                <w:rPr>
                  <w:rFonts w:ascii="Arial" w:cs="Arial" w:eastAsia="Arial" w:hAnsi="Arial"/>
                  <w:sz w:val="18"/>
                  <w:szCs w:val="18"/>
                  <w:color w:val="auto"/>
                </w:rPr>
                <w:t>Quantitative and Qualitative Disclosures about Market Risk</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40">
              <w:r>
                <w:rPr>
                  <w:rFonts w:ascii="Arial" w:cs="Arial" w:eastAsia="Arial" w:hAnsi="Arial"/>
                  <w:sz w:val="18"/>
                  <w:szCs w:val="18"/>
                  <w:color w:val="auto"/>
                  <w:w w:val="83"/>
                </w:rPr>
                <w:t>Item 8.</w:t>
              </w:r>
            </w:hyperlink>
          </w:p>
        </w:tc>
        <w:tc>
          <w:tcPr>
            <w:tcW w:w="80" w:type="dxa"/>
            <w:vAlign w:val="bottom"/>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0">
              <w:r>
                <w:rPr>
                  <w:rFonts w:ascii="Arial" w:cs="Arial" w:eastAsia="Arial" w:hAnsi="Arial"/>
                  <w:sz w:val="18"/>
                  <w:szCs w:val="18"/>
                  <w:color w:val="auto"/>
                </w:rPr>
                <w:t>Financial Statements and Supplementary Data</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40">
              <w:r>
                <w:rPr>
                  <w:rFonts w:ascii="Arial" w:cs="Arial" w:eastAsia="Arial" w:hAnsi="Arial"/>
                  <w:sz w:val="18"/>
                  <w:szCs w:val="18"/>
                  <w:color w:val="auto"/>
                  <w:w w:val="83"/>
                </w:rPr>
                <w:t>Item 9.</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0">
              <w:r>
                <w:rPr>
                  <w:rFonts w:ascii="Arial" w:cs="Arial" w:eastAsia="Arial" w:hAnsi="Arial"/>
                  <w:sz w:val="18"/>
                  <w:szCs w:val="18"/>
                  <w:color w:val="auto"/>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40">
              <w:r>
                <w:rPr>
                  <w:rFonts w:ascii="Arial" w:cs="Arial" w:eastAsia="Arial" w:hAnsi="Arial"/>
                  <w:sz w:val="18"/>
                  <w:szCs w:val="18"/>
                  <w:color w:val="auto"/>
                  <w:w w:val="80"/>
                </w:rPr>
                <w:t>Item 9A.</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0">
              <w:r>
                <w:rPr>
                  <w:rFonts w:ascii="Arial" w:cs="Arial" w:eastAsia="Arial" w:hAnsi="Arial"/>
                  <w:sz w:val="18"/>
                  <w:szCs w:val="18"/>
                  <w:color w:val="auto"/>
                </w:rPr>
                <w:t>Controls and Procedures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43">
              <w:r>
                <w:rPr>
                  <w:rFonts w:ascii="Arial" w:cs="Arial" w:eastAsia="Arial" w:hAnsi="Arial"/>
                  <w:sz w:val="18"/>
                  <w:szCs w:val="18"/>
                  <w:color w:val="auto"/>
                  <w:w w:val="80"/>
                </w:rPr>
                <w:t>Item 9B.</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3">
              <w:r>
                <w:rPr>
                  <w:rFonts w:ascii="Arial" w:cs="Arial" w:eastAsia="Arial" w:hAnsi="Arial"/>
                  <w:sz w:val="18"/>
                  <w:szCs w:val="18"/>
                  <w:color w:val="auto"/>
                </w:rPr>
                <w:t>Other Information</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40" w:type="dxa"/>
            <w:vAlign w:val="bottom"/>
            <w:tcBorders>
              <w:bottom w:val="single" w:sz="8" w:color="auto"/>
            </w:tcBorders>
            <w:gridSpan w:val="5"/>
          </w:tcPr>
          <w:p>
            <w:pPr>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PART III</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3">
              <w:r>
                <w:rPr>
                  <w:rFonts w:ascii="Arial" w:cs="Arial" w:eastAsia="Arial" w:hAnsi="Arial"/>
                  <w:sz w:val="18"/>
                  <w:szCs w:val="18"/>
                  <w:color w:val="auto"/>
                  <w:w w:val="82"/>
                </w:rPr>
                <w:t>Item 10.</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3">
              <w:r>
                <w:rPr>
                  <w:rFonts w:ascii="Arial" w:cs="Arial" w:eastAsia="Arial" w:hAnsi="Arial"/>
                  <w:sz w:val="18"/>
                  <w:szCs w:val="18"/>
                  <w:color w:val="auto"/>
                </w:rPr>
                <w:t>Directors, Executive Officers and Corporate Governance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3">
              <w:r>
                <w:rPr>
                  <w:rFonts w:ascii="Arial" w:cs="Arial" w:eastAsia="Arial" w:hAnsi="Arial"/>
                  <w:sz w:val="18"/>
                  <w:szCs w:val="18"/>
                  <w:color w:val="auto"/>
                  <w:w w:val="82"/>
                </w:rPr>
                <w:t>Item 11.</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3">
              <w:r>
                <w:rPr>
                  <w:rFonts w:ascii="Arial" w:cs="Arial" w:eastAsia="Arial" w:hAnsi="Arial"/>
                  <w:sz w:val="18"/>
                  <w:szCs w:val="18"/>
                  <w:color w:val="auto"/>
                </w:rPr>
                <w:t>Executive Compensation</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3">
              <w:r>
                <w:rPr>
                  <w:rFonts w:ascii="Arial" w:cs="Arial" w:eastAsia="Arial" w:hAnsi="Arial"/>
                  <w:sz w:val="18"/>
                  <w:szCs w:val="18"/>
                  <w:color w:val="auto"/>
                  <w:w w:val="82"/>
                </w:rPr>
                <w:t>Item 12.</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3">
              <w:r>
                <w:rPr>
                  <w:rFonts w:ascii="Arial" w:cs="Arial" w:eastAsia="Arial" w:hAnsi="Arial"/>
                  <w:sz w:val="18"/>
                  <w:szCs w:val="18"/>
                  <w:color w:val="auto"/>
                </w:rPr>
                <w:t>Security Ownership of Certain Beneficial Owners and Management and Related Stockholders Matters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540" w:type="dxa"/>
            <w:vAlign w:val="bottom"/>
            <w:gridSpan w:val="4"/>
            <w:shd w:val="clear" w:color="auto" w:fill="000000"/>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3">
              <w:r>
                <w:rPr>
                  <w:rFonts w:ascii="Arial" w:cs="Arial" w:eastAsia="Arial" w:hAnsi="Arial"/>
                  <w:sz w:val="18"/>
                  <w:szCs w:val="18"/>
                  <w:color w:val="auto"/>
                  <w:w w:val="82"/>
                </w:rPr>
                <w:t>Item 13.</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3">
              <w:r>
                <w:rPr>
                  <w:rFonts w:ascii="Arial" w:cs="Arial" w:eastAsia="Arial" w:hAnsi="Arial"/>
                  <w:sz w:val="18"/>
                  <w:szCs w:val="18"/>
                  <w:color w:val="auto"/>
                </w:rPr>
                <w:t>Certain Relationships and Related Transactions, and Director Independence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540" w:type="dxa"/>
            <w:vAlign w:val="bottom"/>
            <w:gridSpan w:val="4"/>
            <w:shd w:val="clear" w:color="auto" w:fill="000000"/>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3">
              <w:r>
                <w:rPr>
                  <w:rFonts w:ascii="Arial" w:cs="Arial" w:eastAsia="Arial" w:hAnsi="Arial"/>
                  <w:sz w:val="18"/>
                  <w:szCs w:val="18"/>
                  <w:color w:val="auto"/>
                  <w:w w:val="82"/>
                </w:rPr>
                <w:t>Item 14.</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3">
              <w:r>
                <w:rPr>
                  <w:rFonts w:ascii="Arial" w:cs="Arial" w:eastAsia="Arial" w:hAnsi="Arial"/>
                  <w:sz w:val="18"/>
                  <w:szCs w:val="18"/>
                  <w:color w:val="auto"/>
                </w:rPr>
                <w:t>Principal Accountant Fees and Services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tcBorders>
              <w:bottom w:val="single" w:sz="8" w:color="auto"/>
            </w:tcBorders>
            <w:gridSpan w:val="4"/>
          </w:tcPr>
          <w:p>
            <w:pPr>
              <w:spacing w:after="0"/>
              <w:rPr>
                <w:rFonts w:ascii="Arial" w:cs="Arial" w:eastAsia="Arial" w:hAnsi="Arial"/>
                <w:sz w:val="18"/>
                <w:szCs w:val="18"/>
                <w:b w:val="1"/>
                <w:bCs w:val="1"/>
                <w:color w:val="auto"/>
                <w:w w:val="98"/>
              </w:rPr>
            </w:pPr>
            <w:hyperlink w:anchor="page44">
              <w:r>
                <w:rPr>
                  <w:rFonts w:ascii="Arial" w:cs="Arial" w:eastAsia="Arial" w:hAnsi="Arial"/>
                  <w:sz w:val="18"/>
                  <w:szCs w:val="18"/>
                  <w:b w:val="1"/>
                  <w:bCs w:val="1"/>
                  <w:color w:val="auto"/>
                  <w:w w:val="98"/>
                </w:rPr>
                <w:t>PART IV</w:t>
              </w:r>
            </w:hyperlink>
          </w:p>
        </w:tc>
        <w:tc>
          <w:tcPr>
            <w:tcW w:w="4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4">
              <w:r>
                <w:rPr>
                  <w:rFonts w:ascii="Arial" w:cs="Arial" w:eastAsia="Arial" w:hAnsi="Arial"/>
                  <w:sz w:val="18"/>
                  <w:szCs w:val="18"/>
                  <w:color w:val="auto"/>
                  <w:w w:val="82"/>
                </w:rPr>
                <w:t>Item 15.</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4">
              <w:r>
                <w:rPr>
                  <w:rFonts w:ascii="Arial" w:cs="Arial" w:eastAsia="Arial" w:hAnsi="Arial"/>
                  <w:sz w:val="18"/>
                  <w:szCs w:val="18"/>
                  <w:color w:val="auto"/>
                </w:rPr>
                <w:t>Exhibits, Financial Statement Schedules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60" w:type="dxa"/>
            <w:vAlign w:val="bottom"/>
            <w:gridSpan w:val="5"/>
            <w:shd w:val="clear" w:color="auto" w:fill="000000"/>
          </w:tcPr>
          <w:p>
            <w:pPr>
              <w:spacing w:after="0" w:line="20" w:lineRule="exact"/>
              <w:rPr>
                <w:sz w:val="1"/>
                <w:szCs w:val="1"/>
                <w:color w:val="auto"/>
              </w:rPr>
            </w:pPr>
          </w:p>
        </w:tc>
        <w:tc>
          <w:tcPr>
            <w:tcW w:w="642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sz w:val="20"/>
                <w:szCs w:val="20"/>
                <w:color w:val="auto"/>
              </w:rPr>
            </w:pPr>
            <w:r>
              <w:rPr>
                <w:rFonts w:ascii="Arial" w:cs="Arial" w:eastAsia="Arial" w:hAnsi="Arial"/>
                <w:sz w:val="18"/>
                <w:szCs w:val="18"/>
                <w:color w:val="auto"/>
                <w:w w:val="82"/>
              </w:rPr>
              <w:t>Item 16.</w:t>
            </w:r>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50">
              <w:r>
                <w:rPr>
                  <w:rFonts w:ascii="Arial" w:cs="Arial" w:eastAsia="Arial" w:hAnsi="Arial"/>
                  <w:sz w:val="18"/>
                  <w:szCs w:val="18"/>
                  <w:color w:val="auto"/>
                </w:rPr>
                <w:t>Form 10-K Summary</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6"/>
          </w:tcPr>
          <w:p>
            <w:pPr>
              <w:spacing w:after="0"/>
              <w:rPr>
                <w:rFonts w:ascii="Arial" w:cs="Arial" w:eastAsia="Arial" w:hAnsi="Arial"/>
                <w:sz w:val="18"/>
                <w:szCs w:val="18"/>
                <w:b w:val="1"/>
                <w:bCs w:val="1"/>
                <w:color w:val="auto"/>
                <w:w w:val="96"/>
              </w:rPr>
            </w:pPr>
            <w:hyperlink w:anchor="page51">
              <w:r>
                <w:rPr>
                  <w:rFonts w:ascii="Arial" w:cs="Arial" w:eastAsia="Arial" w:hAnsi="Arial"/>
                  <w:sz w:val="18"/>
                  <w:szCs w:val="18"/>
                  <w:b w:val="1"/>
                  <w:bCs w:val="1"/>
                  <w:color w:val="auto"/>
                  <w:w w:val="96"/>
                </w:rPr>
                <w:t>SIGNATURES</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“we,” “us,” “our,” or “Cross Country” in this Report on Form 10-K means Cross Country Healthcare, Inc., its subsidiaries and affiliates.</w:t>
      </w:r>
    </w:p>
    <w:p>
      <w:pPr>
        <w:sectPr>
          <w:pgSz w:w="11900" w:h="16838" w:orient="portrait"/>
          <w:cols w:equalWidth="0" w:num="1">
            <w:col w:w="11420"/>
          </w:cols>
          <w:pgMar w:left="240" w:top="796" w:right="239" w:bottom="692"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historical information, this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entitled “Item 1A - Risk Factors.” Readers should also carefully review the “Risk Factors” section contained in other documents we file from time to time with the Securities and Exchange Commission, including the Quarterly Reports on Form 10-Q to be filed by us in fiscal year 2019.</w:t>
      </w:r>
    </w:p>
    <w:p>
      <w:pPr>
        <w:spacing w:after="0" w:line="182"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0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Company</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Cross Country Healthcare, Inc. (NASDAQ: CCRN) is a national leader in providing healthcare staffing, recruiting and value-added workforce solutions. Through a full suite of innovative workforce solutions and a national presence including 73 office locations throughout the United States (U.S.), we are able to meet the unique and dynamic needs of our clients. By utilizing our various solutions, clients are able to better plan their personnel needs, outsource recruitment processes, strategically flex their workforce, access quality healthcare personnel, and provide continuity of care for improved patient outcomes.</w:t>
      </w:r>
    </w:p>
    <w:p>
      <w:pPr>
        <w:spacing w:after="0" w:line="7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solutions are geared towards assisting our clients in maintaining high quality outcomes by addressing their healthcare workforce needs. We are increasingly being called upon by our clients to provide more creative and strategic talent sourcing strategies with respect to nurses, doctors, allied healthcare professionals, and healthcare executives, all on a temporary and permanent basis. Over the past several years, our workforce solutions have evolved into a total talent management relationship as our clients continue to focus on improving labor management to address complex financial, compliance, and other challenges in the healthcare industry. As part of this evolution of our services, we continue to consider the following: (1) solving the immediate and future needs of our customers and healthcare professionals; (2) enhancing our network of healthcare professionals and deepening our relationship with them; (3) expanding our service offerings to reduce sensitivity to economic cycles; (4) expanding our expertise with various healthcare solutions in various geographic areas of the U.S. and (5) continuing to diversify our client base to enhance our long-term business prospects. Today, our workforce solutions include:</w:t>
      </w:r>
    </w:p>
    <w:p>
      <w:pPr>
        <w:spacing w:after="0" w:line="81" w:lineRule="exact"/>
        <w:rPr>
          <w:sz w:val="20"/>
          <w:szCs w:val="20"/>
          <w:color w:val="auto"/>
        </w:rPr>
      </w:pPr>
    </w:p>
    <w:p>
      <w:pPr>
        <w:ind w:left="1300" w:right="60" w:hanging="644"/>
        <w:spacing w:after="0" w:line="25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Managed Service Programs (MSPs). </w:t>
      </w:r>
      <w:r>
        <w:rPr>
          <w:rFonts w:ascii="Arial" w:cs="Arial" w:eastAsia="Arial" w:hAnsi="Arial"/>
          <w:sz w:val="18"/>
          <w:szCs w:val="18"/>
          <w:color w:val="auto"/>
        </w:rPr>
        <w:t>The market has continued to shift towards a centralized model for managing contingent labor for</w:t>
      </w:r>
      <w:r>
        <w:rPr>
          <w:rFonts w:ascii="Arial" w:cs="Arial" w:eastAsia="Arial" w:hAnsi="Arial"/>
          <w:sz w:val="18"/>
          <w:szCs w:val="18"/>
          <w:b w:val="1"/>
          <w:bCs w:val="1"/>
          <w:color w:val="auto"/>
        </w:rPr>
        <w:t xml:space="preserve"> </w:t>
      </w:r>
      <w:r>
        <w:rPr>
          <w:rFonts w:ascii="Arial" w:cs="Arial" w:eastAsia="Arial" w:hAnsi="Arial"/>
          <w:sz w:val="18"/>
          <w:szCs w:val="18"/>
          <w:color w:val="auto"/>
        </w:rPr>
        <w:t>both clinical and non-clinical needs. We have been a market leader in this area since launching our first MSP in 2003, an account we continue to serve today. Over the past 15 years, we have grown our relationships and today service more than 70 clients across more than 900 facilities, with estimated spend under management of approximately $400 million annually. The benefits to our clients not only include reduced costs and increased visibility into their needs and usage, but they gain access and insight from our industry expertise on a broad range of topics. In 2017, we acquired Advantage RN, LLC (Advantage) to supplement the number of nurses we place at our MSP clients, increase our capture rate at those accounts, and reduce the number of positions we outsource to subcontractors. In addition, Advantage provides a vehicle for us to cross-sell our MSP solutions to Advantage's clients and increase our footprint in the Midwest where Advantage is located.</w:t>
      </w:r>
    </w:p>
    <w:p>
      <w:pPr>
        <w:spacing w:after="0" w:line="7" w:lineRule="exact"/>
        <w:rPr>
          <w:rFonts w:ascii="Arial" w:cs="Arial" w:eastAsia="Arial" w:hAnsi="Arial"/>
          <w:sz w:val="18"/>
          <w:szCs w:val="18"/>
          <w:color w:val="auto"/>
        </w:rPr>
      </w:pPr>
    </w:p>
    <w:p>
      <w:pPr>
        <w:ind w:left="1300" w:right="520" w:hanging="644"/>
        <w:spacing w:after="0" w:line="26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Optimal Workforce Solutions (OWS). </w:t>
      </w:r>
      <w:r>
        <w:rPr>
          <w:rFonts w:ascii="Arial" w:cs="Arial" w:eastAsia="Arial" w:hAnsi="Arial"/>
          <w:sz w:val="18"/>
          <w:szCs w:val="18"/>
          <w:color w:val="auto"/>
        </w:rPr>
        <w:t>The acquisition of Medical Staffing Network in 2014 provided us with a platform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outsourced services to large hospital systems to more efficiently manage certain professionals.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4" w:name="page5"/>
    <w:bookmarkEnd w:id="4"/>
    <w:p>
      <w:pPr>
        <w:ind w:left="1300" w:right="320" w:hanging="644"/>
        <w:spacing w:after="0" w:line="289"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Education Healthcare Staffing Services. </w:t>
      </w:r>
      <w:r>
        <w:rPr>
          <w:rFonts w:ascii="Arial" w:cs="Arial" w:eastAsia="Arial" w:hAnsi="Arial"/>
          <w:sz w:val="16"/>
          <w:szCs w:val="16"/>
          <w:color w:val="auto"/>
        </w:rPr>
        <w:t>In 2015, we acquired an education healthcare staffing company, Mediscan, which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diversified our customer base to staff speech language pathologists, physical therapists, and other healthcare workers in schools (public, charter and private) as mandated by the government. This business serves to reduce our sensitivity to economic cycles.</w:t>
      </w:r>
    </w:p>
    <w:p>
      <w:pPr>
        <w:spacing w:after="0" w:line="1" w:lineRule="exact"/>
        <w:rPr>
          <w:rFonts w:ascii="Arial" w:cs="Arial" w:eastAsia="Arial" w:hAnsi="Arial"/>
          <w:sz w:val="16"/>
          <w:szCs w:val="16"/>
          <w:color w:val="auto"/>
        </w:rPr>
      </w:pPr>
    </w:p>
    <w:p>
      <w:pPr>
        <w:jc w:val="both"/>
        <w:ind w:left="1300" w:right="180" w:hanging="644"/>
        <w:spacing w:after="0" w:line="28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Recruitment Process Outsourcing (RPO). </w:t>
      </w:r>
      <w:r>
        <w:rPr>
          <w:rFonts w:ascii="Arial" w:cs="Arial" w:eastAsia="Arial" w:hAnsi="Arial"/>
          <w:sz w:val="16"/>
          <w:szCs w:val="16"/>
          <w:color w:val="auto"/>
        </w:rPr>
        <w:t>In 2016, we acquired an RPO business, US Resources Healthcare, which allows us to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and operating efficiencies to our customers through labor optimization services while enhancing the quality of care. In 2018, we acquired American Personnel, Inc. (AP Staffing) which also provides RPO services in addition to other strategic solutions.</w:t>
      </w:r>
    </w:p>
    <w:p>
      <w:pPr>
        <w:spacing w:after="0" w:line="2" w:lineRule="exact"/>
        <w:rPr>
          <w:rFonts w:ascii="Arial" w:cs="Arial" w:eastAsia="Arial" w:hAnsi="Arial"/>
          <w:sz w:val="16"/>
          <w:szCs w:val="16"/>
          <w:color w:val="auto"/>
        </w:rPr>
      </w:pPr>
    </w:p>
    <w:p>
      <w:pPr>
        <w:ind w:left="1300" w:right="120" w:hanging="644"/>
        <w:spacing w:after="0" w:line="28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Internal Resource Pool Consulting &amp; Development (IRP). </w:t>
      </w:r>
      <w:r>
        <w:rPr>
          <w:rFonts w:ascii="Arial" w:cs="Arial" w:eastAsia="Arial" w:hAnsi="Arial"/>
          <w:sz w:val="16"/>
          <w:szCs w:val="16"/>
          <w:color w:val="auto"/>
        </w:rPr>
        <w:t>We strategically partner with our clients to set up, administer and manage an</w:t>
      </w:r>
      <w:r>
        <w:rPr>
          <w:rFonts w:ascii="Arial" w:cs="Arial" w:eastAsia="Arial" w:hAnsi="Arial"/>
          <w:sz w:val="16"/>
          <w:szCs w:val="16"/>
          <w:b w:val="1"/>
          <w:bCs w:val="1"/>
          <w:color w:val="auto"/>
        </w:rPr>
        <w:t xml:space="preserve"> </w:t>
      </w:r>
      <w:r>
        <w:rPr>
          <w:rFonts w:ascii="Arial" w:cs="Arial" w:eastAsia="Arial" w:hAnsi="Arial"/>
          <w:sz w:val="16"/>
          <w:szCs w:val="16"/>
          <w:color w:val="auto"/>
        </w:rPr>
        <w:t>IRP or to optimize an existing IRP to create efficiencies for our clients by balancing their workforce mix to meet their current needs.</w:t>
      </w:r>
    </w:p>
    <w:p>
      <w:pPr>
        <w:spacing w:after="0" w:line="1" w:lineRule="exact"/>
        <w:rPr>
          <w:rFonts w:ascii="Arial" w:cs="Arial" w:eastAsia="Arial" w:hAnsi="Arial"/>
          <w:sz w:val="16"/>
          <w:szCs w:val="16"/>
          <w:color w:val="auto"/>
        </w:rPr>
      </w:pPr>
    </w:p>
    <w:p>
      <w:pPr>
        <w:ind w:left="1300" w:right="20" w:hanging="644"/>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Electronic Medical Record Transition Staffing (EMR). </w:t>
      </w:r>
      <w:r>
        <w:rPr>
          <w:rFonts w:ascii="Arial" w:cs="Arial" w:eastAsia="Arial" w:hAnsi="Arial"/>
          <w:sz w:val="18"/>
          <w:szCs w:val="18"/>
          <w:color w:val="auto"/>
        </w:rPr>
        <w:t>As healthcare facilities continue to enhance and optimize their electronic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record technology, we provide a staffing plan and an organized volume of quality healthcare professionals during the process so that our clients may continue to deliver quality care.</w:t>
      </w:r>
    </w:p>
    <w:p>
      <w:pPr>
        <w:spacing w:after="0" w:line="1" w:lineRule="exact"/>
        <w:rPr>
          <w:rFonts w:ascii="Arial" w:cs="Arial" w:eastAsia="Arial" w:hAnsi="Arial"/>
          <w:sz w:val="18"/>
          <w:szCs w:val="18"/>
          <w:color w:val="auto"/>
        </w:rPr>
      </w:pPr>
    </w:p>
    <w:p>
      <w:pPr>
        <w:ind w:left="1300" w:right="160" w:hanging="644"/>
        <w:spacing w:after="0" w:line="331" w:lineRule="auto"/>
        <w:tabs>
          <w:tab w:leader="none" w:pos="130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Consulting Services. </w:t>
      </w:r>
      <w:r>
        <w:rPr>
          <w:rFonts w:ascii="Arial" w:cs="Arial" w:eastAsia="Arial" w:hAnsi="Arial"/>
          <w:sz w:val="15"/>
          <w:szCs w:val="15"/>
          <w:color w:val="auto"/>
        </w:rPr>
        <w:t>In 2018, we acquired AP Staffing located in Boston. In addition to providing temporary and permanent staffing</w:t>
      </w:r>
      <w:r>
        <w:rPr>
          <w:rFonts w:ascii="Arial" w:cs="Arial" w:eastAsia="Arial" w:hAnsi="Arial"/>
          <w:sz w:val="15"/>
          <w:szCs w:val="15"/>
          <w:b w:val="1"/>
          <w:bCs w:val="1"/>
          <w:color w:val="auto"/>
        </w:rPr>
        <w:t xml:space="preserve"> </w:t>
      </w:r>
      <w:r>
        <w:rPr>
          <w:rFonts w:ascii="Arial" w:cs="Arial" w:eastAsia="Arial" w:hAnsi="Arial"/>
          <w:sz w:val="15"/>
          <w:szCs w:val="15"/>
          <w:color w:val="auto"/>
        </w:rPr>
        <w:t>solutions and MSP solutions, AP Staffing acts as a consultative partner with clients to perform, among other things, talent acquisition assessments, the development of requests for proposals, the management of vendor selection processes, and employer branding strategies.</w:t>
      </w:r>
    </w:p>
    <w:p>
      <w:pPr>
        <w:spacing w:after="0" w:line="13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Through a combination of our national reach and industry leading local presence in key markets, we are able to place clinical and non-clinical professionals across a diverse customer base. We believe that our branches provide a unique value proposition to both large and small clients alike as we are able to offer them a high-touch, consultative based approach to understanding the market on both a national and local level. Our acquisition of Medical Staffing Network in 2014 expanded our local presence throughout the U.S. and provided a larger geographic footprint of 55 offices to provide per diem and local contract staffing and support MSP clients in those areas. In August 2018, Staffing Industry Analysts reported that Cross Country Healthcare was the largest per diem staffing company in the U.S. The acquisitions of Allied Health Group in 2013, Medical Staffing Network in 2014, Mediscan in 2015, Advantage in 2017, and American Personnel, Inc. (AP Staffing) in 2018 have expanded our recruiting capabilities and supply of nursing and allied professionals who desire to be engaged on a travel, per diem and/or permanent basis throughout the course of their careers.</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started centralizing our back office, including technology, human resource, finance, and risk management resources in 2013, and we continue to centralize these functions in order to streamline processes and create efficiencies in pursuit of growth and profitability. In an effort to further optimize our processes, from 2014 to 2016 we replaced the front office operating systems of our branch operations, our physician staffing business and our executive and physician search business. In 2018, we began a project to replace the front-end operating system of our travel nurse business to improve our candidate experience and be more efficient. As part of our growth strategy, we are also embracing the way content, messaging and communication generally are being consumed differently and we are continuing to make investments in social media, mobile applications and other technology which we believe will continue enhancing our recruiting capabilities and the experience of our healthcare professionals. These marketing and technology strategies to retain talent more efficiently should serve to give us more leverage in the business and make the company more user-friendly for our corporate employees, our healthcare professionals and our clients.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our strategy will allow us to expand our current business and capture rate at our MSP clients, increase the number and types of new customers we serve, grow the supply and types of specialties of our healthcare professionals, improve our operating leverage through growth and cost containment, and strengthen and broaden our market presence. This will require us to focus on (i) expanding our workforce solutions offerings to deepen our relationships with current customers and to attract new customers; (ii) expanding our local branch network to grow our local market presence and our MSP business; (iii) further diversifying our customer base into the public and charter school market; (iii) continuing to diversify and deepen our customer base in the local ambulatory care and retail market, which provides more balance between our large volume-based customers and our small local customers; (iv) better positioning ourselves to take additional market share in our MSP business; (v) accessing more candidates; and (vi) continuing to modernize our technologies and processes to optimize our relationships with our healthcare professionals and clients.</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To successfully execute our business strategy, we will rely on our experienced and focused executive and operational teams. Our executive team has extensive experience in the staffing and healthcare industries. We also foster a culture of performance, talented leadership and collegiality that promotes the achievement of both company and personal goals. In 2018, Cross Country Staffing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recognized as Best of Staffing. Advantage RN, Cross Country Allied, Cross Country TravCorps, Medical Doctor Associates, Medical Staffing Network, MedStaff, PharmStaff all received 2018 Talent ClearlyRated Best of Staffing Awards.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96"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provide our services on a national level or through any one of our 66 local branches throughout the United States or through a combination of both. We service a variety of clients, including public and private acute care hospitals, public and charter schools, outpatient clinics, ambulatory care facilities, single and multi-specialty physician practices, rehabilitation facilities, urgent care centers, correctional facilities, government facilities, retailers, and many other healthcare providers.</w:t>
      </w:r>
    </w:p>
    <w:p>
      <w:pPr>
        <w:spacing w:after="0" w:line="10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consists of three business segments: (i) Nurse and Allied Staffing; (ii) Physician Staffing; and (iii) Other Human Capital Management Services. Fees for our services are paid directly by our clients and in certain instances by vendor managers, and as a result, we have no direct exposure to Medicare or Medicaid reimbursements. For additional financial information concerning our business segments, see Note 17 - Segment Data to the consolidated financial statements. Through our business segments, we provide our healthcare clients with a wide range of workforce solutions as described above and staffing services as set forth below.</w:t>
      </w:r>
    </w:p>
    <w:p>
      <w:pPr>
        <w:spacing w:after="0" w:line="184" w:lineRule="exact"/>
        <w:rPr>
          <w:sz w:val="20"/>
          <w:szCs w:val="20"/>
          <w:color w:val="auto"/>
        </w:rPr>
      </w:pPr>
    </w:p>
    <w:p>
      <w:pPr>
        <w:ind w:left="660" w:right="2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Nursing and Allied Staffing. </w:t>
      </w:r>
      <w:r>
        <w:rPr>
          <w:rFonts w:ascii="Arial" w:cs="Arial" w:eastAsia="Arial" w:hAnsi="Arial"/>
          <w:sz w:val="16"/>
          <w:szCs w:val="16"/>
          <w:color w:val="auto"/>
        </w:rPr>
        <w:t>The Nurse and Allied Staffing segment provides workforce solutions and traditional staffing, including temporary and</w:t>
      </w:r>
      <w:r>
        <w:rPr>
          <w:rFonts w:ascii="Arial" w:cs="Arial" w:eastAsia="Arial" w:hAnsi="Arial"/>
          <w:sz w:val="16"/>
          <w:szCs w:val="16"/>
          <w:b w:val="1"/>
          <w:bCs w:val="1"/>
          <w:color w:val="auto"/>
        </w:rPr>
        <w:t xml:space="preserve"> </w:t>
      </w:r>
      <w:r>
        <w:rPr>
          <w:rFonts w:ascii="Arial" w:cs="Arial" w:eastAsia="Arial" w:hAnsi="Arial"/>
          <w:sz w:val="16"/>
          <w:szCs w:val="16"/>
          <w:color w:val="auto"/>
        </w:rPr>
        <w:t>permanent placement of travel nurses and allied professionals, branch-based local nurses, and allied staffing. We provide flexible workforce solutions to the healthcare and school markets through diversified offerings designed to meet the special needs of each client, including: MSP, OWS, Educational Healthcare Services, RPO, IRP, EMR and consulting services. We market our services to hospitals and other customers through our Cross Country Staffing</w:t>
      </w:r>
      <w:r>
        <w:rPr>
          <w:rFonts w:ascii="Arial" w:cs="Arial" w:eastAsia="Arial" w:hAnsi="Arial"/>
          <w:sz w:val="22"/>
          <w:szCs w:val="22"/>
          <w:color w:val="auto"/>
          <w:vertAlign w:val="superscript"/>
        </w:rPr>
        <w:t>®</w:t>
      </w:r>
      <w:r>
        <w:rPr>
          <w:rFonts w:ascii="Arial" w:cs="Arial" w:eastAsia="Arial" w:hAnsi="Arial"/>
          <w:sz w:val="16"/>
          <w:szCs w:val="16"/>
          <w:color w:val="auto"/>
        </w:rPr>
        <w:t>, MSN, Allied Health Group, Advantage, Mediscan, AP Staffing, and DirectEd brands. We also market our services to healthcare professionals using a multi-brand strategy to segment the market and maximize our outreach to healthcare professionals. Our Nurse and Allied Staffing revenue and contribution income is set forth in Note 17 - Segment Data to the consolidated financial statements.</w:t>
      </w:r>
    </w:p>
    <w:p>
      <w:pPr>
        <w:spacing w:after="0" w:line="96" w:lineRule="exact"/>
        <w:rPr>
          <w:rFonts w:ascii="Arial" w:cs="Arial" w:eastAsia="Arial" w:hAnsi="Arial"/>
          <w:sz w:val="16"/>
          <w:szCs w:val="16"/>
          <w:color w:val="auto"/>
        </w:rPr>
      </w:pPr>
    </w:p>
    <w:p>
      <w:pPr>
        <w:ind w:left="660" w:right="40"/>
        <w:spacing w:after="0" w:line="255" w:lineRule="auto"/>
        <w:rPr>
          <w:rFonts w:ascii="Arial" w:cs="Arial" w:eastAsia="Arial" w:hAnsi="Arial"/>
          <w:sz w:val="16"/>
          <w:szCs w:val="16"/>
          <w:color w:val="auto"/>
        </w:rPr>
      </w:pPr>
      <w:r>
        <w:rPr>
          <w:rFonts w:ascii="Arial" w:cs="Arial" w:eastAsia="Arial" w:hAnsi="Arial"/>
          <w:sz w:val="18"/>
          <w:szCs w:val="18"/>
          <w:color w:val="auto"/>
        </w:rPr>
        <w:t>A majority of our revenue is generated from staffing registered nurses on long-term contract assignments (typically 13 weeks in length) at hospitals and health systems using various brands. Additionally, we offer a short-term staffing solution of registered nurses, licensed practical nurses, certified nurse assistants, advanced practitioners, pharmacists, and more than 100 specialties of allied professionals on local per diem and short-term assignments in a variety of clinical and non-clinical settings through our national network of local branch offices. We also provide travel allied professionals on long-term contract assignments to hospitals, public and charter schools, and skilled nursing facilities under the Cross Country Staffing, Mediscan, and DirectEd brands.</w:t>
      </w:r>
    </w:p>
    <w:p>
      <w:pPr>
        <w:spacing w:after="0" w:line="108"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Physician Staffing. </w:t>
      </w:r>
      <w:r>
        <w:rPr>
          <w:rFonts w:ascii="Arial" w:cs="Arial" w:eastAsia="Arial" w:hAnsi="Arial"/>
          <w:sz w:val="17"/>
          <w:szCs w:val="17"/>
          <w:color w:val="auto"/>
        </w:rPr>
        <w:t>We provide physicians in many specialties, certified registered nurse anesthetists (CRNAs), nurse practitioners (NPs), and</w:t>
      </w:r>
      <w:r>
        <w:rPr>
          <w:rFonts w:ascii="Arial" w:cs="Arial" w:eastAsia="Arial" w:hAnsi="Arial"/>
          <w:sz w:val="17"/>
          <w:szCs w:val="17"/>
          <w:b w:val="1"/>
          <w:bCs w:val="1"/>
          <w:color w:val="auto"/>
        </w:rPr>
        <w:t xml:space="preserve"> </w:t>
      </w:r>
      <w:r>
        <w:rPr>
          <w:rFonts w:ascii="Arial" w:cs="Arial" w:eastAsia="Arial" w:hAnsi="Arial"/>
          <w:sz w:val="17"/>
          <w:szCs w:val="17"/>
          <w:color w:val="auto"/>
        </w:rPr>
        <w:t>physician assistants (PAs) under our MDA brand as independent contractors on temporary assignments throughout the United States at various healthcare facilities, such as acute and non-acute care facilities, medical group practices, government facilities, and managed care organizations. We recruit these professionals nationally and place them on assignments varying in length from several days up to one year. Our Physician Staffing revenue and contribution income is set forth in Note 17 - Segment Data to the consolidated financial statements.</w:t>
      </w:r>
    </w:p>
    <w:p>
      <w:pPr>
        <w:spacing w:after="0" w:line="87" w:lineRule="exact"/>
        <w:rPr>
          <w:rFonts w:ascii="Arial" w:cs="Arial" w:eastAsia="Arial" w:hAnsi="Arial"/>
          <w:sz w:val="17"/>
          <w:szCs w:val="17"/>
          <w:color w:val="auto"/>
        </w:rPr>
      </w:pPr>
    </w:p>
    <w:p>
      <w:pPr>
        <w:ind w:left="660" w:hanging="328"/>
        <w:spacing w:after="0" w:line="27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Other Human Capital Management Services. </w:t>
      </w:r>
      <w:r>
        <w:rPr>
          <w:rFonts w:ascii="Arial" w:cs="Arial" w:eastAsia="Arial" w:hAnsi="Arial"/>
          <w:sz w:val="16"/>
          <w:szCs w:val="16"/>
          <w:color w:val="auto"/>
        </w:rPr>
        <w:t>We provide retained and contingent search services for physicians, healthcare executives, nurses,</w:t>
      </w:r>
      <w:r>
        <w:rPr>
          <w:rFonts w:ascii="Arial" w:cs="Arial" w:eastAsia="Arial" w:hAnsi="Arial"/>
          <w:sz w:val="16"/>
          <w:szCs w:val="16"/>
          <w:b w:val="1"/>
          <w:bCs w:val="1"/>
          <w:color w:val="auto"/>
        </w:rPr>
        <w:t xml:space="preserve"> </w:t>
      </w:r>
      <w:r>
        <w:rPr>
          <w:rFonts w:ascii="Arial" w:cs="Arial" w:eastAsia="Arial" w:hAnsi="Arial"/>
          <w:sz w:val="16"/>
          <w:szCs w:val="16"/>
          <w:color w:val="auto"/>
        </w:rPr>
        <w:t>advanced practice, and allied health professionals. The revenue and contribution income of our Other Human Capital Management Services Segment is set forth in Note 17 - Segment Data to the consolidated financial statements. Our Cejka Search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recruits healthcare talent for organizations nationwide through a team of experienced professionals, advanced use of recruitment technology, and commitment to service excellence. Serving clients nationwide, Cejka completes hundreds of search assignments annually for organizations, including, but not limited to, physician group practices, hospitals and health systems, academic medical centers, accountable care organizations, managed care, and other healthcare organizations.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The recruitment and retention of a sufficient number of qualified healthcare professionals to work temporary assignments on our behalf is critical to the success of our business. Healthcare professionals choose temporary assignments for a variety of reasons that include seeking flexible work opportunities, exploring diverse practice settings, building skills and experience by working at prestigious healthcare facilities, avoiding the demands and political environment of working as permanent staff, working through life and career transitions, and as a means of access into a permanent staff position.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96" w:right="259" w:bottom="1440" w:gutter="0" w:footer="0" w:header="0"/>
        </w:sectPr>
      </w:pPr>
    </w:p>
    <w:bookmarkStart w:id="6" w:name="page7"/>
    <w:bookmarkEnd w:id="6"/>
    <w:p>
      <w:pPr>
        <w:ind w:left="388" w:right="20" w:hanging="320"/>
        <w:spacing w:after="0" w:line="254" w:lineRule="auto"/>
        <w:tabs>
          <w:tab w:leader="none" w:pos="388"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Our Healthcare Professionals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Nurse and Allied segment, we operate differentiated brands to recruit nurses and allied professionals.</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our multi-brand recruiting model helps us reach a larger volume and a more diverse group of candidates to fill open positions at our clients throughout the United States in various clinical and non-clinical settings and in many different geographic areas. Our company is well positioned, as nurses and allied professionals routinely seek a wide range of diverse assignments in attractive locations, with competitive compensation and benefit packages, scheduling options, as well as a high level of service. In addition, we believe nurses and allied professionals are confident we will have new assignments for them as they complete their current assignment. Our competitive benefits generally include professional liability insurance, a 401(k) plan, health insurance, reimbursed travel, per diem allowances, and housing. Each of our nurse and allied healthcare professionals is employed by us and is typically paid hourly wages and any other benefits they are entitled to receive during the assignment period.</w:t>
      </w:r>
    </w:p>
    <w:p>
      <w:pPr>
        <w:spacing w:after="0" w:line="193" w:lineRule="exact"/>
        <w:rPr>
          <w:rFonts w:ascii="Arial" w:cs="Arial" w:eastAsia="Arial" w:hAnsi="Arial"/>
          <w:sz w:val="18"/>
          <w:szCs w:val="18"/>
          <w:b w:val="1"/>
          <w:bCs w:val="1"/>
          <w:color w:val="auto"/>
        </w:rPr>
      </w:pPr>
    </w:p>
    <w:p>
      <w:pPr>
        <w:ind w:left="388"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Recruiters are an essential element of our Nurse and Allied Staffing business, and are responsible for establishing and maintaining key relationships with candidates for the duration of their assignments with us. Recruiters match the supply of qualified candidates in our databases with the demand for open orders posted by our clients. While we rely on word-of-mouth for referrals to access candidates, we also market our brands on the Internet, including extensive utilization of social media, which has become an increasingly important component of our recruitment efforts. We maintain a number of websites to allow potential applicants to obtain information about our brands and assignment opportunities, as well as to apply online.</w:t>
      </w:r>
    </w:p>
    <w:p>
      <w:pPr>
        <w:spacing w:after="0" w:line="77" w:lineRule="exact"/>
        <w:rPr>
          <w:rFonts w:ascii="Arial" w:cs="Arial" w:eastAsia="Arial" w:hAnsi="Arial"/>
          <w:sz w:val="18"/>
          <w:szCs w:val="18"/>
          <w:b w:val="1"/>
          <w:bCs w:val="1"/>
          <w:color w:val="auto"/>
        </w:rPr>
      </w:pPr>
    </w:p>
    <w:p>
      <w:pPr>
        <w:ind w:left="388"/>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MDA recruits and contracts with physicians and advanced practice professionals to provide medical services for its healthcare customers. Each physician or advanced practice professional is an independent contractor and enters into an agreement with MDA to provide medical services at a particular healthcare facility or physician practice group based on terms and conditions specified by that customer. Physicians and advanced practice professionals are engaged to provide medical services for a healthcare customer ranging from a few days up to a year. We believe physicians are attracted to us because we offer a wide variety of assignments, competitive fees, medical malpractice insurance, and a high level of service to them. MDA relies on word-of-mouth referrals, but also markets it brands on the Internet and through extensive social media campaigns.</w:t>
      </w:r>
    </w:p>
    <w:p>
      <w:pPr>
        <w:spacing w:after="0" w:line="79" w:lineRule="exact"/>
        <w:rPr>
          <w:rFonts w:ascii="Arial" w:cs="Arial" w:eastAsia="Arial" w:hAnsi="Arial"/>
          <w:sz w:val="18"/>
          <w:szCs w:val="18"/>
          <w:b w:val="1"/>
          <w:bCs w:val="1"/>
          <w:color w:val="auto"/>
        </w:rPr>
      </w:pPr>
    </w:p>
    <w:p>
      <w:pPr>
        <w:ind w:left="328" w:right="20" w:hanging="328"/>
        <w:spacing w:after="0" w:line="291" w:lineRule="auto"/>
        <w:tabs>
          <w:tab w:leader="none" w:pos="32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Sales and Marketing</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market our Nurse and Allied Staffing services to our hospitals, healthcare facilities, schools, and other clients 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Cross Country Staffing, Medical Staffing Network™, Advantage, Allied Health Group, Mediscan, AP Staffing, and DirectEd brands. Cross Country Staffing typically contracts with our nurse and allied healthcare clients on behalf of itself and our other brands. Mediscan contracts with its hospitals, public schools, and charter schools under the Mediscan and DirectEd brands. Our traditional staffing includes temporary and permanent placement of travel nurses and allied professionals, branch-based local nurses and allied staffing, and physicians. We provide flexible workforce solutions to the healthcare and school markets through diversified offerings meeting the special needs of each client. Orders for open positions and other services are entered into our various databases and are available to recruiters. Account managers, who develop relationships with our clients to understand their specific settings and culture, submit candidate profiles to clients, and confirm offers and placements with them.</w:t>
      </w:r>
    </w:p>
    <w:p>
      <w:pPr>
        <w:spacing w:after="0" w:line="164" w:lineRule="exact"/>
        <w:rPr>
          <w:rFonts w:ascii="Arial" w:cs="Arial" w:eastAsia="Arial" w:hAnsi="Arial"/>
          <w:sz w:val="16"/>
          <w:szCs w:val="16"/>
          <w:b w:val="1"/>
          <w:bCs w:val="1"/>
          <w:color w:val="auto"/>
        </w:rPr>
      </w:pPr>
    </w:p>
    <w:p>
      <w:pPr>
        <w:ind w:left="328" w:right="1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MDA markets its Physician Staffing operations to hospitals and other healthcare facilities throughout the U.S. Our recruiters use our extensive database of physicians and their expertise in their given specialties to contact physicians to schedule short and long-term engagements at healthcare customers. MDA operates a multi-site business model with employees at several locations.</w:t>
      </w:r>
    </w:p>
    <w:p>
      <w:pPr>
        <w:spacing w:after="0" w:line="100" w:lineRule="exact"/>
        <w:rPr>
          <w:rFonts w:ascii="Arial" w:cs="Arial" w:eastAsia="Arial" w:hAnsi="Arial"/>
          <w:sz w:val="16"/>
          <w:szCs w:val="16"/>
          <w:b w:val="1"/>
          <w:bCs w:val="1"/>
          <w:color w:val="auto"/>
        </w:rPr>
      </w:pPr>
    </w:p>
    <w:p>
      <w:pPr>
        <w:ind w:left="328" w:right="7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Cejka markets its retained and contingent search services to healthcare clients primarily through industry professional organizations, direct marketing, its website, and by word-of-mouth.</w:t>
      </w:r>
    </w:p>
    <w:p>
      <w:pPr>
        <w:spacing w:after="0" w:line="85" w:lineRule="exact"/>
        <w:rPr>
          <w:rFonts w:ascii="Arial" w:cs="Arial" w:eastAsia="Arial" w:hAnsi="Arial"/>
          <w:sz w:val="16"/>
          <w:szCs w:val="16"/>
          <w:b w:val="1"/>
          <w:bCs w:val="1"/>
          <w:color w:val="auto"/>
        </w:rPr>
      </w:pPr>
    </w:p>
    <w:p>
      <w:pPr>
        <w:ind w:left="328" w:right="120" w:hanging="328"/>
        <w:spacing w:after="0" w:line="273" w:lineRule="auto"/>
        <w:tabs>
          <w:tab w:leader="none" w:pos="328"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Credentialing and Quality Management. </w:t>
      </w:r>
      <w:r>
        <w:rPr>
          <w:rFonts w:ascii="Arial" w:cs="Arial" w:eastAsia="Arial" w:hAnsi="Arial"/>
          <w:sz w:val="17"/>
          <w:szCs w:val="17"/>
          <w:color w:val="auto"/>
        </w:rPr>
        <w:t>We screen all of our candidates prior to placement through our credentialing departments. Our</w:t>
      </w:r>
      <w:r>
        <w:rPr>
          <w:rFonts w:ascii="Arial" w:cs="Arial" w:eastAsia="Arial" w:hAnsi="Arial"/>
          <w:sz w:val="17"/>
          <w:szCs w:val="17"/>
          <w:b w:val="1"/>
          <w:bCs w:val="1"/>
          <w:color w:val="auto"/>
        </w:rPr>
        <w:t xml:space="preserve"> </w:t>
      </w:r>
      <w:r>
        <w:rPr>
          <w:rFonts w:ascii="Arial" w:cs="Arial" w:eastAsia="Arial" w:hAnsi="Arial"/>
          <w:sz w:val="17"/>
          <w:szCs w:val="17"/>
          <w:color w:val="auto"/>
        </w:rPr>
        <w:t>credentialing processes are designed to ensure that our professionals have the requisite skillsets required by our customers, as well as the aptitude to meet the day-to-day requirements and challenges they would typically encounter on assignments where they are placed. The credentialing of our nurse and allied healthcare professionals is designed to align with the guidelines of The Joint Commission, a national accrediting body, to ensure quality care. Our Cross Country University division, accredited by the American Nurse Credentialing Center, provides training, assessment, and professional development to further ensure the quality of the personnel we place on assignment. Our physician credentialing entity, Credent, is also certified by the National Committee for Quality Assurance (NCQA).</w:t>
      </w:r>
    </w:p>
    <w:p>
      <w:pPr>
        <w:spacing w:after="0" w:line="200" w:lineRule="exact"/>
        <w:rPr>
          <w:sz w:val="20"/>
          <w:szCs w:val="20"/>
          <w:color w:val="auto"/>
        </w:rPr>
      </w:pPr>
    </w:p>
    <w:p>
      <w:pPr>
        <w:spacing w:after="0" w:line="3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8"/>
          </w:cols>
          <w:pgMar w:left="572" w:top="796" w:right="239" w:bottom="1440" w:gutter="0" w:footer="0" w:header="0"/>
        </w:sectPr>
      </w:pPr>
    </w:p>
    <w:bookmarkStart w:id="7" w:name="page8"/>
    <w:bookmarkEnd w:id="7"/>
    <w:p>
      <w:pPr>
        <w:ind w:left="660" w:hanging="328"/>
        <w:spacing w:after="0" w:line="274"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Services. </w:t>
      </w:r>
      <w:r>
        <w:rPr>
          <w:rFonts w:ascii="Arial" w:cs="Arial" w:eastAsia="Arial" w:hAnsi="Arial"/>
          <w:sz w:val="17"/>
          <w:szCs w:val="17"/>
          <w:color w:val="auto"/>
        </w:rPr>
        <w:t>We negotiate payment for services with our clients based on market conditions and needs. We generally bill our nurse and</w:t>
      </w:r>
      <w:r>
        <w:rPr>
          <w:rFonts w:ascii="Arial" w:cs="Arial" w:eastAsia="Arial" w:hAnsi="Arial"/>
          <w:sz w:val="17"/>
          <w:szCs w:val="17"/>
          <w:b w:val="1"/>
          <w:bCs w:val="1"/>
          <w:color w:val="auto"/>
        </w:rPr>
        <w:t xml:space="preserve"> </w:t>
      </w:r>
      <w:r>
        <w:rPr>
          <w:rFonts w:ascii="Arial" w:cs="Arial" w:eastAsia="Arial" w:hAnsi="Arial"/>
          <w:sz w:val="17"/>
          <w:szCs w:val="17"/>
          <w:color w:val="auto"/>
        </w:rPr>
        <w:t>allied employees at an hourly rate which includes all employer costs, including payroll, withholding taxes, benefits, professional liability insurance, meals and incidentals, and other requirements, as well as any travel and housing arrangements, where applicable. Our shared service center processes hours worked by field employees in the time and attendance systems, which in turn generate the billable transactions to our clients. Hours worked by independent contractor physicians are reported to our MDA office. For our physician and executive search business, Cejka typically bills its clients a candidate acquisition fee and is reimbursed for certain marketing expenses.</w:t>
      </w:r>
    </w:p>
    <w:p>
      <w:pPr>
        <w:spacing w:after="0" w:line="173" w:lineRule="exact"/>
        <w:rPr>
          <w:rFonts w:ascii="Arial" w:cs="Arial" w:eastAsia="Arial" w:hAnsi="Arial"/>
          <w:sz w:val="17"/>
          <w:szCs w:val="17"/>
          <w:b w:val="1"/>
          <w:bCs w:val="1"/>
          <w:color w:val="auto"/>
        </w:rPr>
      </w:pPr>
    </w:p>
    <w:p>
      <w:pPr>
        <w:ind w:left="660" w:right="60" w:hanging="328"/>
        <w:spacing w:after="0" w:line="272"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Operations. </w:t>
      </w:r>
      <w:r>
        <w:rPr>
          <w:rFonts w:ascii="Arial" w:cs="Arial" w:eastAsia="Arial" w:hAnsi="Arial"/>
          <w:sz w:val="17"/>
          <w:szCs w:val="17"/>
          <w:color w:val="auto"/>
        </w:rPr>
        <w:t>Our Nurse and Allied and Physician Staffing businesses are operated through a relatively centralized business model servicing all</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needs of our healthcare professional employees, physicians, and client healthcare facilities primarily through operation centers located in Boca Raton, Florida; Newtown Square, Pennsylvania; West Chester, Ohio; Woodland Hills, California; and Berkeley Lake, Georgia. In addition to the key sales and recruitment activities, certain of these centers also perform support activities such as coordinating housing, payroll processing, benefits administration, billing and collections, travel reimbursement processing, customer service, and risk management. Cejka Search primarily operates its business from its headquarters located in Creve Coeur, Missouri. This business operates relatively independently, other than certain ancillary services that are provided from our Boca Raton, Florida headquarters, such as payroll, legal, and information systems support. On December 31, 2018, we had 73 office locations.</w:t>
      </w:r>
    </w:p>
    <w:p>
      <w:pPr>
        <w:spacing w:after="0" w:line="172" w:lineRule="exact"/>
        <w:rPr>
          <w:rFonts w:ascii="Arial" w:cs="Arial" w:eastAsia="Arial" w:hAnsi="Arial"/>
          <w:sz w:val="17"/>
          <w:szCs w:val="17"/>
          <w:b w:val="1"/>
          <w:bCs w:val="1"/>
          <w:color w:val="auto"/>
        </w:rPr>
      </w:pPr>
    </w:p>
    <w:p>
      <w:pPr>
        <w:ind w:left="660" w:right="20" w:hanging="328"/>
        <w:spacing w:after="0" w:line="292"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Information Systems. </w:t>
      </w:r>
      <w:r>
        <w:rPr>
          <w:rFonts w:ascii="Arial" w:cs="Arial" w:eastAsia="Arial" w:hAnsi="Arial"/>
          <w:sz w:val="16"/>
          <w:szCs w:val="16"/>
          <w:color w:val="auto"/>
        </w:rPr>
        <w:t>Various information systems are utilized to run our customer relationship management, recruitment, and placement functions</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our different brands. Some of these sophisticated applications are proprietary and are hosted in Tier 1 hosting facilities while other systems are Software as a Service (SaaS) based and hosted by our vendor partners. Our systems maintain detailed information about our client required skillsets and status which assist us in enabling fulfillment and assignment renewals. Our databases contain an extensive pool of existing and potential customers and all related recruitment and sales activity. Our financial and human resource systems are managed on leading enterprise resource planning software suites that manage certain aspects of accounts payable, accounts receivable, general ledger, billing, and human capital management. All of our systems are managed by our onshore and offshore Information Technology team.</w:t>
      </w:r>
    </w:p>
    <w:p>
      <w:pPr>
        <w:spacing w:after="0" w:line="161" w:lineRule="exact"/>
        <w:rPr>
          <w:rFonts w:ascii="Arial" w:cs="Arial" w:eastAsia="Arial" w:hAnsi="Arial"/>
          <w:sz w:val="16"/>
          <w:szCs w:val="16"/>
          <w:b w:val="1"/>
          <w:bCs w:val="1"/>
          <w:color w:val="auto"/>
        </w:rPr>
      </w:pPr>
    </w:p>
    <w:p>
      <w:pPr>
        <w:ind w:left="660" w:right="140" w:hanging="328"/>
        <w:spacing w:after="0" w:line="298"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 Management, Insurance, and Benefits. </w:t>
      </w:r>
      <w:r>
        <w:rPr>
          <w:rFonts w:ascii="Arial" w:cs="Arial" w:eastAsia="Arial" w:hAnsi="Arial"/>
          <w:sz w:val="16"/>
          <w:szCs w:val="16"/>
          <w:color w:val="auto"/>
        </w:rPr>
        <w:t>We have developed a risk management program that requires prompt notification of incidents by</w:t>
      </w:r>
      <w:r>
        <w:rPr>
          <w:rFonts w:ascii="Arial" w:cs="Arial" w:eastAsia="Arial" w:hAnsi="Arial"/>
          <w:sz w:val="16"/>
          <w:szCs w:val="16"/>
          <w:b w:val="1"/>
          <w:bCs w:val="1"/>
          <w:color w:val="auto"/>
        </w:rPr>
        <w:t xml:space="preserve"> </w:t>
      </w:r>
      <w:r>
        <w:rPr>
          <w:rFonts w:ascii="Arial" w:cs="Arial" w:eastAsia="Arial" w:hAnsi="Arial"/>
          <w:sz w:val="16"/>
          <w:szCs w:val="16"/>
          <w:color w:val="auto"/>
        </w:rPr>
        <w:t>clients, clinicians, and independent contractors, educational training to our employees, loss analysis, and prompt reporting procedures to reduce our risk of exposure. While we cannot predict the future, we continuously review facts and incidents associated with professional liability and workers’ compensation claims in order to identify trends and reduce our risk of loss in the future where possible. We consider assessments provided by our clients and we work with clinicians and experts from our insurance carriers to determine employment eligibility and potential exposure.</w:t>
      </w:r>
    </w:p>
    <w:p>
      <w:pPr>
        <w:spacing w:after="0" w:line="158" w:lineRule="exact"/>
        <w:rPr>
          <w:rFonts w:ascii="Arial" w:cs="Arial" w:eastAsia="Arial" w:hAnsi="Arial"/>
          <w:sz w:val="16"/>
          <w:szCs w:val="16"/>
          <w:b w:val="1"/>
          <w:bCs w:val="1"/>
          <w:color w:val="auto"/>
        </w:rPr>
      </w:pPr>
    </w:p>
    <w:p>
      <w:pPr>
        <w:ind w:left="660" w:right="6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We provide workers’ compensation insurance coverage, professional liability coverage, and healthcare benefits for our eligible employed temporary professionals. We record our estimate of the ultimate cost of, and reserves for, workers' compensation and professional liability benefits based on actuarial models prepared or reviewed by an independent actuary using our loss history as well as industry statistics. In determining our reserves, we include reserves for estimated claims incurred but not reported. We also estimate on a quarterly basis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spacing w:after="0" w:line="83" w:lineRule="exact"/>
        <w:rPr>
          <w:rFonts w:ascii="Arial" w:cs="Arial" w:eastAsia="Arial" w:hAnsi="Arial"/>
          <w:sz w:val="16"/>
          <w:szCs w:val="16"/>
          <w:b w:val="1"/>
          <w:bCs w:val="1"/>
          <w:color w:val="auto"/>
        </w:rPr>
      </w:pPr>
    </w:p>
    <w:p>
      <w:pPr>
        <w:ind w:left="660" w:right="1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maintains a number of insurance policies including general liability, workers’ compensation, fidelity, employment practices liability, fiduciary, directors and officers, cyber, property, and professional liability policies. These policies provide coverage subject to their terms, conditions, limits of liability, and deductibles, for certain liabilities that may arise from our operations. There can be no assurance that any of the above policies will be adequate for our needs, or that we will maintain all such policies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Geographic Markets and Client Base</w:t>
      </w:r>
    </w:p>
    <w:p>
      <w:pPr>
        <w:spacing w:after="0" w:line="14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2018, 2017 and 2016, all of our revenue was generated in the United States, and all of our long-lived assets were located in the United States and India. On a company-wide basis, we have approximately 7,500 active contracts with healthcare clients, and we provide our staffing services and workforce solutions in all 50 states. During 2018, the largest percentage of our revenue was concentrated in New York, Florida, and California. We provide services to public and private acute care hospitals, public and charter schools, outpatient clinics, ambulatory care facilities, single and multi-specialty physician practices,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8" w:name="page9"/>
    <w:bookmarkEnd w:id="8"/>
    <w:p>
      <w:pPr>
        <w:ind w:right="280"/>
        <w:spacing w:after="0" w:line="277" w:lineRule="auto"/>
        <w:rPr>
          <w:sz w:val="20"/>
          <w:szCs w:val="20"/>
          <w:color w:val="auto"/>
        </w:rPr>
      </w:pPr>
      <w:r>
        <w:rPr>
          <w:rFonts w:ascii="Arial" w:cs="Arial" w:eastAsia="Arial" w:hAnsi="Arial"/>
          <w:sz w:val="18"/>
          <w:szCs w:val="18"/>
          <w:color w:val="auto"/>
        </w:rPr>
        <w:t>rehabilitation facilities, urgent care centers, correctional facilities, government facilities, retailers, and many other healthcare providers. In 2018, 2017, and 2016 no client accounted for more than 5% of our revenue.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compete in the U.S. temporary healthcare staffing and workforce solutions markets. Staffing Industry Analysts September 2018 report estimates the healthcare staffing markets in which we operate had an aggregate market size of $16.8 billion in 2018 of which $5.3 billion was travel nursing, $3.5 billion was per diem nursing, $4.0 billion was allied health and $4.0 billion was locum tenens and advanced practitioners. The demand for our services is impacted by many factors, however, we believe the most significant are the following:</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Industry Demand Drivers</w:t>
      </w:r>
    </w:p>
    <w:p>
      <w:pPr>
        <w:spacing w:after="0" w:line="144" w:lineRule="exact"/>
        <w:rPr>
          <w:sz w:val="20"/>
          <w:szCs w:val="20"/>
          <w:color w:val="auto"/>
        </w:rPr>
      </w:pPr>
    </w:p>
    <w:p>
      <w:pPr>
        <w:ind w:left="580" w:right="120"/>
        <w:spacing w:after="0" w:line="281" w:lineRule="auto"/>
        <w:rPr>
          <w:sz w:val="20"/>
          <w:szCs w:val="20"/>
          <w:color w:val="auto"/>
        </w:rPr>
      </w:pPr>
      <w:r>
        <w:rPr>
          <w:rFonts w:ascii="Arial" w:cs="Arial" w:eastAsia="Arial" w:hAnsi="Arial"/>
          <w:sz w:val="17"/>
          <w:szCs w:val="17"/>
          <w:b w:val="1"/>
          <w:bCs w:val="1"/>
          <w:color w:val="auto"/>
        </w:rPr>
        <w:t xml:space="preserve">Economic Backdrop. </w:t>
      </w:r>
      <w:r>
        <w:rPr>
          <w:rFonts w:ascii="Arial" w:cs="Arial" w:eastAsia="Arial" w:hAnsi="Arial"/>
          <w:sz w:val="17"/>
          <w:szCs w:val="17"/>
          <w:color w:val="auto"/>
        </w:rPr>
        <w:t>The U.S. economy had a strong year in 2018, and according to the U.S. Bureau of Labor Statistics the job market showed</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continued signs of continued growth with unemployment at 3.9% as of December 2018. The strong U.S. economy has led to solid job growth, which we expect will result in more individuals receiving healthcare from their employers - thus supporting the demand for healthcare services. A growing U.S. economy coupled with a low unemployment rate typically results in an increase in demand for our services</w:t>
      </w:r>
    </w:p>
    <w:p>
      <w:pPr>
        <w:spacing w:after="0" w:line="84"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b w:val="1"/>
          <w:bCs w:val="1"/>
          <w:color w:val="auto"/>
        </w:rPr>
        <w:t xml:space="preserve">Increased Need for Healthcare and Special Education Services in Schools. </w:t>
      </w:r>
      <w:r>
        <w:rPr>
          <w:rFonts w:ascii="Arial" w:cs="Arial" w:eastAsia="Arial" w:hAnsi="Arial"/>
          <w:sz w:val="16"/>
          <w:szCs w:val="16"/>
          <w:color w:val="auto"/>
        </w:rPr>
        <w:t>The Individuals with Disabilities Education Act (IDEA), enacted in</w:t>
      </w:r>
      <w:r>
        <w:rPr>
          <w:rFonts w:ascii="Arial" w:cs="Arial" w:eastAsia="Arial" w:hAnsi="Arial"/>
          <w:sz w:val="16"/>
          <w:szCs w:val="16"/>
          <w:b w:val="1"/>
          <w:bCs w:val="1"/>
          <w:color w:val="auto"/>
        </w:rPr>
        <w:t xml:space="preserve"> </w:t>
      </w:r>
      <w:r>
        <w:rPr>
          <w:rFonts w:ascii="Arial" w:cs="Arial" w:eastAsia="Arial" w:hAnsi="Arial"/>
          <w:sz w:val="16"/>
          <w:szCs w:val="16"/>
          <w:color w:val="auto"/>
        </w:rPr>
        <w:t>1975, mandates that children and youth ages 3-21 with disabilities be provided a free and appropriate public school education. According to the U.S. Department of Education, National Center for Education Statistic Report titled “The Condition of Education" (April 2018), the number of children and youth ages 3-21 receiving special education services was 6.7 million, or about 13% of traditional public and charter school enrollment. The IDEA requires that these children and young adults receive care from speech language pathologists, physical therapists, occupational therapists, nurses and other healthcare professionals while at school. Based on the foregoing, we believe the demand for consulting and healthcare staffing services for public schools and charter schools will continue to be strong for agencies that can provide consulting services, healthcare personnel, technical assistance on policies, implementation, and training related to children and youth with special needs in school settings.</w:t>
      </w:r>
    </w:p>
    <w:p>
      <w:pPr>
        <w:spacing w:after="0" w:line="79" w:lineRule="exact"/>
        <w:rPr>
          <w:sz w:val="20"/>
          <w:szCs w:val="20"/>
          <w:color w:val="auto"/>
        </w:rPr>
      </w:pPr>
    </w:p>
    <w:p>
      <w:pPr>
        <w:ind w:left="580" w:right="20"/>
        <w:spacing w:after="0" w:line="292" w:lineRule="auto"/>
        <w:rPr>
          <w:sz w:val="20"/>
          <w:szCs w:val="20"/>
          <w:color w:val="auto"/>
        </w:rPr>
      </w:pPr>
      <w:r>
        <w:rPr>
          <w:rFonts w:ascii="Arial" w:cs="Arial" w:eastAsia="Arial" w:hAnsi="Arial"/>
          <w:sz w:val="16"/>
          <w:szCs w:val="16"/>
          <w:b w:val="1"/>
          <w:bCs w:val="1"/>
          <w:color w:val="auto"/>
        </w:rPr>
        <w:t xml:space="preserve">Creation of Healthcare Jobs Outpacing Other Industries and Occupations. </w:t>
      </w:r>
      <w:r>
        <w:rPr>
          <w:rFonts w:ascii="Arial" w:cs="Arial" w:eastAsia="Arial" w:hAnsi="Arial"/>
          <w:sz w:val="16"/>
          <w:szCs w:val="16"/>
          <w:color w:val="auto"/>
        </w:rPr>
        <w:t>Healthcare represented 14% of all jobs created in 2018</w:t>
      </w:r>
      <w:r>
        <w:rPr>
          <w:rFonts w:ascii="Arial" w:cs="Arial" w:eastAsia="Arial" w:hAnsi="Arial"/>
          <w:sz w:val="16"/>
          <w:szCs w:val="16"/>
          <w:b w:val="1"/>
          <w:bCs w:val="1"/>
          <w:color w:val="auto"/>
        </w:rPr>
        <w:t xml:space="preserve"> </w:t>
      </w:r>
      <w:r>
        <w:rPr>
          <w:rFonts w:ascii="Arial" w:cs="Arial" w:eastAsia="Arial" w:hAnsi="Arial"/>
          <w:sz w:val="16"/>
          <w:szCs w:val="16"/>
          <w:color w:val="auto"/>
        </w:rPr>
        <w:t>(HealthleadersMedia.com, January 4, 2019). According to the Bureau of Labor Statistics, overall, employment is expected to grow 7.4%, far outpaced by employment in the healthcare industry (18%) and among healthcare occupations (18%) (Staffing Industry Analysts, December 14, 2017). This projected 18% growth varies, however, among three categories that make up the healthcare industry: (i) ambulatory healthcare services; (ii) nursing and residential care; and (iii) hospitals. Employment for ambulatory healthcare services is projected to grow 31%; nursing and residential care is projected to grow 13%, and hospital employment is projected to grow 6.8%. We expect the creation of additional jobs in the healthcare market will increase demand for our services as our temporary staff are typically hired to replace healthcare workers taking vacation and leaves of absence.</w:t>
      </w:r>
    </w:p>
    <w:p>
      <w:pPr>
        <w:spacing w:after="0" w:line="81" w:lineRule="exact"/>
        <w:rPr>
          <w:sz w:val="20"/>
          <w:szCs w:val="20"/>
          <w:color w:val="auto"/>
        </w:rPr>
      </w:pPr>
    </w:p>
    <w:p>
      <w:pPr>
        <w:ind w:left="580"/>
        <w:spacing w:after="0" w:line="258" w:lineRule="auto"/>
        <w:rPr>
          <w:sz w:val="20"/>
          <w:szCs w:val="20"/>
          <w:color w:val="auto"/>
        </w:rPr>
      </w:pPr>
      <w:r>
        <w:rPr>
          <w:rFonts w:ascii="Arial" w:cs="Arial" w:eastAsia="Arial" w:hAnsi="Arial"/>
          <w:sz w:val="18"/>
          <w:szCs w:val="18"/>
          <w:b w:val="1"/>
          <w:bCs w:val="1"/>
          <w:color w:val="auto"/>
        </w:rPr>
        <w:t xml:space="preserve">Outpatient/Ambulatory Settings Services Outpace Inpatient Services. </w:t>
      </w:r>
      <w:r>
        <w:rPr>
          <w:rFonts w:ascii="Arial" w:cs="Arial" w:eastAsia="Arial" w:hAnsi="Arial"/>
          <w:sz w:val="18"/>
          <w:szCs w:val="18"/>
          <w:color w:val="auto"/>
        </w:rPr>
        <w:t>According to the U.S. Census Bureau, the ambulatory healthcare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sector added 37,800 jobs in December 2018, while hospitals added 7,400 jobs in the same. We believe certain government initiatives previously taken, such as Medicare reimbursement incentives for reduced readmissions, have had a direct correlation to the shift from inpatient services to outpatient/ambulatory settings and job growth in that area. We believe this growth will have a positive impact on demand for healthcare staffing services in outpatient/ambulatory settings.</w:t>
      </w:r>
    </w:p>
    <w:p>
      <w:pPr>
        <w:spacing w:after="0" w:line="103" w:lineRule="exact"/>
        <w:rPr>
          <w:sz w:val="20"/>
          <w:szCs w:val="20"/>
          <w:color w:val="auto"/>
        </w:rPr>
      </w:pPr>
    </w:p>
    <w:p>
      <w:pPr>
        <w:ind w:left="580" w:right="60"/>
        <w:spacing w:after="0" w:line="258" w:lineRule="auto"/>
        <w:rPr>
          <w:sz w:val="20"/>
          <w:szCs w:val="20"/>
          <w:color w:val="auto"/>
        </w:rPr>
      </w:pPr>
      <w:r>
        <w:rPr>
          <w:rFonts w:ascii="Arial" w:cs="Arial" w:eastAsia="Arial" w:hAnsi="Arial"/>
          <w:sz w:val="18"/>
          <w:szCs w:val="18"/>
          <w:b w:val="1"/>
          <w:bCs w:val="1"/>
          <w:color w:val="auto"/>
        </w:rPr>
        <w:t xml:space="preserve">Hospitals Seeking Efficiencies Through Various Workforce Solutions. </w:t>
      </w:r>
      <w:r>
        <w:rPr>
          <w:rFonts w:ascii="Arial" w:cs="Arial" w:eastAsia="Arial" w:hAnsi="Arial"/>
          <w:sz w:val="18"/>
          <w:szCs w:val="18"/>
          <w:color w:val="auto"/>
        </w:rPr>
        <w:t>Hospitals continue to face pressure to keep costs down. In addition,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shift away from volume-based pricing to value-based pricing has continued. We believe these dynamics continue to put pressure on hospitals to find innovative solutions in order to better manage their workforce, which accounts for a large portion of their expenses. As a result, we believe healthcare facilities and providers will continue to utilize workforce solutions, such as MSP, RPO, IRP, and other talent management tools to help them solve these problems and maintain their quality of care.</w:t>
      </w:r>
    </w:p>
    <w:p>
      <w:pPr>
        <w:spacing w:after="0" w:line="103" w:lineRule="exact"/>
        <w:rPr>
          <w:sz w:val="20"/>
          <w:szCs w:val="20"/>
          <w:color w:val="auto"/>
        </w:rPr>
      </w:pPr>
    </w:p>
    <w:p>
      <w:pPr>
        <w:ind w:left="580" w:right="280"/>
        <w:spacing w:after="0" w:line="277" w:lineRule="auto"/>
        <w:rPr>
          <w:sz w:val="20"/>
          <w:szCs w:val="20"/>
          <w:color w:val="auto"/>
        </w:rPr>
      </w:pPr>
      <w:r>
        <w:rPr>
          <w:rFonts w:ascii="Arial" w:cs="Arial" w:eastAsia="Arial" w:hAnsi="Arial"/>
          <w:sz w:val="17"/>
          <w:szCs w:val="17"/>
          <w:b w:val="1"/>
          <w:bCs w:val="1"/>
          <w:color w:val="auto"/>
        </w:rPr>
        <w:t>Macro Drivers of Demand</w:t>
      </w:r>
      <w:r>
        <w:rPr>
          <w:rFonts w:ascii="Arial" w:cs="Arial" w:eastAsia="Arial" w:hAnsi="Arial"/>
          <w:sz w:val="17"/>
          <w:szCs w:val="17"/>
          <w:color w:val="auto"/>
        </w:rPr>
        <w:t>. The Affordable Care Act (ACA) increased the number of insured patients over the past few years, especially in states</w:t>
      </w:r>
      <w:r>
        <w:rPr>
          <w:rFonts w:ascii="Arial" w:cs="Arial" w:eastAsia="Arial" w:hAnsi="Arial"/>
          <w:sz w:val="17"/>
          <w:szCs w:val="17"/>
          <w:b w:val="1"/>
          <w:bCs w:val="1"/>
          <w:color w:val="auto"/>
        </w:rPr>
        <w:t xml:space="preserve"> </w:t>
      </w:r>
      <w:r>
        <w:rPr>
          <w:rFonts w:ascii="Arial" w:cs="Arial" w:eastAsia="Arial" w:hAnsi="Arial"/>
          <w:sz w:val="17"/>
          <w:szCs w:val="17"/>
          <w:color w:val="auto"/>
        </w:rPr>
        <w:t>that expanded Medicaid. It has been reported that the effect of the ACA on healthcare utilization has been that 20 million people gained health insurance coverage. However, the elimination of the individual mandate and other efforts by the current administration may negatively impact the number of individuals with health insurance coverage. In addition, two other long-term macro drivers of our business, a growing and aging U.S. population, should continue to drive demand for our services. According to the U.S. Census Bureau, the number of</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9" w:name="page10"/>
    <w:bookmarkEnd w:id="9"/>
    <w:p>
      <w:pPr>
        <w:ind w:left="580" w:right="200"/>
        <w:spacing w:after="0" w:line="277" w:lineRule="auto"/>
        <w:rPr>
          <w:sz w:val="20"/>
          <w:szCs w:val="20"/>
          <w:color w:val="auto"/>
        </w:rPr>
      </w:pPr>
      <w:r>
        <w:rPr>
          <w:rFonts w:ascii="Arial" w:cs="Arial" w:eastAsia="Arial" w:hAnsi="Arial"/>
          <w:sz w:val="18"/>
          <w:szCs w:val="18"/>
          <w:color w:val="auto"/>
        </w:rPr>
        <w:t>persons aged 65 and over is expected to increase to 98 million in 2060, which is important because the utilization of healthcare services is generally higher among older people.</w:t>
      </w:r>
    </w:p>
    <w:p>
      <w:pPr>
        <w:spacing w:after="0" w:line="85"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b w:val="1"/>
          <w:bCs w:val="1"/>
          <w:color w:val="auto"/>
        </w:rPr>
        <w:t xml:space="preserve">Supply of Nurses. </w:t>
      </w:r>
      <w:r>
        <w:rPr>
          <w:rFonts w:ascii="Arial" w:cs="Arial" w:eastAsia="Arial" w:hAnsi="Arial"/>
          <w:sz w:val="17"/>
          <w:szCs w:val="17"/>
          <w:color w:val="auto"/>
        </w:rPr>
        <w:t>The Georgetown University Center on Education and the Workforce (CEW) predicts a shortage of 192,620 nurses in 2020, which</w:t>
      </w:r>
      <w:r>
        <w:rPr>
          <w:rFonts w:ascii="Arial" w:cs="Arial" w:eastAsia="Arial" w:hAnsi="Arial"/>
          <w:sz w:val="17"/>
          <w:szCs w:val="17"/>
          <w:b w:val="1"/>
          <w:bCs w:val="1"/>
          <w:color w:val="auto"/>
        </w:rPr>
        <w:t xml:space="preserve"> </w:t>
      </w:r>
      <w:r>
        <w:rPr>
          <w:rFonts w:ascii="Arial" w:cs="Arial" w:eastAsia="Arial" w:hAnsi="Arial"/>
          <w:sz w:val="17"/>
          <w:szCs w:val="17"/>
          <w:color w:val="auto"/>
        </w:rPr>
        <w:t>differs from the surplus of nurses predicted for 2025 by the Health Resources and Services Administration (HRSA) National Center for Health Workforce Analysis (Georgetown University Center on Education and the Workforce (CEW), Forecasts of Nursing Demand 2015). However, with healthcare now representing almost 20% of the U.S. economy, the aging of the U.S. population, and the expanded healthcare coverage under the ACA, both the CEW and HRSA agree that demand for healthcare services and healthcare workers will continue to grow. In addition, by 2030 it is expected that almost a million nurses will retire and leave the workforce taking with them the years of knowledge and experience they have accumulated (Modern Healthcare, Nursing Shortage In Perspective, January 1, 2018). There is also an imbalance of RNs at the state level where many states are projected to experience a smaller growth in RN supply relative to their state-specific demand, resulting in a geographical shortage of RNs by 2025. A shortfall of registered nurses in particular specialties is also expected over the next ten years (Georgetown University CEW, Forecasts of Nursing Demand 2015). We believe these geographic and specialty related shortages should have a positive effect on demand for our services as temporary nurse staffing orders typically increase when nurse vacancy rates rise.</w:t>
      </w:r>
    </w:p>
    <w:p>
      <w:pPr>
        <w:spacing w:after="0" w:line="93" w:lineRule="exact"/>
        <w:rPr>
          <w:sz w:val="20"/>
          <w:szCs w:val="20"/>
          <w:color w:val="auto"/>
        </w:rPr>
      </w:pPr>
    </w:p>
    <w:p>
      <w:pPr>
        <w:ind w:left="580" w:right="140"/>
        <w:spacing w:after="0" w:line="256" w:lineRule="auto"/>
        <w:rPr>
          <w:sz w:val="20"/>
          <w:szCs w:val="20"/>
          <w:color w:val="auto"/>
        </w:rPr>
      </w:pPr>
      <w:r>
        <w:rPr>
          <w:rFonts w:ascii="Arial" w:cs="Arial" w:eastAsia="Arial" w:hAnsi="Arial"/>
          <w:sz w:val="18"/>
          <w:szCs w:val="18"/>
          <w:b w:val="1"/>
          <w:bCs w:val="1"/>
          <w:color w:val="auto"/>
        </w:rPr>
        <w:t xml:space="preserve">Physician Shortage. </w:t>
      </w:r>
      <w:r>
        <w:rPr>
          <w:rFonts w:ascii="Arial" w:cs="Arial" w:eastAsia="Arial" w:hAnsi="Arial"/>
          <w:sz w:val="18"/>
          <w:szCs w:val="18"/>
          <w:color w:val="auto"/>
        </w:rPr>
        <w:t>According to the Association of American Medical Colleges (AAMC), the United States is expected to face a shortage of</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over the next decade. The projections show a shortage ranging between 61,700 and 94,700 in 2025 as demand for physicians continues to outpace supply, according to AAMC, with a significant shortage showing among many surgical specialties. In addition, according to the Association of American Medical Colleges (AAMC), 44.1% of physicians in the U.S. is age 55 or older and nearing retirement and, while the number of applicants to U.S. medical schools is increasing, it is not expected to keep pace with expected future demand. This is a significant factor in the demand for locum tenens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Competition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workforce solutions and healthcare staffing industries are highly competitive. We compete on a national, regional, and local basis in both industries for healthcare clients and healthcare professionals. We are one of the largest providers in the U.S. of workforce solutions in the healthcare industry and nurse and allied healthcare staffing. In both of these industries, we compete with a few national competitors together with numerous smaller, regional, and local companies, particularly in the per diem business.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principal competitive factors in attracting, retaining, and expanding business with healthcare clients nationally include: (i) understanding the client’s work environment; (ii) offering a comprehensive suite of services to assist the client in assessing its personnel needs and partnering with clients to design various customizable alternative solutions; (iii) the timely filling of clients' needs; (iv) price; (v) customer service; (vi) quality assurance and screening capabilities; (vii) risk management policies; (viii) insurance coverage; and (ix) general industry reputation.</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we benefit competitively from the breadth and expertise of value-added workforce solutions that we offer. We also have the ability to meet a national shift towards a more integrated delivery of healthcare through our extensive branch network which allows us to assist hospitals and health systems turning to lower-cost, more accessible alternatives, such as outpatient or ambulatory care centers. By offering travel, per diem, and permanent placement of a variety of healthcare professionals, we are able to offer many different types of personnel to hospitals and health systems at their main campuses and their ambulatory and outpatient facilities. In addition, our joint venture with a large health system's staffing subsidiary provides us with a unique insight into the challenges facing many of our hospital clients generally and this provides us with the opportunity to better serve all of our clients by designing and implementing workforce solutions to meet their needs.</w:t>
      </w:r>
    </w:p>
    <w:p>
      <w:pPr>
        <w:spacing w:after="0" w:line="1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principal competitive factors in attracting qualified healthcare professionals for temporary employment include: (i) a large national pool of desirable assignments; (ii) pay and benefits; (iii) speed of placements; (iv) customer service; (v) quality of accommodations; and (vi) overall industry reputation. We focus on retaining healthcare professionals by providing high-quality customer service, long-term benefits (to employees), and medical malpractice insurance.</w:t>
      </w:r>
    </w:p>
    <w:p>
      <w:pPr>
        <w:spacing w:after="0" w:line="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a candidate attraction standpoint, we have an extensive client base with hospitals and healthcare facilities, and other healthcare providers, throughout the U.S. As a result, we have a diverse choice of assignments for our healthcare professionals to choose from. Healthcare professionals apply with us through our differentiated nursing, locum tenens, and allied healthcare recruitment brands. Our local branch network also provides us access to local healthcare professionals who are uniquely qualified to provide care in ambulatory and outpatient settings. We believe our access to such a large and diverse group of healthcare professionals makes us more attractive to healthcare institutions and facilities seeking healthcare staffing and workforce solutions in the current dynamic marketplace.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0" w:name="page11"/>
    <w:bookmarkEnd w:id="10"/>
    <w:p>
      <w:pPr>
        <w:ind w:right="20"/>
        <w:spacing w:after="0" w:line="279" w:lineRule="auto"/>
        <w:rPr>
          <w:sz w:val="20"/>
          <w:szCs w:val="20"/>
          <w:color w:val="auto"/>
        </w:rPr>
      </w:pPr>
      <w:r>
        <w:rPr>
          <w:rFonts w:ascii="Arial" w:cs="Arial" w:eastAsia="Arial" w:hAnsi="Arial"/>
          <w:sz w:val="17"/>
          <w:szCs w:val="17"/>
          <w:color w:val="auto"/>
        </w:rPr>
        <w:t>We believe we are one of only two large full-service healthcare staffing providers with a national footprint; one of the top five providers of physician staffing services in the U.S.; and one of the top providers of retained and contingent physician and healthcare executive search services in the healthcare marketplace. Some of our competitors in the workforce solutions, healthcare staffing, and search businesses include: AMN Healthcare Services, Inc., CHG Healthcare Services, Maxim Healthcare, Jackson Healthcare, Aya Healthcare, HealthTrust Workforce Solutions, and Witt Kiefer.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staffing businesses of our Cross Country Staffing, Medical Staffing Network, Mediscan, Advantage, and AP Staffing brands are certified by The Joint Commission under its Health Care Staffing Services Certification Program. In addition, Credent Verification and Licensing Services, a subsidiary of MDA, is certified by the NCQA.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4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business is subject to regulation by numerous governmental authorities in the jurisdictions in which we operate. Complex federal and state laws and regulations govern, among other things, the licensure of professionals, the payment of our employees (e.g., wage and hour laws, employment taxes and income tax withholdings, etc.), and the operations of our business generally. We conduct business primarily in the U.S. and are subject to federal and state laws and regulations applicable to our business,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2018, we had approximately 1,750 corporate employees. During 2018, we employed an average of 7,154 full-time equivalent field employees in Nurse and Allied Staffing which does not include our Physician Staffing independent contractors, all of whom are not employees. During 2018, we became subject to a collective bargaining agreement covering approximately 450 of our employees at OWS, LLC with Local 1199 of the Service Employees International Union. We consider our relationship with employees to be good.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Financial reports and filings with the Securities and Exchange Commission (SEC), including this Annual Report on Form 10-K, are available free of charge as soon as reasonably practicable after filing such material with, or furnishing it to, the SEC, on or through our corporate website at </w:t>
      </w:r>
      <w:r>
        <w:rPr>
          <w:rFonts w:ascii="Arial" w:cs="Arial" w:eastAsia="Arial" w:hAnsi="Arial"/>
          <w:sz w:val="18"/>
          <w:szCs w:val="18"/>
          <w:u w:val="single" w:color="auto"/>
          <w:color w:val="auto"/>
        </w:rPr>
        <w:t>www.crosscountryhealthcare.com</w:t>
      </w:r>
      <w:r>
        <w:rPr>
          <w:rFonts w:ascii="Arial" w:cs="Arial" w:eastAsia="Arial" w:hAnsi="Arial"/>
          <w:sz w:val="18"/>
          <w:szCs w:val="18"/>
          <w:color w:val="auto"/>
        </w:rPr>
        <w:t>. The information found on our website is not part of this Annual Report on Form 10-K or any other report we file with or furnish to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i w:val="1"/>
          <w:iCs w:val="1"/>
          <w:color w:val="auto"/>
        </w:rPr>
        <w:t>The following risk factors could materially and adversely affect our future operating results and could cause actual results to differ materially from those predicted in the forward-looking statements we make about our business. Our risks are identified primarily through dialogue with our leaders, including a formal Enterprise Risk assessment, industry trends, our experience, and consideration of the current external market and financial environment. These risk factors are considered in our overall strategy and execution of operations. Factors we currently consider immaterial and factors we currently do not know may also materially adversely affect our business or our consolidated results, financial condition,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Decreases in demand by our clients may adversely affect the profitability of our business.</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Among other things, changes in the economy, a decrease or stagnation in the general level of in-patient admissions or out-patient services at our clients’ facilities, uncertainty regarding or changes to federal healthcare law and the willingness of our hospital, healthcare facilities and physician group clients to develop their own temporary staffing pools and increase the productivity of their permanent staff may, individually or in the aggregate, significantly affect demand for our temporary healthcare staffing services and may hamper our ability to attract, develop and retain clients. When a hospital’s admissions increase, temporary employees or other healthcare professionals are often added before full-time employees are hired. As admissions decrease, clients typically reduce their use of temporary employees or other healthcare professionals before undertaking layoffs of their permanent employees. In addition, if hospitals continue to consolidate in an effort to enhance their market positions, improve operational efficiency, and create organizations capable of managing population health, demand for our services could decrease. Decreases in demand for our services may also affect our ability to provide attractive assignments to our healthcare professionals.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800"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clients may terminate or not renew their contracts with us.</w:t>
      </w:r>
    </w:p>
    <w:p>
      <w:pPr>
        <w:spacing w:after="0" w:line="14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arrangements with hospitals, healthcare facilities and physician group clients are generally terminable upon 30 to 90 days’ notice. We may have fixed costs, including housing costs, associated with terminated arrangements that we will be obligated to pay post-termination, thus negatively impacting our profitability. In addition, the loss of one or more of our large clients could materially affect our profitability.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recruit enough quality healthcare professionals to meet our clients’ demands.</w:t>
      </w:r>
    </w:p>
    <w:p>
      <w:pPr>
        <w:spacing w:after="0" w:line="14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rely significantly on our ability to attract, develop and retain healthcare professionals who possess the skills, experience and, as required, licensure necessary to meet the specified requirements of our healthcare clients. We compete for healthcare staffing personnel with other temporary healthcare staffing companies as well as actual and potential clients such as healthcare facilities and physician groups, some of which seek to fill positions with either permanent or temporary employees. We rely on word-of-mouth referrals, as well as social media to attract qualified healthcare professionals. If our social media strategy is not successful, our ability to attract qualified healthcare professionals could be negatively impacted.</w:t>
      </w:r>
    </w:p>
    <w:p>
      <w:pPr>
        <w:spacing w:after="0" w:line="9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with a shortage of certain qualified nurses and physicians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and are unable to pass such cost increases on to our clients, our margins could decline. At this time, we still do not have enough nurses, allied professionals and physicians to meet all of our clients’ demands for these staffing services. This shortage of healthcare professionals generally and the competition for their services may limit our ability to increase the number of healthcare professionals that we successfully recruit, decreasing our ability to grow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healthcare facility clients increase the use of intermediaries it could impact our profitability.</w:t>
      </w:r>
    </w:p>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continue to see an increase in the use of intermediaries by our clients. These intermediaries typically enter into contracts with our clients and then subcontract with us and other agencies to provide staffing services, thus interfering to some extent in our relationship with our clients. Each of these intermediaries charges an administrative fee. In instances where we do not win new MSP opportunities or where other vendors win this MSP or VMS business with our current customers, the number of professionals we have on assignment at those clients could decrease. If we are unable to negotiate hourly rates with intermediaries for the services we provide at these clients which are sufficient to cover administrative fees charged by those intermediaries, it could impact our profitability. If those intermediaries become insolvent or fail to pay us for our services, it could impact our bad debt expense and thus our overall profitability. We also provide comprehensive MSP and other workforce solutions directly to certain of our clients. While such contracts typically improve our market share at these facilities, they could result in less diversification of our customer base, increased liability, and reduced margins.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costs of providing services may rise faster than we are able to adjust our bill rates and pay rates and, as a result, our margins could decline.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Costs of providing our services could change more quickly than we are able to renegotiate bill rates in our active contracts and pay rates with our thousands of healthcare professionals. For example, we offer housing subsidies to our healthcare professionals or provide actual housing to our healthcare professionals. At any given time, we have over a thousand apartments on lease throughout the U.S. because we provide housing for certain of our healthcare professionals when they are on an assignment with us.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could negatively affect our financial results. The costs 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clients or renegotiate pay rates with our healthcare providers.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costs could be adversely affected by a shortage of experienced healthcare professionals and labor union activity.</w:t>
      </w:r>
    </w:p>
    <w:p>
      <w:pPr>
        <w:spacing w:after="0" w:line="14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operations are dependent on our ability to recruit and staff quality healthcare professionals. We compete with other healthcare staffing companies in recruiting and retaining qualified personnel. We may be required to enhance wages and benefits to our employees, which could negatively impact our profitability. Labor union activity is another factor that could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2" w:name="page13"/>
    <w:bookmarkEnd w:id="12"/>
    <w:p>
      <w:pPr>
        <w:ind w:right="320"/>
        <w:spacing w:after="0" w:line="277" w:lineRule="auto"/>
        <w:rPr>
          <w:sz w:val="20"/>
          <w:szCs w:val="20"/>
          <w:color w:val="auto"/>
        </w:rPr>
      </w:pPr>
      <w:r>
        <w:rPr>
          <w:rFonts w:ascii="Arial" w:cs="Arial" w:eastAsia="Arial" w:hAnsi="Arial"/>
          <w:sz w:val="18"/>
          <w:szCs w:val="18"/>
          <w:color w:val="auto"/>
        </w:rPr>
        <w:t>adversely affect our labor costs or otherwise adversely impact us. To the extent a significant portion of our employee base unionizes, our labor costs could increase significantly.</w:t>
      </w:r>
    </w:p>
    <w:p>
      <w:pPr>
        <w:spacing w:after="0" w:line="8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medical support personnel, or in controlling labor costs, this could have an adverse effect on our results of operations.</w:t>
      </w:r>
    </w:p>
    <w:p>
      <w:pPr>
        <w:spacing w:after="0" w:line="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face challenges competing in the marketplace if we are unable to anticipate and quickly respond to changing marketplace conditions, such as alternative modes of healthcare delivery, reimbursement, and client needs.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Patient delivery settings continue to evolve, giving rise to alternative modes of healthcare delivery, such as retail medicine, telemedicine and home health.</w:t>
      </w:r>
    </w:p>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success is dependent upon our ability to develop innovative workforce solutions and quickly adapt to changing marketplace conditions and client needs, including making modifications to our technologies and evolving our technology platform that may differentiate our services and abilities from those of our competitors. The markets in which we compete are highly competitive and our competitors may respond more quickly to new or emerging client needs and marketplace conditions. The development of new service lines and business models requires us to be at the forefront of emerging trends in the healthcare industry. We may face challenges competing in the marketplace if we are unable to quickly adapt our business model and successfully implement innovative services to address these changes.</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continually evaluate opportunities to acquire companies that would complement or enhance our business. These acquisition opportunities involve numerous risks, including potential loss of key employees or clients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applicable government regulations change, we may face increased costs that reduce our revenue and profitability.</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These increased costs may not be able to be passed on to clients. In addition, if government regulations were implemented that limited the amount we could charge for our services, our profitability could be adversely affected. We continuously monitor changes in regulations and legislation for potential impacts on our business.</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spacing w:after="0" w:line="10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provide our services to hospitals and health systems which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could affect the purchasing practices, operations and the financial health of our customers which could have a negative impact on our business. In addition, insurance companies and managed care organizations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 our clients’ reimbursement. Such limitations on reimbursement could reduce our clients’ cash flows, hampering the pricing we can charge clients and their ability to pay us. Reimbursement changes in government programs, particularly Medicare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3" w:name="page14"/>
    <w:bookmarkEnd w:id="13"/>
    <w:p>
      <w:pPr>
        <w:ind w:right="180"/>
        <w:spacing w:after="0" w:line="277" w:lineRule="auto"/>
        <w:rPr>
          <w:sz w:val="20"/>
          <w:szCs w:val="20"/>
          <w:color w:val="auto"/>
        </w:rPr>
      </w:pPr>
      <w:r>
        <w:rPr>
          <w:rFonts w:ascii="Arial" w:cs="Arial" w:eastAsia="Arial" w:hAnsi="Arial"/>
          <w:sz w:val="18"/>
          <w:szCs w:val="18"/>
          <w:color w:val="auto"/>
        </w:rPr>
        <w:t>Medicaid, can and do indirectly affect the demand and the prices paid for our services. The impact of any other legislation to repeal or amend or replace the ACA is uncertain and could adversely affect our business and financial condition.</w:t>
      </w:r>
    </w:p>
    <w:p>
      <w:pPr>
        <w:spacing w:after="0" w:line="8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spacing w:after="0" w:line="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industry is subject to many complex federal, state, local and international laws and regulations related to, among other things, the licensure of professionals, the payment of our field employees (e.g., wage and hour laws, employment taxes and income tax withholdings, etc.) and the operations of our business generally (e.g., federal, state and local tax laws). If we do not comply with the laws and regulations that are applicable to our business, we could incur civil and/or criminal penalties as well as litigation or be subject to equitable remedies.</w:t>
      </w:r>
    </w:p>
    <w:p>
      <w:pPr>
        <w:spacing w:after="0" w:line="10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litigation, which could result in substantial judgment or settlement costs; significant legal actions could subject us to substantial uninsured liabilities.</w:t>
      </w:r>
    </w:p>
    <w:p>
      <w:pPr>
        <w:spacing w:after="0" w:line="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party to various litigation, claims, investigations, and other proceedings. These matters primarily relate to employee-related matters that include individual and collective claims, professional liability, tax, and payroll practices.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are performed at least quarterly and are based on the information available to management at the time and involve a significant amount of management judgment. Based on the new information considered in our reviews, we adjust our loss contingency accruals and our disclosures.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spacing w:after="0" w:line="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recent years, healthcare providers have become subject to an increasing number of legal actions alleging malpractice, vicarious liability, violation of certain consumer protection acts, negligent hiring, negligent credentialing, product liability or related legal theories. We may be subject to liability in such cases even if our Company's contribution to the alleged injury was minimal or related to one of our subcontractors or its employees. Many of these actions involve large claims and significant defense costs. In addition, we may be subject to claims related to torts or crimes committed by our corporate employees or healthcare professionals that we place on assignment. In most instances, we are required to indemnify clients against some or all of these risks. A failure of any of our corporate employees or healthcare professional to observe our policies and guidelines, relevant client policies and guidelines or applicable federal, state or local laws, rules and regulations could result in negative publicity, payment of fines or other damages.</w:t>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protect ourselves from the cost of these types of claims, we maintain professional malpractice liability insurance, employment practices liability insurance, and general liability insurance coverage with terms and in amounts with deductibles that we believe are appropriate for our operations. We are partially self-insured for our workers' compensation coverage, health insurance coverage, and professional liability coverage for our locum tenens providers. If we become subject to substantial uninsured workers' compensation,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or maintain adequate insurance coverage, we may be exposed to substantial liabilities.</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provisions in our corporate documents and Delaware law delay or prevent a change in control, we may be unable to consummate a transaction that our stockholders consider favorable.</w:t>
      </w:r>
    </w:p>
    <w:p>
      <w:pPr>
        <w:spacing w:after="0" w:line="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disruptions may adversely affect our operating results and financial condition</w:t>
      </w:r>
      <w:r>
        <w:rPr>
          <w:rFonts w:ascii="Arial" w:cs="Arial" w:eastAsia="Arial" w:hAnsi="Arial"/>
          <w:sz w:val="18"/>
          <w:szCs w:val="18"/>
          <w:b w:val="1"/>
          <w:bCs w:val="1"/>
          <w:color w:val="auto"/>
        </w:rPr>
        <w:t>.</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Economic conditions and volatility in the financial markets may have an adverse impact on the availability of credit to us and to our customers and businesses generally. To the extent that disruption in the financial markets occurs, it has the potential to</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00" w:right="259" w:bottom="1440" w:gutter="0" w:footer="0" w:header="0"/>
        </w:sectPr>
      </w:pPr>
    </w:p>
    <w:bookmarkStart w:id="14" w:name="page15"/>
    <w:bookmarkEnd w:id="14"/>
    <w:p>
      <w:pPr>
        <w:ind w:right="60"/>
        <w:spacing w:after="0" w:line="257" w:lineRule="auto"/>
        <w:rPr>
          <w:sz w:val="20"/>
          <w:szCs w:val="20"/>
          <w:color w:val="auto"/>
        </w:rPr>
      </w:pPr>
      <w:r>
        <w:rPr>
          <w:rFonts w:ascii="Arial" w:cs="Arial" w:eastAsia="Arial" w:hAnsi="Arial"/>
          <w:sz w:val="18"/>
          <w:szCs w:val="18"/>
          <w:color w:val="auto"/>
        </w:rPr>
        <w:t>materially affect our and our customers’ ability to tap into debt and/or equity markets to continue ongoing operations, have access to cash and/or pay debts as they come due. These events could negatively impact our results of operations and financial conditions. Although we monitor our credit risks to specific clients that we believe may present credit concerns, default risk or lack of access to liquidity may result from events or circumstances that are difficult to detect or foresee. Conditions in the credit markets and the economy generally could adversely impact our business and limit or prohibit us from refinancing our credit agreements on terms favorable to us or at all when they become due.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issuable under our stock incentive plans are presently in effect and sales of this stock could cause our stock price to decline.</w:t>
      </w:r>
    </w:p>
    <w:p>
      <w:pPr>
        <w:spacing w:after="0" w:line="14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registered 6,100,000 shares of common stock for issuance under our 2014 Omnibus Incentive Plan, and 4,398,001 shares of common stock for our predecessor 1999 stock option plan, all of which have been registered. Shares of restricted stock outstanding as of February 22, 2019 were 428,131. In addition, a target of 203,496 performance stock award grants were outstanding as of February 22, 2019. Fully vested stock appreciation rights of 51,500 were issued and outstanding as of February 22, 2019. See Note 14 - Stockholders' Equity to our consolidated financial statements. Vested restricted stock and issuance of common stock related to our awards as well as common stock issued upon exercise of stock options, and stock appreciation rights under these benefit plans, is eligible for resale in the public market without restriction. We cannot predict what effect, if any, market sales of shares held by any stockholder or the availability of these shares for future sale will have on the market price of our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proper functioning of our information systems and applications hosted by our vendors.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dependent on the proper functioning of our information systems in operating our business, including those applications hosted by our vendors. Critical information systems used in daily operations identify and match staffing resources and client assignments and perform billing and accounts receivable functions. Additionally, we rely on our information systems in managing our accounting and financial reporting. These systems are subject to certain risks, including technological obsolescence. We are currently evaluating the technology platforms of our businesses. If our proprietary systems of Software as a Service applications fail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spacing w:after="0" w:line="10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among other things, maintain billing and clinical records reliably, to bill for services efficiently and to maintain our accounting and financial reporting accurately.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for the execution of certain critical functions.</w:t>
      </w:r>
    </w:p>
    <w:p>
      <w:pPr>
        <w:spacing w:after="0" w:line="14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outsourced certain critical applications or business processes to external providers, including but not limited to background screenings of our employees. We exercise care in the selection and oversight of these providers. However, the failure or inability to perform on the part of one or more of these critical suppliers could cause significant disruptions and increased costs to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collection, use, and retention of personal information and personal health information create risks that may harm our business.</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part of our business model, we collect, transmit and retain personal information of our employees and contract professionals and their dependents, including, without limitation, full names, social security numbers, addresses, birth dates, and payroll-related information. We use commercially available information security technologies to protect such information in digital format and have security and business controls to limit access to such information. In addition, we periodically perform penetration tests and respond to those findings. However, employees or third parties may be able to circumvent these measures and acquire or misuse such information, resulting in breaches of privacy, and errors in the storage, use or transmission of such information. Privacy breaches may require notification and other remedies, which can be costly, and which may have other serious adverse consequences for our business, including regulatory penalties and fines, claims for breach of contract, claims for damages, adverse publicity, reduced demand for our services by clients and/or healthcare professional candidates, harm to our reputation, and regulatory oversight by state or federal agencies. The possession and use of personal information and data in conducting our business subjects us to legislative and regulatory burdens. We may be required to incur significant expenses to comply with mandatory privacy and security standards and protocols imposed by law, regulation, industry standards, or contractual obligations.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Cyber security risks and cyber incidents could adversely affect our business and disrupt operations.</w:t>
      </w:r>
    </w:p>
    <w:p>
      <w:pPr>
        <w:spacing w:after="0" w:line="14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 security protection costs, litigation and reputational damage adversely affecting customer or investor confidence. We have implemented systems and processes to focus on identification, prevention, mitigation and resolution. However, these measures cannot provide absolute security, and our systems may be vulnerable to cyber-security breaches such as viruses, hacking, and similar disruptions from unauthorized intrusions. In addition, we rely on third party service providers to perform certain services, such as payroll and tax services. Any failure of our systems or third party systems may compromise our sensitive information and/or personally identifiable information of our employees. While we have secured cyber insurance to potentially cover certain risks associated with cyber incidents, there can be no assurance the insurance will be sufficient to cover any such liability.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natural disasters, such as hurricanes and fires, could cause us to suffer material financial losses.</w:t>
      </w:r>
    </w:p>
    <w:p>
      <w:pPr>
        <w:spacing w:after="0" w:line="14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Catastrophes can be caused by various events, including, but not limited to, hurricanes, fires, and other severe weather. The incidence and severity of catastrophes are inherently unpredictable. With our headquarters and shared services located in South Florida, we are more vulnerable to possible disruptions from hurricanes and the impacts resulting therefrom, such as tornadoes, flooding, fuel shortages, and disruption of internet, and telecommunications services. 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and other catastrophes.</w:t>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a level of indebtedness which may have an adverse effect on our business or limit our ability to take advantage of business, strategic or financing opportunities.</w:t>
      </w:r>
    </w:p>
    <w:p>
      <w:pPr>
        <w:spacing w:after="0" w:line="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indicated below, we have and will continue to have a significant amount of indebtedness relative to our equity. The following table sets forth our total principal amount of debt and stockholders’ equity.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352"/>
              <w:spacing w:after="0"/>
              <w:rPr>
                <w:sz w:val="20"/>
                <w:szCs w:val="20"/>
                <w:color w:val="auto"/>
              </w:rPr>
            </w:pPr>
            <w:r>
              <w:rPr>
                <w:rFonts w:ascii="Arial" w:cs="Arial" w:eastAsia="Arial" w:hAnsi="Arial"/>
                <w:sz w:val="18"/>
                <w:szCs w:val="18"/>
                <w:color w:val="auto"/>
                <w:w w:val="99"/>
              </w:rPr>
              <w:t>December 31, 2018</w:t>
            </w:r>
          </w:p>
        </w:tc>
      </w:tr>
      <w:tr>
        <w:trPr>
          <w:trHeight w:val="27"/>
        </w:trPr>
        <w:tc>
          <w:tcPr>
            <w:tcW w:w="9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9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92"/>
              <w:spacing w:after="0"/>
              <w:rPr>
                <w:sz w:val="20"/>
                <w:szCs w:val="20"/>
                <w:color w:val="auto"/>
              </w:rPr>
            </w:pPr>
            <w:r>
              <w:rPr>
                <w:rFonts w:ascii="Arial" w:cs="Arial" w:eastAsia="Arial" w:hAnsi="Arial"/>
                <w:sz w:val="16"/>
                <w:szCs w:val="16"/>
                <w:color w:val="auto"/>
                <w:w w:val="98"/>
              </w:rPr>
              <w:t>(amounts in thousands)</w:t>
            </w:r>
          </w:p>
        </w:tc>
      </w:tr>
      <w:tr>
        <w:trPr>
          <w:trHeight w:val="303"/>
        </w:trPr>
        <w:tc>
          <w:tcPr>
            <w:tcW w:w="9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at par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83,876</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51"/>
        </w:trPr>
        <w:tc>
          <w:tcPr>
            <w:tcW w:w="9140" w:type="dxa"/>
            <w:vAlign w:val="bottom"/>
          </w:tcPr>
          <w:p>
            <w:pPr>
              <w:ind w:left="40"/>
              <w:spacing w:after="0"/>
              <w:rPr>
                <w:sz w:val="20"/>
                <w:szCs w:val="20"/>
                <w:color w:val="auto"/>
              </w:rPr>
            </w:pPr>
            <w:r>
              <w:rPr>
                <w:rFonts w:ascii="Arial" w:cs="Arial" w:eastAsia="Arial" w:hAnsi="Arial"/>
                <w:sz w:val="18"/>
                <w:szCs w:val="18"/>
                <w:color w:val="auto"/>
              </w:rPr>
              <w:t>Total Cross Country Healthcare, Inc.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217,528</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level of indebtedness increases the possibility that we may be unable to generate cash sufficient to pay the principal, interest or other amounts due on our indebtedness. Subject to certain restrictions under our existing indebtedness, we and our subsidiaries may also incur significant additional indebtedness in the future, some of which may be secured debt. This may have the effect of increasing our total leverage. As a consequence of our indebtedness; (1) demands on our cash resources may increase; (2) we are subject to restrictive covenants that limit our financial and operating flexibility. Our ability to generate profitability and maintain cash flow from operations could impact our compliance with these covenants; and (3)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9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have to pay higher interest rates upon refinancing or on our variable rate indebtedness if interest rates rise, thereby reducing our cash flows;</w:t>
      </w:r>
    </w:p>
    <w:p>
      <w:pPr>
        <w:spacing w:after="0" w:line="155" w:lineRule="exact"/>
        <w:rPr>
          <w:rFonts w:ascii="Arial" w:cs="Arial" w:eastAsia="Arial" w:hAnsi="Arial"/>
          <w:sz w:val="17"/>
          <w:szCs w:val="17"/>
          <w:color w:val="auto"/>
        </w:rPr>
      </w:pPr>
    </w:p>
    <w:p>
      <w:pPr>
        <w:ind w:left="180" w:right="240" w:hanging="172"/>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find it more difficult to obtain additional financing to fund future working capital, capital expenditures, acquisitions, and other general corporate requirements that would be in our long-term interests;</w:t>
      </w:r>
    </w:p>
    <w:p>
      <w:pPr>
        <w:spacing w:after="0" w:line="89" w:lineRule="exact"/>
        <w:rPr>
          <w:rFonts w:ascii="Arial" w:cs="Arial" w:eastAsia="Arial" w:hAnsi="Arial"/>
          <w:sz w:val="18"/>
          <w:szCs w:val="18"/>
          <w:color w:val="auto"/>
        </w:rPr>
      </w:pPr>
    </w:p>
    <w:p>
      <w:pPr>
        <w:ind w:left="180" w:right="360" w:hanging="172"/>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 from operations to the payment of principal and interest on our debt, reducing the available cash flow to fund other investments;</w:t>
      </w:r>
    </w:p>
    <w:p>
      <w:pPr>
        <w:spacing w:after="0" w:line="89"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have limited flexibility in planning for, or reacting to, changes in our business or in the industry;</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have a competitive disadvantage relative to other companies in our industry that are less leveraged;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6" w:name="page17"/>
    <w:bookmarkEnd w:id="16"/>
    <w:p>
      <w:pPr>
        <w:ind w:right="280" w:firstLine="8"/>
        <w:spacing w:after="0" w:line="407" w:lineRule="auto"/>
        <w:tabs>
          <w:tab w:leader="none" w:pos="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sell debt or equity securities or sell some of our core assets, possibly on unfavorable terms, in order to meet payment obligations. These constraints could have a material adverse effect on our business.</w:t>
      </w:r>
    </w:p>
    <w:p>
      <w:pPr>
        <w:ind w:right="360"/>
        <w:spacing w:after="0" w:line="277" w:lineRule="auto"/>
        <w:rPr>
          <w:sz w:val="20"/>
          <w:szCs w:val="20"/>
          <w:color w:val="auto"/>
        </w:rPr>
      </w:pPr>
      <w:r>
        <w:rPr>
          <w:rFonts w:ascii="Arial" w:cs="Arial" w:eastAsia="Arial" w:hAnsi="Arial"/>
          <w:sz w:val="18"/>
          <w:szCs w:val="18"/>
          <w:b w:val="1"/>
          <w:bCs w:val="1"/>
          <w:i w:val="1"/>
          <w:iCs w:val="1"/>
          <w:color w:val="auto"/>
        </w:rPr>
        <w:t>We could fail to generate sufficient cash to fund our liquidity needs and/or fail to satisfy the financial and other restrictive covenants to which we are subject under our existing indebtedness.</w:t>
      </w:r>
    </w:p>
    <w:p>
      <w:pPr>
        <w:spacing w:after="0" w:line="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currently have sufficient liquidity to operate our business in the normal course. If, however, we were to make an acquisition or enter into a similar type of transaction, our liquidity needs may exceed our current capacity. In addition, our existing credit facilities currently contain financial covenants that require us to operate above a minimum fixed charge coverage ratio and below a consolidated leverage ratio. Deterioration in our operating results could result in our inability to comply with these covenants and would result in a default under our credit facility. If an event of default exists, our lenders could call the indebtedness and we may be unable to renegotiate or secure other financing.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risks associated with international operations.</w:t>
      </w:r>
    </w:p>
    <w:p>
      <w:pPr>
        <w:spacing w:after="0" w:line="1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fluctuations in currency exchange rates; changes in regulations; varying economic and political conditions; overlapping or differing tax structures; and regulations (pertaining to, among other things, compensation and benefits, vacation, and the termination of employment). Our inability to effectively manage our international operations or our violation of a regulation could result in increased costs and adversely affect our results of operations.</w:t>
      </w:r>
    </w:p>
    <w:p>
      <w:pPr>
        <w:spacing w:after="0" w:line="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Due to inherent limitations, there can be no assurance that our system of disclosure and internal controls and procedures will be successful in preventing all errors and fraud, or in making all material information known in a timely manner to management.</w:t>
      </w:r>
    </w:p>
    <w:p>
      <w:pPr>
        <w:spacing w:after="0" w:line="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acts of an individual, by collusion of two or more people, or by management override of the control.</w:t>
      </w:r>
    </w:p>
    <w:p>
      <w:pPr>
        <w:spacing w:after="0" w:line="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in the value of our goodwill, trade names, or other intangible assets could negatively impact our net income and earnings per share.</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 non-cash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 At December 31, 2018, goodwill, trade names not subject to amortization, and other intangible assets represented 41% of our total assets. In 2018, 2017, and 2016, we recorded impairment charges of $22.4 million, $14.4 million, and $24.3 million, respectively.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0" w:right="259" w:bottom="1440" w:gutter="0" w:footer="0" w:header="0"/>
        </w:sectPr>
      </w:pPr>
    </w:p>
    <w:bookmarkStart w:id="17" w:name="page18"/>
    <w:bookmarkEnd w:id="17"/>
    <w:p>
      <w:pPr>
        <w:ind w:right="16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taxing authorities do not agree with our tax positions, if there are further legislative tax changes, or if we are unable to utilize our net operating losses.</w:t>
      </w:r>
    </w:p>
    <w:p>
      <w:pPr>
        <w:spacing w:after="0" w:line="8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are periodically subject to a number of tax examinations by taxing authorities in the states and countries where we do business. We also have significant deferred tax assets related to our net operating losses (NOLs) in U.S. federal and state taxing jurisdictions, which, generally, for U.S. federal and state tax purposes, carry forward for up to twenty years.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taxing authority. If there are tax benefits, including, but not limited to, the use of NOLs, expense reimbursements, or other tax attributes, that are challenged successfully by a taxing authority, we may be required to pay additional taxes, interest, and penalties, or we may seek to enter into settlements with the taxing authorities, which could require significant payments or otherwise have a material adverse effect on our business, results of operations, and financial condition.</w:t>
      </w:r>
    </w:p>
    <w:p>
      <w:pPr>
        <w:spacing w:after="0" w:line="10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U.S. federal, state and local, as well as international, tax laws and regulations are extremely complex and subject to varying interpretations. Most recently, on December 22, 2017, the President signed the 2017 Tax Act into law. In the long-term, we anticipate that we will have an overall benefit from the reduction in the tax rate slightly offset by potential deductions disallowed under the current law. Although we are not aware of any provision in the 2017 Tax Act or any other pending tax legislation that would have a material adverse impact on our financial performance, the ultimate impact of the 2017 Tax Act may differ from our current assessment due to changes in interpretations and assumptions made by us as well as the issuance of any further regulations or guidance regarding the U.S. federal income tax code. At this time, it is unclear how many U.S. states will incorporate these federal law changes, or portions thereof, into their tax codes. There can be no assurance that the 2017 Tax Act or any other legislative changes will not negatively impact our operating results, financial condition, and future business operations.</w:t>
      </w:r>
    </w:p>
    <w:p>
      <w:pPr>
        <w:spacing w:after="0" w:line="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we may be limited in our ability to utilize our NOLs to offset future taxable income and thereby reduce our otherwise payable income taxes. Our ability to utilize our NOLs is also dependent, in part, upon us having sufficient future earnings to utilize our NOLs before they expire. If market conditions change materially and we determine that we will be unable to generate sufficient taxable income in the future to utilize our NOLs, we could be required to record an additional valuation allowance. We review the valuation allowances for our NOLs periodically and make adjustments from time to time, which can result in an increase or decrease to the net deferred tax asset related to our NOLs. If we are unable to use our NOLs or use of our NOLs is limited, we may have to make significant payments or reduce our deferred tax assets, which could have a material adverse effect on our business, results of operations and financial condition.</w:t>
      </w:r>
    </w:p>
    <w:p>
      <w:pPr>
        <w:spacing w:after="0" w:line="1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Federal or state taxing authorities could re-classify our locum tenens physicians, CRNAs and other independent contractors as employees, despite both the general industry standard to treat them as independent contractors and many state laws prohibiting non-physician owned companies from employing physicians (e.g., the “corporate practice of medicine”).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method for paying locum tenens physicians changes, it could negatively impact our profitability.</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Medicare Access and CHIP Reauthorization Act of 2015 creates a new framework for rewarding physicians for providing higher quality care by establishing two tracks of payment: a merit-based incentive payment system, and Advanced Alternative Payment Models. If hospitals change the method for paying locum tenens physicians to meet their performance goals or other criteria for Medicaid or Medicare reimbursements, the profitability of our business could be adversely impacted.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impacted by the loss of key management.</w:t>
      </w:r>
    </w:p>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the successful execution of our business strategy and our ability to build upon significant recent investments and acquisitions depends on the continued employment of key members of our senior management team.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any real property. Our principal leases as of February 1, 2019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Square</w:t>
            </w:r>
          </w:p>
        </w:tc>
        <w:tc>
          <w:tcPr>
            <w:tcW w:w="2500" w:type="dxa"/>
            <w:vAlign w:val="bottom"/>
          </w:tcPr>
          <w:p>
            <w:pPr>
              <w:spacing w:after="0"/>
              <w:rPr>
                <w:sz w:val="18"/>
                <w:szCs w:val="18"/>
                <w:color w:val="auto"/>
              </w:rPr>
            </w:pPr>
          </w:p>
        </w:tc>
      </w:tr>
      <w:tr>
        <w:trPr>
          <w:trHeight w:val="234"/>
        </w:trPr>
        <w:tc>
          <w:tcPr>
            <w:tcW w:w="3460" w:type="dxa"/>
            <w:vAlign w:val="bottom"/>
            <w:gridSpan w:val="2"/>
          </w:tcPr>
          <w:p>
            <w:pPr>
              <w:ind w:left="1320"/>
              <w:spacing w:after="0"/>
              <w:rPr>
                <w:sz w:val="20"/>
                <w:szCs w:val="20"/>
                <w:color w:val="auto"/>
              </w:rPr>
            </w:pPr>
            <w:r>
              <w:rPr>
                <w:rFonts w:ascii="Arial" w:cs="Arial" w:eastAsia="Arial" w:hAnsi="Arial"/>
                <w:sz w:val="18"/>
                <w:szCs w:val="18"/>
                <w:b w:val="1"/>
                <w:bCs w:val="1"/>
                <w:color w:val="auto"/>
              </w:rPr>
              <w:t>Location</w:t>
            </w:r>
          </w:p>
        </w:tc>
        <w:tc>
          <w:tcPr>
            <w:tcW w:w="3980" w:type="dxa"/>
            <w:vAlign w:val="bottom"/>
            <w:gridSpan w:val="2"/>
          </w:tcPr>
          <w:p>
            <w:pPr>
              <w:ind w:left="1600"/>
              <w:spacing w:after="0"/>
              <w:rPr>
                <w:sz w:val="20"/>
                <w:szCs w:val="20"/>
                <w:color w:val="auto"/>
              </w:rPr>
            </w:pPr>
            <w:r>
              <w:rPr>
                <w:rFonts w:ascii="Arial" w:cs="Arial" w:eastAsia="Arial" w:hAnsi="Arial"/>
                <w:sz w:val="18"/>
                <w:szCs w:val="18"/>
                <w:b w:val="1"/>
                <w:bCs w:val="1"/>
                <w:color w:val="auto"/>
              </w:rPr>
              <w:t>Function</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Feet</w:t>
            </w:r>
          </w:p>
        </w:tc>
        <w:tc>
          <w:tcPr>
            <w:tcW w:w="2500" w:type="dxa"/>
            <w:vAlign w:val="bottom"/>
          </w:tcPr>
          <w:p>
            <w:pPr>
              <w:ind w:left="600"/>
              <w:spacing w:after="0"/>
              <w:rPr>
                <w:sz w:val="20"/>
                <w:szCs w:val="20"/>
                <w:color w:val="auto"/>
              </w:rPr>
            </w:pPr>
            <w:r>
              <w:rPr>
                <w:rFonts w:ascii="Arial" w:cs="Arial" w:eastAsia="Arial" w:hAnsi="Arial"/>
                <w:sz w:val="18"/>
                <w:szCs w:val="18"/>
                <w:b w:val="1"/>
                <w:bCs w:val="1"/>
                <w:color w:val="auto"/>
              </w:rPr>
              <w:t>Lease Expiration</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Boca Raton, Florida</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Nurse and Allied Staffing administration and general</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70,406</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r>
      <w:tr>
        <w:trPr>
          <w:trHeight w:val="237"/>
        </w:trPr>
        <w:tc>
          <w:tcPr>
            <w:tcW w:w="3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office use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Boca Raton, Florida</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Corporate headquarters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48,154</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November 30, 2025</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Berkeley Lake, Georgia</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Physician Staffing office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41,607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31, 2024</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Creve Coeur, Missouri</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Physician and Executive search headquarters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27,051</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August 31, 2024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time to time, we are involved in various litigation, claims, investigations, and other proceedings that arise in the ordinary course of our business. These matters primarily relate to employee-related matters that include individual and collective claims, professional liability, tax, and payroll practices. We establish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our reviews, we adjust our loss contingency accruals and our disclosures as may be required. Actual outcomes or losses may differ materially from those estimated by our current assessments including available insurance recoveries,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 With regard to the outstanding contingencies as of December 31, 2018, we believe the outcome of these matters will not have a material adverse effect on our business,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9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currently trades under the symbol “CCRN” on the NASDAQ Global Select Market (NASDAQ). Our common stock commenced trading on the NASDAQ National Market under the symbol “CCRN” on October 25, 2001.</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graph below 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31, 2013 and tracks it through December 31,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843280</wp:posOffset>
            </wp:positionH>
            <wp:positionV relativeFrom="page">
              <wp:posOffset>517525</wp:posOffset>
            </wp:positionV>
            <wp:extent cx="5848985" cy="4244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February 22, 2019, there were 126 stockholders of record of our common stock. In addition, there were 4,089 beneficial owners of our common stock held by brokers or other institutions on behalf of stockholders.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never paid or declared cash dividends on our common stock. Covenants in our credit agreement limit our ability to repurchase our common stock and declare and pay cash dividends on our common stock. On February 28, 2008, our Board of Directors authorized our most recent stock repurchase program whereby we may purchase up to 1.5 million of our common shares, subject to the terms of our current credit agreement. The shares may be repurchased from time-to-time in the open market and the repurchase program may be discontinued at any time at our discretion. During the year ended December 31, 2018, the Company repurchased and retired 432,439 shares of its Common Stock at an average market price of $11.54 per share. At December 31, 2018, we had 510,004 shares of common stock left remaining to repurchase under this authorization, subject to the limitations of our credit agreement as described in Note 14 - Stockholders' Equity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selected consolidated financial data as of December 31, 2018 and 2017 and for the years ended December 31, 2018, 2017, and 2016 are derived from the audited consolidated financial statements of Cross Country Healthcare, Inc., included elsewhere in this Report. The selected consolidated financial data as of December 31, 2016, 2015, and 2014 and for the years ended December 31, 2015 and 2014 are derived from the consolidated financial statements of Cross Country Healthcare, Inc., that have been audited but not included in this Report on Form 10-K.</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of Cross Country Healthcare, Inc., “Management’s Discussion and Analysis of Financial Condition and Results of Operations” and other financial information included elsewhere in this report.</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440"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5"/>
          </w:tcPr>
          <w:p>
            <w:pPr>
              <w:jc w:val="right"/>
              <w:ind w:right="159"/>
              <w:spacing w:after="0"/>
              <w:rPr>
                <w:sz w:val="20"/>
                <w:szCs w:val="20"/>
                <w:color w:val="auto"/>
              </w:rPr>
            </w:pPr>
            <w:r>
              <w:rPr>
                <w:rFonts w:ascii="Arial" w:cs="Arial" w:eastAsia="Arial" w:hAnsi="Arial"/>
                <w:sz w:val="16"/>
                <w:szCs w:val="16"/>
                <w:b w:val="1"/>
                <w:bCs w:val="1"/>
                <w:color w:val="auto"/>
                <w:w w:val="90"/>
              </w:rPr>
              <w:t>(Amounts in thousands, except per share data)</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816,484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865,048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833,537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767,421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617,825</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(12,880)</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11,748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20,565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Consolidated net (loss) income</w:t>
            </w: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(15,717)</w:t>
            </w:r>
          </w:p>
        </w:tc>
        <w:tc>
          <w:tcPr>
            <w:tcW w:w="2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38,802</w:t>
            </w: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8,731</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4,954</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(31,534)</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(16,951)</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37,513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7,967</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4,418</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(31,783)</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Per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(loss) income per share attributable to common shareholders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(loss) income per share attributable to common shareholders - 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35,657</w:t>
            </w:r>
          </w:p>
        </w:tc>
        <w:tc>
          <w:tcPr>
            <w:tcW w:w="2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35,018</w:t>
            </w: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32,132</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31,514</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31,190</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35,657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36,166</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36,246</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32,162</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31,190</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Operating Data:</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16,019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25,537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20,630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2,453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4,995</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427,003</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467,687</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388,378</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365,595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324,502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debt at par</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83,876</w:t>
            </w:r>
          </w:p>
        </w:tc>
        <w:tc>
          <w:tcPr>
            <w:tcW w:w="2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100,000</w:t>
            </w: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64,523</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63,094</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58,702</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218,198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237,719</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151,802</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141,344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130,332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20,997</w:t>
            </w:r>
          </w:p>
        </w:tc>
        <w:tc>
          <w:tcPr>
            <w:tcW w:w="2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45,508</w:t>
            </w: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30,145</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18,235</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(4,072)</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and presentation of our consolidated data:</w:t>
      </w:r>
    </w:p>
    <w:p>
      <w:pPr>
        <w:spacing w:after="0" w:line="225" w:lineRule="exact"/>
        <w:rPr>
          <w:sz w:val="20"/>
          <w:szCs w:val="20"/>
          <w:color w:val="auto"/>
        </w:rPr>
      </w:pPr>
    </w:p>
    <w:p>
      <w:pPr>
        <w:ind w:left="820" w:right="40" w:hanging="326"/>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net (loss) income for the years ended December 31, 2018, 2017, 2016, 2015, and 2014, respectively, includes amounts attributable to noncontrolling interest of $1.2 million, $1.3 million, $0.8 million, $0.5 million, and $0.2 million. See Note 1 - Organization and Basis of Presentation to our consolidated financial statements.</w:t>
      </w:r>
    </w:p>
    <w:p>
      <w:pPr>
        <w:spacing w:after="0" w:line="181" w:lineRule="exact"/>
        <w:rPr>
          <w:rFonts w:ascii="Arial" w:cs="Arial" w:eastAsia="Arial" w:hAnsi="Arial"/>
          <w:sz w:val="18"/>
          <w:szCs w:val="18"/>
          <w:color w:val="auto"/>
        </w:rPr>
      </w:pPr>
    </w:p>
    <w:p>
      <w:pPr>
        <w:ind w:left="820" w:right="20" w:hanging="326"/>
        <w:spacing w:after="0" w:line="276"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acquired AP Staffing effective December 1, 2018, all of the assets of Advantage effective July 1, 2017, all of the membership interests of Mediscan on October 30, 2015, and substantially all of the assets and certain liabilities of MSN on June 30, 2014. The results of these acquisition's operations have been included in our consolidated statements of operations since their respective effective dates of acquisition. For the years ended December 31, 2018, 2017, 2016, 2015, and 2014, we recognized $0.5 million, $2.0 million, $0.1 million, $0.9 million, and $8.0 million of acquisition and integration costs, respectively. See Note 4 - Acquisitions to our consolidated financial statements.</w:t>
      </w:r>
    </w:p>
    <w:p>
      <w:pPr>
        <w:spacing w:after="0" w:line="172" w:lineRule="exact"/>
        <w:rPr>
          <w:rFonts w:ascii="Arial" w:cs="Arial" w:eastAsia="Arial" w:hAnsi="Arial"/>
          <w:sz w:val="17"/>
          <w:szCs w:val="17"/>
          <w:color w:val="auto"/>
        </w:rPr>
      </w:pPr>
    </w:p>
    <w:p>
      <w:pPr>
        <w:ind w:left="820" w:right="120" w:hanging="326"/>
        <w:spacing w:after="0" w:line="312"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years ended December 31, 2018, 2017, and 2016 include $2.6 million, less than $0.1 million, and $0.8 million, respectively, of acquisition-related contingent consideration expense primarily due to valuation and accretion adjustments related to the contingent consideration liabilities of the USR and Mediscan acquisitions. See Note 4 - Acquisitions and Note 10 - Fair Value Measurements to our consolidated financial statements.</w:t>
      </w:r>
    </w:p>
    <w:p>
      <w:pPr>
        <w:spacing w:after="0" w:line="146" w:lineRule="exact"/>
        <w:rPr>
          <w:rFonts w:ascii="Arial" w:cs="Arial" w:eastAsia="Arial" w:hAnsi="Arial"/>
          <w:sz w:val="16"/>
          <w:szCs w:val="16"/>
          <w:color w:val="auto"/>
        </w:rPr>
      </w:pPr>
    </w:p>
    <w:p>
      <w:pPr>
        <w:ind w:left="820" w:right="220" w:hanging="326"/>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incurred restructuring costs in the years ended December 31, 2018, 2017, 2016, 2015, and 2014, for $2.8 million, $1.0 million, $0.8 million, $1.3 million, and $0.8 million, respectively. Restructuring costs relate to discrete cost savings initiatives in each year, and senior management employee severance pay in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93" w:right="239" w:bottom="1440" w:gutter="0" w:footer="0" w:header="0"/>
        </w:sectPr>
      </w:pPr>
    </w:p>
    <w:bookmarkStart w:id="21" w:name="page22"/>
    <w:bookmarkEnd w:id="21"/>
    <w:p>
      <w:pPr>
        <w:ind w:left="820" w:hanging="326"/>
        <w:spacing w:after="0" w:line="264"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Pre-tax non-cash impairment charges of $22.4 million, $14.4 million, $24.3 million, $2.1 million, and $10.0 million, respectively, were incurred in the years ended December 31, 2018, 2017, 2016, 2015, and 2014. See Note 5 - Goodwill, Trade Names, and Other Intangible Assets to our consolidated financial statements.</w:t>
      </w:r>
    </w:p>
    <w:p>
      <w:pPr>
        <w:spacing w:after="0" w:line="181" w:lineRule="exact"/>
        <w:rPr>
          <w:rFonts w:ascii="Arial" w:cs="Arial" w:eastAsia="Arial" w:hAnsi="Arial"/>
          <w:sz w:val="18"/>
          <w:szCs w:val="18"/>
          <w:color w:val="auto"/>
        </w:rPr>
      </w:pPr>
    </w:p>
    <w:p>
      <w:pPr>
        <w:ind w:left="820" w:hanging="326"/>
        <w:spacing w:after="0" w:line="25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years ended December 31, 2017 and 2016 include the impact of a gain on derivative liability of $1.6 million and $5.8 million, while the years ended December 31, 2015 and 2014 include the impact of a loss on derivative liability of $9.9 million and $16.7 million, respectively. The derivative liability related to the Convertible Notes issued in conjunction with the acquisition of MSN, which were paid in full on March 17, 2017. See Note 9 - Derivatives to our consolidated financial statements.</w:t>
      </w:r>
    </w:p>
    <w:p>
      <w:pPr>
        <w:spacing w:after="0" w:line="186"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incurred a loss on sale of business of $2.2 million (an after-tax gain of $1.3 million), in the year ended December 31, 2015, related to the sale of our education seminars business, Cross Country Education, LLC on August 31, 2015.</w:t>
      </w:r>
    </w:p>
    <w:p>
      <w:pPr>
        <w:spacing w:after="0" w:line="170" w:lineRule="exact"/>
        <w:rPr>
          <w:rFonts w:ascii="Arial" w:cs="Arial" w:eastAsia="Arial" w:hAnsi="Arial"/>
          <w:sz w:val="18"/>
          <w:szCs w:val="18"/>
          <w:color w:val="auto"/>
        </w:rPr>
      </w:pPr>
    </w:p>
    <w:p>
      <w:pPr>
        <w:ind w:left="820" w:right="80" w:hanging="326"/>
        <w:spacing w:after="0" w:line="31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years ended December 31, 2018, 2017, and 2016, include a loss on early extinguishment of debt of $0.1 million, $5.0 million, and $1.6 million, respectively, related to optional prepayments on our Amended Term Loan in 2018, extinguishment fees, and the write-off of unamortized loan fees and net debt discount and issuance costs related to prior credit agreements. See Note 8 - Debt to our consolidated financial statements.</w:t>
      </w:r>
    </w:p>
    <w:p>
      <w:pPr>
        <w:spacing w:after="0" w:line="146" w:lineRule="exact"/>
        <w:rPr>
          <w:rFonts w:ascii="Arial" w:cs="Arial" w:eastAsia="Arial" w:hAnsi="Arial"/>
          <w:sz w:val="16"/>
          <w:szCs w:val="16"/>
          <w:color w:val="auto"/>
        </w:rPr>
      </w:pPr>
    </w:p>
    <w:p>
      <w:pPr>
        <w:ind w:left="820" w:right="140" w:hanging="326"/>
        <w:spacing w:after="0" w:line="293"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tax benefit for the years ended December 31, 2018 and 2017 included benefits of $6.0 million and $12.1 million, respectively, related to the non-cash impairment charges. The income tax benefit for the year ended December 31, 2017 was primarily the result of reducing federal and certain state valuation allowances on our deferred tax assets totaling $45.4 million, offset by an $8.0 million reduction in our net deferred tax assets (relating to the impact from the 2017 Tax Act signed into legislation on December 22, 2017). For the year ended December 31, 2018, we completed our 2017 federal and state income tax returns and recorded a discrete tax benefit associated with adjusting our net deferred tax asset. The valuation allowance was maintained and reflected in the years ended December 31, 2014 through December 31,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Item 1. Business, Item 6. Selected Financial Data, Item 1A. Risk Factors, Forward-Looking Statements and Item 15. Consolidated Financial Statements and the accompanying notes and other data, all of which appear elsewhere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provide healthcare staffing, recruiting and workforce solutions to our customers through a network of 73 office locations throughout the U.S. Our services include placing clinicians on travel and per diem assignments, local short-term contracts, and permanent positions. In addition, we offer flexible workforce management solutions to our customers including: MSP, education healthcare, RPO, and other outsourcing and value-added services as described in Item 1. Business. In addition, we provide both retained and contingent placement services for healthcare executives, physicians, and other healthcare professionals.</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We manage and segment our business based on the nature of our services we offer to our customers. As a result,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we report three business segments – Nurse and Allied Staffing, Physician Staffing, and Other Human Capital Management Services.</w:t>
      </w:r>
    </w:p>
    <w:p>
      <w:pPr>
        <w:spacing w:after="0" w:line="124" w:lineRule="exact"/>
        <w:rPr>
          <w:sz w:val="20"/>
          <w:szCs w:val="20"/>
          <w:color w:val="auto"/>
        </w:rPr>
      </w:pPr>
    </w:p>
    <w:p>
      <w:pPr>
        <w:ind w:left="660" w:right="140" w:hanging="328"/>
        <w:spacing w:after="0" w:line="27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For the year ended December 31, 2018, Nurse and Allied Staffing represented approximately 88% of our total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Nurse and Allied Staffing provides traditional staffing, recruiting, and value-added workforce solutions including: temporary and permanent placement of travel and local branch-based nurse and allied professionals, MSP services, education healthcare services, and outsourcing services. Substantially all of the results of the Advantage and AP Staffing acquisitions have been aggregated with our Nurse and Allied Staffing business segment. See Note 4 - Acquisitions to our consolidated financial statements.</w:t>
      </w:r>
    </w:p>
    <w:p>
      <w:pPr>
        <w:spacing w:after="0" w:line="172" w:lineRule="exact"/>
        <w:rPr>
          <w:rFonts w:ascii="Arial" w:cs="Arial" w:eastAsia="Arial" w:hAnsi="Arial"/>
          <w:sz w:val="17"/>
          <w:szCs w:val="17"/>
          <w:color w:val="auto"/>
        </w:rPr>
      </w:pPr>
    </w:p>
    <w:p>
      <w:pPr>
        <w:ind w:left="660" w:right="4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For the year ended December 31, 2018, Physician Staffing represented approximately 10% of our total revenue. Physician</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provides physicians in many specialties, as well as CRNAs, NPs, and PAs under our Medical Doctor Associates (MDA) brand as independent contractors on temporary assignments throughout the U.S.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800" w:right="279" w:bottom="1440" w:gutter="0" w:footer="0" w:header="0"/>
        </w:sectPr>
      </w:pPr>
    </w:p>
    <w:bookmarkStart w:id="22" w:name="page23"/>
    <w:bookmarkEnd w:id="22"/>
    <w:p>
      <w:pPr>
        <w:jc w:val="both"/>
        <w:ind w:left="660" w:right="4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For the year ended December 31, 2018, Other Human Capital Management Services (OHCMS)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approximately 2% of our total revenue. OHCMS is comprised of retained and contingent search services for physicians, healthcare executives, and other healthcare professionals within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year ended December 31, 2018, revenue from services decreased 5.6% to $816.5 million, with declines in both our Nurse and Allied Staffing and our Physician Staffing reporting segments. The year-over-year decrease in Nurse and Allied Staffing was primarily due to volume declines in travel nurse and branch operations, partly offset by the impact of the acquisition of Advantage in July 2017. The decrease in Physician Staffing was primarily due to a decrease in volume of days filled. We continued to manage our selling, general, and administrative expenses as we remain committed to improving operating leverage and overall profitability. As part of our cost savings and efficiency initiatives, we incurred $2.8 million in restructuring charges during the year ended December 31, 2018. Net loss attributable to common shareholders was $17.0 million, or $0.48 per diluted share and was impacted by pre-tax non-cash impairment charges of $22.4 million related to Physician Staffing ($16.4 million after taxes).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2018, we generated cash flow from operating activities of $21.0 million, and pursuant to the current authorized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repurchased and retired 432,439 shares of Common Stock for $5.0 million, at an average market price of $11.54 per share. See Note 14 -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 to our consolidated financial statements. As of December 31, 2018, we had $16.0 million of cash and cash equivalents and a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of $83.9 million outstanding on our Term Loan. During the year ended December 31, 2018, we repaid $16.1 million on our Term Loan,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of optional prepayments. There were no borrowings drawn on our revolving credit facility, with $20.6 million of letters of credit outstanding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December 31, 2018. Our ability to draw down on the revolving credit facility would be subject to continued compliance with our financial covenants,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which may require us to, among other things, make additional optional principal debt prepayments. See Note 8 - Debt to our consolidated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34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Business Segment</w:t>
            </w:r>
          </w:p>
        </w:tc>
        <w:tc>
          <w:tcPr>
            <w:tcW w:w="7820" w:type="dxa"/>
            <w:vAlign w:val="bottom"/>
          </w:tcPr>
          <w:p>
            <w:pPr>
              <w:ind w:left="15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0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r>
        <w:trPr>
          <w:trHeight w:val="222"/>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Nurse and Allied Staffing</w:t>
            </w:r>
          </w:p>
        </w:tc>
        <w:tc>
          <w:tcPr>
            <w:tcW w:w="7820" w:type="dxa"/>
            <w:vAlign w:val="bottom"/>
          </w:tcPr>
          <w:p>
            <w:pPr>
              <w:ind w:left="1500"/>
              <w:spacing w:after="0"/>
              <w:rPr>
                <w:sz w:val="20"/>
                <w:szCs w:val="20"/>
                <w:color w:val="auto"/>
              </w:rPr>
            </w:pPr>
            <w:r>
              <w:rPr>
                <w:rFonts w:ascii="Arial" w:cs="Arial" w:eastAsia="Arial" w:hAnsi="Arial"/>
                <w:sz w:val="18"/>
                <w:szCs w:val="18"/>
                <w:color w:val="auto"/>
                <w:w w:val="91"/>
              </w:rPr>
              <w:t>FTEs represent the average number of Nurse and Allied Staffing contract personnel on</w:t>
            </w:r>
          </w:p>
        </w:tc>
      </w:tr>
      <w:tr>
        <w:trPr>
          <w:trHeight w:val="230"/>
        </w:trPr>
        <w:tc>
          <w:tcPr>
            <w:tcW w:w="3500" w:type="dxa"/>
            <w:vAlign w:val="bottom"/>
          </w:tcPr>
          <w:p>
            <w:pPr>
              <w:spacing w:after="0"/>
              <w:rPr>
                <w:sz w:val="20"/>
                <w:szCs w:val="20"/>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a full-time equivalent basis.</w:t>
            </w:r>
          </w:p>
        </w:tc>
      </w:tr>
      <w:tr>
        <w:trPr>
          <w:trHeight w:val="256"/>
        </w:trPr>
        <w:tc>
          <w:tcPr>
            <w:tcW w:w="3500" w:type="dxa"/>
            <w:vAlign w:val="bottom"/>
          </w:tcPr>
          <w:p>
            <w:pPr>
              <w:spacing w:after="0"/>
              <w:rPr>
                <w:sz w:val="22"/>
                <w:szCs w:val="22"/>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w w:val="99"/>
              </w:rPr>
              <w:t>Average revenue per FTE per day is calculated by dividing the Nurse and Allied</w:t>
            </w:r>
          </w:p>
        </w:tc>
      </w:tr>
      <w:tr>
        <w:trPr>
          <w:trHeight w:val="216"/>
        </w:trPr>
        <w:tc>
          <w:tcPr>
            <w:tcW w:w="3500" w:type="dxa"/>
            <w:vAlign w:val="bottom"/>
          </w:tcPr>
          <w:p>
            <w:pPr>
              <w:spacing w:after="0"/>
              <w:rPr>
                <w:sz w:val="18"/>
                <w:szCs w:val="18"/>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w w:val="96"/>
              </w:rPr>
              <w:t>Staffing revenue per FTE by the number of days worked in the respective periods.</w:t>
            </w:r>
          </w:p>
        </w:tc>
      </w:tr>
      <w:tr>
        <w:trPr>
          <w:trHeight w:val="216"/>
        </w:trPr>
        <w:tc>
          <w:tcPr>
            <w:tcW w:w="3500" w:type="dxa"/>
            <w:vAlign w:val="bottom"/>
          </w:tcPr>
          <w:p>
            <w:pPr>
              <w:spacing w:after="0"/>
              <w:rPr>
                <w:sz w:val="18"/>
                <w:szCs w:val="18"/>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00" w:type="dxa"/>
            <w:vAlign w:val="bottom"/>
          </w:tcPr>
          <w:p>
            <w:pPr>
              <w:spacing w:after="0"/>
              <w:rPr>
                <w:sz w:val="20"/>
                <w:szCs w:val="20"/>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placement of nurses.</w:t>
            </w:r>
          </w:p>
        </w:tc>
      </w:tr>
      <w:tr>
        <w:trPr>
          <w:trHeight w:val="580"/>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820" w:type="dxa"/>
            <w:vAlign w:val="bottom"/>
          </w:tcPr>
          <w:p>
            <w:pPr>
              <w:ind w:left="1500"/>
              <w:spacing w:after="0"/>
              <w:rPr>
                <w:sz w:val="20"/>
                <w:szCs w:val="20"/>
                <w:color w:val="auto"/>
              </w:rPr>
            </w:pPr>
            <w:r>
              <w:rPr>
                <w:rFonts w:ascii="Arial" w:cs="Arial" w:eastAsia="Arial" w:hAnsi="Arial"/>
                <w:sz w:val="18"/>
                <w:szCs w:val="18"/>
                <w:color w:val="auto"/>
              </w:rPr>
              <w:t>Days filled is calculated by dividing the total hours invoiced during</w:t>
            </w:r>
          </w:p>
        </w:tc>
      </w:tr>
      <w:tr>
        <w:trPr>
          <w:trHeight w:val="216"/>
        </w:trPr>
        <w:tc>
          <w:tcPr>
            <w:tcW w:w="3500" w:type="dxa"/>
            <w:vAlign w:val="bottom"/>
          </w:tcPr>
          <w:p>
            <w:pPr>
              <w:spacing w:after="0"/>
              <w:rPr>
                <w:sz w:val="18"/>
                <w:szCs w:val="18"/>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the period, including an estimate for the impact of accrued revenue,</w:t>
            </w:r>
          </w:p>
        </w:tc>
      </w:tr>
      <w:tr>
        <w:trPr>
          <w:trHeight w:val="216"/>
        </w:trPr>
        <w:tc>
          <w:tcPr>
            <w:tcW w:w="3500" w:type="dxa"/>
            <w:vAlign w:val="bottom"/>
          </w:tcPr>
          <w:p>
            <w:pPr>
              <w:spacing w:after="0"/>
              <w:rPr>
                <w:sz w:val="18"/>
                <w:szCs w:val="18"/>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by 8 hours. Prior periods have been recalculated to include the</w:t>
            </w:r>
          </w:p>
        </w:tc>
      </w:tr>
      <w:tr>
        <w:trPr>
          <w:trHeight w:val="230"/>
        </w:trPr>
        <w:tc>
          <w:tcPr>
            <w:tcW w:w="3500" w:type="dxa"/>
            <w:vAlign w:val="bottom"/>
          </w:tcPr>
          <w:p>
            <w:pPr>
              <w:spacing w:after="0"/>
              <w:rPr>
                <w:sz w:val="20"/>
                <w:szCs w:val="20"/>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impact of the accrued revenue.</w:t>
            </w:r>
          </w:p>
        </w:tc>
      </w:tr>
      <w:tr>
        <w:trPr>
          <w:trHeight w:val="472"/>
        </w:trPr>
        <w:tc>
          <w:tcPr>
            <w:tcW w:w="3500" w:type="dxa"/>
            <w:vAlign w:val="bottom"/>
          </w:tcPr>
          <w:p>
            <w:pPr>
              <w:spacing w:after="0"/>
              <w:rPr>
                <w:sz w:val="24"/>
                <w:szCs w:val="24"/>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Revenue per day filled is calculated by dividing revenue as reported</w:t>
            </w:r>
          </w:p>
        </w:tc>
      </w:tr>
      <w:tr>
        <w:trPr>
          <w:trHeight w:val="216"/>
        </w:trPr>
        <w:tc>
          <w:tcPr>
            <w:tcW w:w="3500" w:type="dxa"/>
            <w:vAlign w:val="bottom"/>
          </w:tcPr>
          <w:p>
            <w:pPr>
              <w:spacing w:after="0"/>
              <w:rPr>
                <w:sz w:val="18"/>
                <w:szCs w:val="18"/>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by days filled for the period presented. Prior periods have been</w:t>
            </w:r>
          </w:p>
        </w:tc>
      </w:tr>
      <w:tr>
        <w:trPr>
          <w:trHeight w:val="230"/>
        </w:trPr>
        <w:tc>
          <w:tcPr>
            <w:tcW w:w="3500" w:type="dxa"/>
            <w:vAlign w:val="bottom"/>
          </w:tcPr>
          <w:p>
            <w:pPr>
              <w:spacing w:after="0"/>
              <w:rPr>
                <w:sz w:val="20"/>
                <w:szCs w:val="20"/>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recalculated to include the impact of the accrued revenue and days.</w:t>
            </w:r>
          </w:p>
        </w:tc>
      </w:tr>
      <w:tr>
        <w:trPr>
          <w:trHeight w:val="702"/>
        </w:trPr>
        <w:tc>
          <w:tcPr>
            <w:tcW w:w="3500" w:type="dxa"/>
            <w:vAlign w:val="bottom"/>
          </w:tcPr>
          <w:p>
            <w:pPr>
              <w:spacing w:after="0"/>
              <w:rPr>
                <w:sz w:val="24"/>
                <w:szCs w:val="24"/>
                <w:color w:val="auto"/>
              </w:rPr>
            </w:pPr>
          </w:p>
        </w:tc>
        <w:tc>
          <w:tcPr>
            <w:tcW w:w="7820" w:type="dxa"/>
            <w:vAlign w:val="bottom"/>
          </w:tcPr>
          <w:p>
            <w:pPr>
              <w:ind w:left="206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for the periods indicated, selected consolidated statements of operations data expressed as a percentage of revenue. Our historical results of operations are not necessarily indicative of future operating results.</w:t>
      </w:r>
    </w:p>
    <w:p>
      <w:pPr>
        <w:spacing w:after="0" w:line="329"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34290</wp:posOffset>
            </wp:positionV>
            <wp:extent cx="3713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ind w:left="6240"/>
              <w:spacing w:after="0"/>
              <w:rPr>
                <w:sz w:val="20"/>
                <w:szCs w:val="20"/>
                <w:color w:val="auto"/>
              </w:rPr>
            </w:pPr>
            <w:r>
              <w:rPr>
                <w:rFonts w:ascii="Arial" w:cs="Arial" w:eastAsia="Arial" w:hAnsi="Arial"/>
                <w:sz w:val="18"/>
                <w:szCs w:val="18"/>
                <w:b w:val="1"/>
                <w:bCs w:val="1"/>
                <w:color w:val="auto"/>
                <w:w w:val="99"/>
              </w:rPr>
              <w:t>2018</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54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Direct operating expenses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73.4</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21.5</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Bad debt expense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Acquisition and integration costs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Restructuring costs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Gain on derivative liability</w:t>
            </w:r>
          </w:p>
        </w:tc>
        <w:tc>
          <w:tcPr>
            <w:tcW w:w="1980" w:type="dxa"/>
            <w:vAlign w:val="bottom"/>
            <w:gridSpan w:val="3"/>
          </w:tcPr>
          <w:p>
            <w:pPr>
              <w:jc w:val="right"/>
              <w:ind w:right="15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(0.7)</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1980" w:type="dxa"/>
            <w:vAlign w:val="bottom"/>
            <w:tcBorders>
              <w:bottom w:val="single" w:sz="8" w:color="CCEEFF"/>
            </w:tcBorders>
            <w:gridSpan w:val="3"/>
            <w:shd w:val="clear" w:color="auto" w:fill="CCEEFF"/>
          </w:tcPr>
          <w:p>
            <w:pPr>
              <w:jc w:val="right"/>
              <w:ind w:right="15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Other income, net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54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4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79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660" w:type="dxa"/>
            <w:vAlign w:val="bottom"/>
            <w:gridSpan w:val="8"/>
          </w:tcPr>
          <w:p>
            <w:pPr>
              <w:spacing w:after="0"/>
              <w:rPr>
                <w:sz w:val="20"/>
                <w:szCs w:val="20"/>
                <w:color w:val="auto"/>
              </w:rPr>
            </w:pPr>
            <w:r>
              <w:rPr>
                <w:rFonts w:ascii="Arial" w:cs="Arial" w:eastAsia="Arial" w:hAnsi="Arial"/>
                <w:sz w:val="18"/>
                <w:szCs w:val="18"/>
                <w:b w:val="1"/>
                <w:bCs w:val="1"/>
                <w:color w:val="auto"/>
                <w:w w:val="91"/>
              </w:rPr>
              <w:t>Comparison of Results for the Year Ended December 31, 2018 compared to the Year Ended December 31, 2017</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94"/>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480" w:type="dxa"/>
            <w:vAlign w:val="bottom"/>
          </w:tcPr>
          <w:p>
            <w:pPr>
              <w:spacing w:after="0"/>
              <w:rPr>
                <w:sz w:val="24"/>
                <w:szCs w:val="24"/>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(Dollars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606,921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636,462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(29,541)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168.8 %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32,023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92.8 %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services decreased $48.6 million, or 5.6%, to $816.5 million for the year ended December 31, 2018, as compared to $865.0 million for the year ended December 31, 2017. The decrease was due primarily to volume declines in our Nurse and Allied and Physician Staffing segments.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related insurance expenses. Direct operating expenses decreased $29.5 million, or 4.6%, to $606.9 million for the year ended December 31, 2018, as compared to $636.5 million for the year ended December 31, 2017. As a percentage of total revenue, direct operating expenses increased to 74.3% compared to 73.6% in the prior year period, primarily due to lower bill-pay spread, primarily in our travel nurse operations, coupled with an increase in healthcare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decreased $7.2 million, or 3.8%, to $180.2 million for the year ended December 31, 2018, as compared to</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$187.4 million for the year ended December 31, 2017, primarily reflecting the cost savings and efficiency initiatives completed over the year, partly offset by higher professional service fees, such as legal and consulting. As a percentage of total revenue, selling, general, and administrative expenses were 22.1% and 21.7% for the year ended December 31, 2018 and December 31, 2017,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Depreciation and amortization expense in the year ended December 31, 2018 increased to $11.8 million as compared to $10.2 million for the year ended December 31, 2017, primarily due to the additional amortization of other intangible assets related to the Advantage acquisition. As a percentage of revenue, depreciation and amortization expense was 1.4% for the year ended December 31, 2018 and 1.2% for the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Acquisition-related contingent consideration includes accretion and valuation adjustments on our contingent consideration liabilities for the Mediscan and USR acquisitions, and totaled $2.6 million and less than $0.1 million for the years ended December 31, 2018 and 2017, respectively. Both years included the reversal of an earnout liability which was determined would not be achieved, USR in 2018 and Mediscan in 2017. See Note 10 - Fair Value Measurements to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During the years ended December 31, 2018 and 2017, we incurred acquisition and integration costs of $0.5 million and $2.0 million, respectively. The 2018 costs included integration costs related to the Advantage acquisition, and transaction-related costs related to the AP Staffing acquisition, while the 2017 costs related to the Advantage acquisition. See Note 4 - Acquisitions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Restructuring costs include severance, exit costs, and other costs including write-offs related to abandoned locations incurred as part of separate and discrete cost savings initiatives. We recorded restructuring costs of $2.8 million for the year ended December 31, 2018 and $1.0 million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fourth quarter of 2018 and 2017, we recorded non-cash impairment charges of $22.4 million and $14.4 million, respectively, relating to the Physician Staffing reporting unit. We reduced our long-range forecast for the Physician Staffing business segment in the fourth quarter of both years. The lower than expected revenue was driven by lower booking volumes, partly due to the loss of customers. In addition, margins of the reporting unit were negatively impacted from investments in the business. As a result, we recorded non-cash impairment charges of $5.2 million and $8.7 million, respectively, related to trade names and $17.2 million and $5.7 million, respectively, related to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Interest expense totaled $5.7 million for the year ended December 31, 2018 and $4.2 million for the year ended December 31, 2017. The increase was due primarily to the incremental debt resulting from the acquisition of Advantage, coupled with a higher effective interest rate. The effective interest rate on our borrowings increased to 5.1% for the year ended December 31, 2018 compared to 4.6%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incurred a gain on derivative liability of $1.6 million for the year ended December 31, 2017 related to the change in the fair value of embedded features of our Convertible Notes from the end of the prior quarter through the payoff date, primarily resulting from a decrease in our share price. There were no such charges incurred for the year ended December 31, 2018. See Note 8 - Debt and Note 9 - Derivatives to our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Loss on early extinguishment of debt was not material for the year ended December 31, 2018 and relates to the optional prepayments of $5.0 million each made on our Amended Term Loan in the third and fourth quarters of 2018. Loss on early extinguishment of debt of $5.0 million for the year ended December 31, 2017 relates to the early repayment of our Convertible Notes. See Note 8 - Debt to our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01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 benefit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Income tax benefit totaled $2.5 million for the year ended December 31, 2018, compared to $34.5 million for the year ended December 31, 2017. The effective tax rate was 13.6% and negative 802.2%, including the impact of discrete items, for the years ended December 31, 2018 and 2017, respectively. The effective tax rate in 2018 was impacted by the non-deductibility of certain per diem expenses, the officers' compensation limitation, and international and state income taxes. Further, during the fourth quarter of 2018 the Company completed its 2017 federal and state income tax returns and recorded a discrete tax benefit associated with adjusting its net deferred tax asset. The effective tax rate in 2017 was impacted by the reversal of valuation allowances, partially offset by the changes in estimated deferred tax assets resulting from the 2017 Tax Act. On December 22, 2017, the 2017 Tax Act was signed into legislation which, among other changes, reduced the corporate federal income tax rate from 35% to 21%, effective for our year ended December 31, 2018. Because a change in tax law is accounted for in the period of enactment, we recorded income tax expense of $8.0 million, primarily due to a remeasurement of deferred tax assets and liabilities. See Note 13 - Income Taxes to our consolidated financial statements for further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2017 compared to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(Dollars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31,511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636,462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611,802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24,660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208.3 %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36.3 %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5,564</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72.8 %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32.6 %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(30,315)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(724.2)%</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30,071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68.7 %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29,546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370.9 %</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from services increased $31.5 million, or 3.8%, to $865.0 million for the year ended December 31, 2017, as compared to $833.5 million for the year ended December 31, 2016. The increase was entirely from Nurse and Allied Staffing primarily due to the Advantage acquisition, and partially offset by lower revenue from Physician Staffing and OHCMS. See further discussion in Segment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$24.7 million, or 4.0%, to $636.5 million for the year ended December 31, 2017, as compared to $611.8 million for the year ended December 31, 2016, entirely due to the Advantage acquisition. As a percentage of total revenue, direct operating expenses increased to 73.6% compared to 73.4% in the prior year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Selling, general, and administrative expenses increased $7.6 million, or 4.2%, to $187.4 million for the year ended December 31, 2017, as compared to $179.8 million for the year ended December 31, 2016, partly due to the impact of the acquisition of Advantage. Excluding the impact of Advantage, the increase was primarily due to investments in revenue-producing headcount, higher marketing costs for candidate attraction, and higher compensation and benefit costs. As a percentage of total revenue, selling, general, and administrative expenses were 21.7% and 21.5% for the year ended December 31, 2017 and December 31,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Depreciation and amortization expense in the year ended December 31, 2017 increased to $10.2 million as compared to $9.2 million for the year ended December 31, 2016, partly due to the additional amortization of other intangible assets of Advantage. As a percentage of revenue, depreciation and amortization expense was 1.2% for the year ended December 31, 2017 and 1.1%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Acquisition-related contingent consideration totaled less than $0.1 million for the year ended December 31, 2017, related to the accretion on earnouts, partly offset by the reversal of an earnout liability related to Mediscan which was determined would not be achieved, as compared to $0.8 million for the year ended December 31, 2016, primarily related to accretion of the Mediscan earnouts. In the fourth quarter of 2017, we also recognized a decrease in the fair value of the USR earnout liability of $1.3 million, driven by the decrease in the projected USR 2018 and 2019 revenue and EBITDA amounts, offset by a $1.2 million increase in the projected fair value of Mediscan's DirectEd earnout liability, as a result of an increase in their projected 2018 and 2019 gross profit amounts. See Note 10 - Fair Value Measurements to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years ended December 31, 2017 and 2016, we incurred acquisition and integration costs of $2.0 million and $0.1 million, respectively. The 2017 costs consisted primarily of transaction, advisory, and legal fees related to the acquisition of Advantage. See Note 4 - Acquisitions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Restructuring costs include severance and exit costs incurred as part of separate and discrete cost savings initiatives. We recorded restructuring costs of $1.0 million for the year ended December 31, 2017 and $0.8 million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fourth quarter of 2017, we recorded non-cash impairment charges of $14.4 million relating to the Physician Staffing reporting unit. We reduced our long-range forecast for the Physician Staffing business segment in the fourth quarter of 2017. The lower than expected revenue was driven by lower booking volumes, partly due to the loss of customers. In addition, margins of the reporting unit were negatively impacted from continued investments in the business. As a result, we recorded non-cash impairment charges of $8.7 million related to trade names and $5.7 million related to goodwill.</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2016, we recorded non-cash impairment charges of $24.3 million relating to the Physician Staffing reporting unit. Based on its under-performance to plan through the six months ended June 30, 2016, we revised our growth assumptions for the Physician Staffing reporting unit which triggered our evaluation.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totaled $4.2 million for the year ended December 31, 2017 and $6.1 million for the year ended December 31, 2016. The decrease was due to a lower effective interest rate partially offset by higher average borrowings. The effective interest rate on our borrowings decreased to 4.6% for the year ended December 31, 2017 compared to 8.4% for the year ended December 31, 2016, primarily due to the payoff of our $25.0 million 8% fixed rate Convertible Notes on March 17, 2017. See Note 8 - Debt to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Gain on derivative liability of $1.6 million and $5.8 million for the years ended December 31, 2017 and December 31, 2016, respectively, related to the change in the fair value of embedded features of our Convertible Notes. The gains in both periods primarily resulted from decreases in our share price from the end of the respective prior years through the 2017 payoff date and through December 31, 2016. The gain in 2016 was partially offset by a reduction in credit risk. See Note 8 - Debt and Note 9 - Derivatives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Loss on early extinguishment of debt of $5.0 million for the year ended December 31, 2017 relates to the write-off of original issue discount and debt issuance costs of $4.4 million and a pre-payment fee of $0.6 million due to the early settlement of our Convertible Notes. Loss on early extinguishment of debt was $1.6 million for the year ended December 31, 2016 and related to the write-off of unamortized net debt discount and issuance costs, including a redemption premium of $0.6 million, related to our Second Lien Term Loan. See Note 8 - Debt to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 benefit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Income tax benefit from continuing operations totaled $34.5 million for the year ended December 31, 2017, compared to $4.2 million for the year ended December 31, 2016. The effective tax rate was negative 802.2% and negative 92.1%, including the impact of discrete items, for the years ended December 31, 2017 and 2016, respectively. The effective tax rate in 2017 was impacted by the reversal of valuation allowances, partially offset by the changes in estimated deferred tax assets resulting from the 2017 Tax Act. The effective tax rate in 2016 is different than the statutory rates primarily due to the impact from amortization of indefinite-lived intangible assets for tax purposes and the partial non-deductibility of certain per diem expenses and international and state minimum taxes. See Note 13 - Income Taxes to our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53"/>
        </w:trPr>
        <w:tc>
          <w:tcPr>
            <w:tcW w:w="9600" w:type="dxa"/>
            <w:vAlign w:val="bottom"/>
            <w:gridSpan w:val="8"/>
          </w:tcPr>
          <w:p>
            <w:pPr>
              <w:spacing w:after="0"/>
              <w:rPr>
                <w:sz w:val="20"/>
                <w:szCs w:val="20"/>
                <w:color w:val="auto"/>
              </w:rPr>
            </w:pPr>
            <w:r>
              <w:rPr>
                <w:rFonts w:ascii="Arial" w:cs="Arial" w:eastAsia="Arial" w:hAnsi="Arial"/>
                <w:sz w:val="18"/>
                <w:szCs w:val="18"/>
                <w:color w:val="auto"/>
                <w:w w:val="94"/>
              </w:rPr>
              <w:t>Information on operating segments and a reconciliation to (loss) income from operations for the periods indicated are as follows: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(amounts 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720,302</w:t>
            </w:r>
          </w:p>
        </w:tc>
        <w:tc>
          <w:tcPr>
            <w:tcW w:w="52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758,267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721,486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98,283</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13,877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13,171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13,768</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816,484</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833,537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Contribution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66,365</w:t>
            </w:r>
          </w:p>
        </w:tc>
        <w:tc>
          <w:tcPr>
            <w:tcW w:w="52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73,614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71,992</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8,265</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79,722</w:t>
            </w:r>
          </w:p>
        </w:tc>
      </w:tr>
      <w:tr>
        <w:trPr>
          <w:trHeight w:val="297"/>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38,400</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11,780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10,174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9,182</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Impairment charges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24,311</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11,748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17 - Segment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Nurse and Allied Staffing statistical data: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FTEs</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7,154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7,397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Average Nurse and Allied Staffing revenue per FTE per day</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Physician Staffing statistical data: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Days filled</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53,039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60,161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(7,122)</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Revenue per day filled</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83" w:right="239" w:bottom="1440" w:gutter="0" w:footer="0" w:header="0"/>
          <w:type w:val="continuous"/>
        </w:sectPr>
      </w:pPr>
    </w:p>
    <w:bookmarkStart w:id="30" w:name="page31"/>
    <w:bookmarkEnd w:id="30"/>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6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Nurse and Allied Staffing statistical data:</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FTEs</w:t>
            </w:r>
          </w:p>
        </w:tc>
        <w:tc>
          <w:tcPr>
            <w:tcW w:w="208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7,397</w:t>
            </w:r>
          </w:p>
        </w:tc>
        <w:tc>
          <w:tcPr>
            <w:tcW w:w="2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6,953</w:t>
            </w:r>
          </w:p>
        </w:tc>
        <w:tc>
          <w:tcPr>
            <w:tcW w:w="2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444</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6.4 %</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0"/>
              </w:rPr>
              <w:t>Physician Staffing statistical data:</w:t>
            </w:r>
          </w:p>
        </w:tc>
        <w:tc>
          <w:tcPr>
            <w:tcW w:w="2580" w:type="dxa"/>
            <w:vAlign w:val="bottom"/>
            <w:tcBorders>
              <w:bottom w:val="single" w:sz="8" w:color="CCEEFF"/>
            </w:tcBorders>
            <w:gridSpan w:val="2"/>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6"/>
                <w:szCs w:val="16"/>
                <w:color w:val="auto"/>
              </w:rPr>
              <w:t>Days filled</w:t>
            </w: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60,161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61,584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1,556</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1,596</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Measurements under the Operating Metrics section of our Management's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Comparison - Year Ended December 31, 2018 compared to the Year Ended December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 and Allied Staffing</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Revenue from the Nurse and Allied Staffing business segment decreased $38.0 million, or 5.0% to $720.3 million for the year ended December 31, 2018, from $758.3 million for the year ended December 31, 2017. The year-over-year decrease was primarily due to volume declines across both travel nurse and local staffing, partly offset by the impact of the July 2017 acquisition of Advantage. Excluding the impact of the Advantage acquisition, revenue declined 9.3%. The lower revenue in travel nurse and local staffing was partly offset by increases in travel allied and education healthcare staffing.</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Contribution income from Nurse and Allied Staffing for the year ended December 31, 2018, decreased $7.2 million or 9.8%, to $66.4 million from $73.6 million in year ended December 31, 2017. As a percentage of segment revenue, contribution income margin decreased to 9.2% for the year ended December 31, 2018 from 9.7% for the year ended December 31, 2017, primarily due to lower travel nurse volumes, and to a lesser extent, lower travel nurse bill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average number of Nurse and Allied Staffing FTEs on contract during the year ended December 31, 2018 decreased 3.3% from the year ended December 31, 2017. Average Nurse and Allied Staffing revenue per FTE per day decreased approximately 1.8% in the year ended December 31, 2018 compared to the year ended December 31, 2017, reflecting lower average bill rates, primarily in our travel nurse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from Physician Staffing decreased $11.3 million, or 12.1% to $82.3 million for the year ended December 31, 2018, compared to $93.6 million for the year ended December 31, 2017, primarily due to a decrease in volume of days filled.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Contribution income from Physician Staffing for the year ended December 31, 2018, decreased $0.5 million or 9.5% to $4.8 million compared to $5.3 million in the year ended December 31, 2017. As a percentage of segment revenue, contribution income was 5.8% for the year ended December 31, 2018 and 5.6% for the year ended December 31, 2017. The margin improvement was primarily due to lower selling, general and administrative costs, partly offset by a lower gross profit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Physician Staffing days filled decreased 11.8% to 53,039 in the year ended December 31, 2018, compared to 60,161 in the year ended December 31, 2017. Revenue per day filled was $1,552 for the year ended December 31, 2018 and $1,556 for the year ended December 31, 2017, due to a shift in mix between advanced practice and physician staffing.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 from OHCMS for the year ended December 31, 2018, increased $0.7 million, or 5.4%, to $13.9 million from $13.2 million in the year ended December 31, 2017, primarily due to growth in executive searches, partially offset by lower physician searches.</w:t>
      </w:r>
    </w:p>
    <w:p>
      <w:pPr>
        <w:sectPr>
          <w:pgSz w:w="11900" w:h="16838" w:orient="portrait"/>
          <w:cols w:equalWidth="0" w:num="1">
            <w:col w:w="11380"/>
          </w:cols>
          <w:pgMar w:left="240" w:top="976" w:right="2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976" w:right="279" w:bottom="1440" w:gutter="0" w:footer="0" w:header="0"/>
          <w:type w:val="continuous"/>
        </w:sectPr>
      </w:pPr>
    </w:p>
    <w:bookmarkStart w:id="31" w:name="page32"/>
    <w:bookmarkEnd w:id="31"/>
    <w:p>
      <w:pPr>
        <w:jc w:val="both"/>
        <w:ind w:right="120"/>
        <w:spacing w:after="0" w:line="264" w:lineRule="auto"/>
        <w:rPr>
          <w:sz w:val="20"/>
          <w:szCs w:val="20"/>
          <w:color w:val="auto"/>
        </w:rPr>
      </w:pPr>
      <w:r>
        <w:rPr>
          <w:rFonts w:ascii="Arial" w:cs="Arial" w:eastAsia="Arial" w:hAnsi="Arial"/>
          <w:sz w:val="18"/>
          <w:szCs w:val="18"/>
          <w:color w:val="auto"/>
        </w:rPr>
        <w:t>Contribution income from OHCMS for the year ended December 31, 2018, increased by $1.0 million, or 267.5%, to $0.6 million, compared to a loss of $0.4 million for the year ended December 31, 2017. The year-over-year improvement was due to lower selling, general and administrative expenses, partly offset by a lower gross profit margin.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increased to $44.6 million for the year ended December 31, 2018, from $39.2 million for the year ended December 31, 2017, primarily due to higher professional service fees, such as legal and consulting, partly offset by the impact of cost savings and efficiency initiatives. As a percentage of consolidated revenue, unallocated corporate overhead was 5.5% for the year ended December 31, 2018, and 4.5% for the year ended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Comparison - Year Ended December 31, 2017 compared to the Year Ended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 and Allied Staffing</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Revenue from the Nurse and Allied Staffing business segment increased $36.8 million, or 5.1% to $758.3 million for the year ended December 31, 2017, from $721.5 million for the year ended December 31, 2016. The year-over-year increase was entirely due the impact of the Advantage acquisition. Excluding the impact of the Advantage acquisition, revenue declined 1.3%, primarily due to the impact of higher average bill rates partly related to specific project revenue in the prior year and lower premium rate business in 2017, partially offset by growth in our education healthcare staffing operations.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Contribution income from Nurse and Allied Staffing for the year ended December 31, 2017, increased $1.6 million or 2.3%, to $73.6 million from $72.0 million in year ended December 31, 2016. As a percentage of segment revenue, contribution income margin decreased to 9.7% for the year ended December 31, 2017 from 10.0% for the year ended December 31, 2016, primarily due to higher compensation packages for our field staff that were in place in the early part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average number of Nurse and Allied Staffing FTEs on contract during the year ended December 31, 2017 increased 6.4% over the year ended December 31, 2016, in part due to the impact of the acquisition of Advantage. Average Nurse and Allied Staffing revenue per FTE per day decreased approximately 1.1% in the year ended December 31, 2017 compared to the year ended December 31, 2016, primarily due to less premium rate business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from Physician Staffing decreased $4.7 million, or 4.8% to $93.6 million for the year ended December 31, 2017, compared to $98.3 million for the year ended December 31, 2016, primarily due to a decrease in volume of days filled.</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Contribution income from Physician Staffing for the year ended December 31, 2017, decreased $3.0 million or 36.4% to $5.3 million compared to $8.3 million in the year ended December 31, 2016. As a percentage of segment revenue, contribution income was 5.6% for the year ended December 31, 2017 and 8.4% for the year ended December 31, 2016. The margins were negatively impacted from continued investments in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Physician Staffing days filled decreased 2.3% to 60,161 in the year ended December 31, 2017, compared to 61,584 in the year ended December 31, 2016, primarily due to a decline in physician specialties, partly offset by an increase in advanced practices. Part of the volume decline in physician specialties is due to a reduction in orders from government customers. Revenue per day filled was $1,556 and $1,596 for the years ended December 31,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Revenue from OHCMS for the year ended December 31, 2017, decreased $0.6 million, or 4.3%, to $13.2 million from $13.8 million in the year ended December 31, 2016, primarily due to a decrease in executive searches and placements, partially offset by higher physician searches.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2" w:name="page33"/>
    <w:bookmarkEnd w:id="32"/>
    <w:p>
      <w:pPr>
        <w:ind w:right="260"/>
        <w:spacing w:after="0" w:line="277" w:lineRule="auto"/>
        <w:rPr>
          <w:sz w:val="20"/>
          <w:szCs w:val="20"/>
          <w:color w:val="auto"/>
        </w:rPr>
      </w:pPr>
      <w:r>
        <w:rPr>
          <w:rFonts w:ascii="Arial" w:cs="Arial" w:eastAsia="Arial" w:hAnsi="Arial"/>
          <w:sz w:val="18"/>
          <w:szCs w:val="18"/>
          <w:color w:val="auto"/>
        </w:rPr>
        <w:t>Contribution loss from OHCMS for the year ended December 31, 2017, decreased by $0.1 million, or 33.3%, to $0.4 million, compared to $0.5 million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Unallocated corporate overhead was $39.2 million for the year ended December 31, 2017, compared to $38.4 million for the year ended December 31, 2016, primarily due to an increase in compensation and benefits. As a percentage of consolidated revenue, unallocated corporate overhead was 4.5% for the year ended December 31, 2017, and 4.6%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Related Party Transactions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At December 31, 2018, we had $16.0 million in cash and cash equivalents, and $83.9 million of Term Loan outstanding, at par. Working capital decreased by $4.8 million to $109.5 million as of December 31, 2018, compared to $114.3 million as of December 31, 2017. Our net days' sales outstanding (DSO), which excludes amounts owed to subcontractors, increased 4 days to 62 days as of December 31, 2018, compared to 58 days as of December 31, 2017. The increase was due to clients' slow paying, predominantly among a few large customers and, to a lesser extent, clients' seeking extended payment terms.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Amended and Restated Credit Agreement. See debt discussion which follows. In the third quarter of 2018, we launched a new initiative to replace our legacy system supporting our travel nurse staffing operations.</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upon current projections, we will not satisfy the required leverage ratio under our Credit Agreement as of March 31, 2019. As a result, a debt prepayment of between $10 million and $12 million would be required to remain in compliance. We believe such prepayment will be sufficient to maintain compliance with the leverage ratio covenant and meet our obligations for the next twelve months. In the event actual results differ significantly from current projections, we may be required to make additional debt prepayments. Further, we may be able to amend our Credit Agreement, and as a result, would not be required to make any debt prepayments.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Comparisons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 Compared to Year Ended December 31, 2017</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cash provided by operating activities during the year ended December 31, 2018 was $21.0 million compared to $45.5 million during the year ended December 31, 2017, primarily due to lower collections and timing of payments.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cash used in investing activities during the year ended December 31, 2018 was $6.7 million compared to $91.4 million in the year ended December 31, 2017. The lower cash used in the year ended December 31, 2018 is due to less cash used for acquisitions. During the year ended December 31, 2018, we used $1.9 million, net of cash acquired, for the AP Staffing acquisition compared to a use of $86.0 million to acquire Advantage in July 2017. See Note 4 - Acquisitions to our consolidated financial statements. In both years, cash used also includes capital expenditures and acquisition-related settlements.</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Net cash used in financing activities during the year ended December 31, 2018 was $23.8 million, compared to net cash provided by financing activities of $50.8 million during the year ended December 31, 2017. During the year ended December 31, 2018, we repaid $16.1 million on our Term Loan, including $10.0 million of optional prepayments, and paid $0.3 million in debt issuance costs in connection with the First Amendment to our Amended and Restated Credit Facility. We also repurchased and retired shares of our Common Stock for $5.0 million, and used cash to pay $0.9 million for shares withheld for taxes, $1.2 million for noncontrolling shareholder payments, and $0.3 million of contingent consideration. During the year ended December 31, 2017, in the first quarter, we paid off our Convertible Notes with a partial cash payment of $5.0 million and extinguishment fees of $0.6 million. We also funded the acquisition of Advantage using our Senior Credit Facility and subsequently refinanced, resulting in net borrowings of $68.5 million on the Senior Credit Facility ($62.0 million in Term Loans and $6.5 million on the Revolving Credit Facility which was subsequently repaid) and debt issuance costs of $0.9</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3" w:name="page34"/>
    <w:bookmarkEnd w:id="33"/>
    <w:p>
      <w:pPr>
        <w:ind w:right="380"/>
        <w:spacing w:after="0" w:line="277" w:lineRule="auto"/>
        <w:rPr>
          <w:sz w:val="20"/>
          <w:szCs w:val="20"/>
          <w:color w:val="auto"/>
        </w:rPr>
      </w:pPr>
      <w:r>
        <w:rPr>
          <w:rFonts w:ascii="Arial" w:cs="Arial" w:eastAsia="Arial" w:hAnsi="Arial"/>
          <w:sz w:val="18"/>
          <w:szCs w:val="18"/>
          <w:color w:val="auto"/>
        </w:rPr>
        <w:t>million. In addition, we used cash to repay $1.5 million on our Term Loan, pay $1.8 million for shares withheld for taxes, $1.2 million for noncontrolling shareholder payments, and $0.3 million of contingent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Net cash provided by operating activities during the year ended December 31, 2017 was $45.5 million compared to $30.1 million during the year ended December 31, 2016, primarily due to higher collections partly offset by the timing of payments for the year ended December 31, 2017.</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Investing activities used a net of $91.4 million in the year ended December 31, 2017 compared to $9.8 million in the year ended December 31, 2016. Net cash used in the year ended December 31, 2017 was for the Advantage acquisition and for capital expenditures, of which $2.9 million was reimbursed from our landlord for tenant improvements and is reflected in operating activities. Net cash used in investing activities in the year ended December 31, 2016 included $6.5 million for capital expenditures, $1.9 million for the acquisition of USR, and $1.9 million of other acquisition-related settlements, which was partially offset by the receipt of $0.5 million related to proceeds from the sale of CCE. See Note 3 - Acquisitions and Note 4 - Disposal to our consolidated financial statements.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Net cash provided by financing activities during the year ended December 31, 2017 was $50.8 million, compared to $2.2 million net cash used during the year ended December 31, 2016. During the year ended December 31, 2017, in the first quarter, we paid off our Convertible Notes with a partial cash payment of $5.0 million and extinguishment fees of $0.6 million. We also funded the acquisition of Advantage using our Senior Credit Facility and subsequently refinanced, resulting in net borrowings of $68.5 million on the Senior Credit Facility ($62.0 million in Term Loans and $6.5 million on the Revolving Credit Facility which was subsequently repaid) and debt issuance costs of $0.9 million. In addition, we used cash to repay $1.5 million on our Term Loan, pay $1.8 million for shares withheld for taxes, $1.2 million for noncontrolling shareholder payments, and $0.3 million of contingent consideration. During the year ended December 31, 2016, we entered into the 2016 Senior Credit Facility which provided us with $40.0 million of borrowings under the Term Loan Facility. Part of the proceeds from the borrowings were used to prepay our $30.0 million Second Lien Term Loan including a prepayment penalty of $0.6 million and $1.2 million of debt issuance costs. During the year ended December 31, 2016, we also repaid a net of $8.0 million on our senior secured asset-based credit facility and $0.5 million on our term loan facility, and used cash to pay $0.9 million for shares withheld for taxes, $0.7 million for noncontrolling shareholder payments, and $0.2 million of contingent consideration.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more fully described in Note 8 - Debt to our consolidated financial statements, our Amended and Restated Credit Agreement, entered into on August 1, 2017, provides us with a $215.0 million committed facility, including a term loan of $100.0 million (Amended Term Loan) and a $115.0 million revolving credit facility (Amended Revolving Credit Facility) (together with the Amended Term Loan, the Amended Credit Facilities). As of December 31, 2018, the Applicable Margin, as defined in the Amended and Restated Credit Agreement, was 2.50% for Eurodollar Loans and LIBOR Index Rate Loans and 1.50% for Base Rate Loans. As of December 31, 2018, we had $83.9 million principal balance on the Amended Term Loan and $20.6 million in letters of credit outstanding.</w:t>
      </w:r>
    </w:p>
    <w:p>
      <w:pPr>
        <w:spacing w:after="0" w:line="19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On October 30, 2018, we entered into an amendment to our Amended and Restated Credit Agreement that increased the maximum Consolidated Total Leverage Ratio covenant by 0.50:1.00 through September 30, 2019, and by 0.25:1.00 for the period ended December 31, 2019, modified the definition of Consolidated EBITDA to allow for the exclusion of charges related to an initiative to replace our front-end system supporting our legacy travel nurse operations, and also provided for a less restrictive pro forma Consolidated Total Leverage Ratio threshold for restricted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17, 2017, we paid in full our fixed rate 8% Convertible Notes. The Convertible Notes had an aggregate principal amount of $25.0 million, and were convertible into shares of our Common Stock, at a conversion price of $7.10 per share. As a result of the early repayment, we recognized $5.0 million as loss on early extinguishment of debt.</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inception of the notes, and at the time of the payoff, the conversion price of $7.10 was below the market price. The initial agreement allowed us to force conversion of the Notes only after three years, beginning July 1, 2017, and if the VWAP exceeded 125% of the Conversion Price for 20 days of a 30 day trading period (the threshold was $8.88, which we were well above). As such, we and the Noteholders agreed to an early settlement at fair value based on the stock price. In connection with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the repayment, we issued to the Noteholders an aggregate of 3,175,584 shares of Common Stock and cash in the aggregate amount of $5.6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14 - Stockholders' Equity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116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8"/>
          </w:tcPr>
          <w:p>
            <w:pPr>
              <w:ind w:left="10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17,722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65"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our Amended Term Loan, we are required to comply with certain financial covenants. Our inability to comply with the required covenants or other provisions could result in default under our amended credit facilities. In the event of any such default and our inability to obtain a waiver of the default, all amounts outstanding under the Amended Credit Facilities could be declared immediately due and payable. As of December 31, 2018, we are in compliance with the financial covenants and other covenants contained in the Amended and Restated Credit Agreement.</w:t>
      </w:r>
    </w:p>
    <w:p>
      <w:pPr>
        <w:ind w:left="340" w:right="18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December 31, 2018 applicable LIBOR and margin rate totaling 5.0% on approximately 45% of the Term Loan balance, and a fixed interest rate of 5.1% on the other approximately 55% of the Term Loan balance, taking into account the interest rate swap. See Note 9 - Derivatives.</w:t>
      </w:r>
    </w:p>
    <w:p>
      <w:pPr>
        <w:spacing w:after="0" w:line="1" w:lineRule="exact"/>
        <w:rPr>
          <w:rFonts w:ascii="Arial" w:cs="Arial" w:eastAsia="Arial" w:hAnsi="Arial"/>
          <w:sz w:val="18"/>
          <w:szCs w:val="18"/>
          <w:color w:val="auto"/>
        </w:rPr>
      </w:pPr>
    </w:p>
    <w:p>
      <w:pPr>
        <w:jc w:val="both"/>
        <w:ind w:left="340" w:right="20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to the sellers related to the Mediscan acquisition, including accretion. See Note 4 - Acquisitions to our consolidated financial statements. We have included the payments in the table based on our best estimates of the amounts and dates when the contingencies may be resolved.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12 - Commitments and Contingencies to our consolidated financial statements.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In addition to the above disclosed contractual obligations, we have accrued uncertain tax positions, pursuant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of $5.4 million at December 31, 2018. Based on the uncertainties associated with the settlement of these items, we are unable to make reasonably reliable estimates of the period of potential settlements, if any, with the taxing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2018, contained herein. These estimates are based on information that is currently available to us and on various assumptions that we believe to be reasonable under the circumstances. Actual results could vary from those estimates under different assumptions or conditions.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5" w:name="page36"/>
    <w:bookmarkEnd w:id="35"/>
    <w:p>
      <w:pPr>
        <w:ind w:right="420"/>
        <w:spacing w:after="0" w:line="277" w:lineRule="auto"/>
        <w:rPr>
          <w:sz w:val="20"/>
          <w:szCs w:val="20"/>
          <w:color w:val="auto"/>
        </w:rPr>
      </w:pPr>
      <w:r>
        <w:rPr>
          <w:rFonts w:ascii="Arial" w:cs="Arial" w:eastAsia="Arial" w:hAnsi="Arial"/>
          <w:sz w:val="18"/>
          <w:szCs w:val="18"/>
          <w:color w:val="auto"/>
        </w:rPr>
        <w:t>We believe that the following critical accounting policies affect the more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For intangible assets purchased in a business combination, the estimated fair values of the assets received are used to establish their recorded values.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w:t>
      </w:r>
    </w:p>
    <w:p>
      <w:pPr>
        <w:spacing w:after="0" w:line="19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 5 - Goodwill, Trade Names, and Other Intangible Assets, where impairment testing in 2018, 2017, and 2016 is more fully described.</w:t>
      </w:r>
    </w:p>
    <w:p>
      <w:pPr>
        <w:spacing w:after="0" w:line="14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There can be no assurance that the estimates and assumptions made for purposes of the annual goodwill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and Uncertainties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calculation of fair value used in these impairment assessments included a number of estimates and assumptions that required significant judgments, including projections of future income and cash flows, the identification of appropriate market multiples and the choice of an appropriate discount rate. See Note 10 - Fair Value Measurements. Changes in these assumptions could materially affect the determination of fair value for each reporting unit. Specifically, further deterioration of demand for our services, further deterioration of labor market conditions, reduction of our stock price for an extended period, or other factors as described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may affect our determination of fair value of each reporting unit. This evaluation can also be triggered by various indicators of impairment which could cause the estimated discounted cash flows to be less than the carrying amount of net assets. If we are required to record an impairment charge in the future, it could have an adverse impact on our results of operations. Under the current credit agreement an impairment charge will not have an impact on our liquidity. As of December 31, 2018, we had total goodwill, intangible assets not subject to amortization, and other intangible assets of $176.6 million or 41.4% of our total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workers' compensation, and professional liability expense</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adjust accruals as appropriate. Healthcare insurance accruals have fluctuated with increases or decreases in the average number of temporary healthcare professionals on assignment as well as actual company experience and increases in national healthcare costs. As of December 31, 2018 and 2017, we had $5.2 million and $5.1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16" w:right="239" w:bottom="1440" w:gutter="0" w:footer="0" w:header="0"/>
        </w:sectPr>
      </w:pPr>
    </w:p>
    <w:bookmarkStart w:id="36" w:name="page37"/>
    <w:bookmarkEnd w:id="36"/>
    <w:p>
      <w:pPr>
        <w:spacing w:after="0" w:line="257" w:lineRule="auto"/>
        <w:rPr>
          <w:sz w:val="20"/>
          <w:szCs w:val="20"/>
          <w:color w:val="auto"/>
        </w:rPr>
      </w:pPr>
      <w:r>
        <w:rPr>
          <w:rFonts w:ascii="Arial" w:cs="Arial" w:eastAsia="Arial" w:hAnsi="Arial"/>
          <w:sz w:val="18"/>
          <w:szCs w:val="18"/>
          <w:color w:val="auto"/>
        </w:rPr>
        <w:t>of December 31, 2018, and 2017, we had $11.9 million and $11.4 million accrued for case reserves and for incurred but not reported workers’ compensation claims, net of insurance receivables, respectively. The accrual for workers’ compensation is based on an actuarial model which is prepared or reviewed by an independent actuary semi-annually. As of December 31, 2018, and 2017, we had $7.3 million and $6.4 million accrued, respectively, for case reserves and for incurred but not reported professional liability claims, net of insurance receivables. The accrual for professional liability is based on actuarial models which are prepared by an independent actuary semi-annually.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recognize revenue from our services when control of the promised services are transferred to our customers, in an amount that reflects the consideration we expect to receive in exchange for the service. We have concluded that transfer of control of our staffing services, which represents the majority of our revenues, occurs over time as the services are provided, which is consistent with revenue recognition under the prior guidance.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nature, amount, timing and uncertainty of revenue and cash flows from which we generate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Revenue from temporary staffing is recognized as control of the services is transferred over time, and is based on hours worked by our field staff. We recognize the majority of our revenue at the contractual amount we have the right to invoice for services completed to date. Generally, billing to customers occurs weekly, bi-weekly, or monthly and is aligned with the payment of services to the temporary staff, with payment terms of 15 to 60 days. Accounts receivable includes estimated revenue for employees’ and independent contractors’ time worked but not yet invoiced. At December 31, 2018 and December 31, 2017, our estimate of amounts that had been worked but had not been billed totaled $44.1 million and $41.8 million, respectively, and are included in accounts receivable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 Revenue</w:t>
      </w:r>
    </w:p>
    <w:p>
      <w:pPr>
        <w:spacing w:after="0" w:line="18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offer other optional services to our customers that are transferred over time including: MSPs providing agency services (as further described below in Gross versus Net Policies), RPO, other outsourcing services, and retained search services, which is less than 5% of its consolidated revenue for the years ended December 31, 2018, 2017, and 2016.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w:t>
      </w:r>
    </w:p>
    <w:p>
      <w:pPr>
        <w:spacing w:after="0" w:line="18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For our RPO, other outsourcing, and retained search services, revenue is generally recognized in the amount to which the entity has a right to invoice which corresponds directly with the value to the customer. We do not, in the ordinary course of business, offer warranties or refunds.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record revenue on a gross basis as a principal or on a net basis as an agent depending on the contracted arrangement, as follows:</w:t>
      </w:r>
    </w:p>
    <w:p>
      <w:pPr>
        <w:spacing w:after="0" w:line="144" w:lineRule="exact"/>
        <w:rPr>
          <w:sz w:val="20"/>
          <w:szCs w:val="20"/>
          <w:color w:val="auto"/>
        </w:rPr>
      </w:pPr>
    </w:p>
    <w:p>
      <w:pPr>
        <w:ind w:left="660" w:right="18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also entered into certain contracts with acute care facilities to provide comprehensive MSP solutions. Under these contract arrangements, we use our nurses primarily, along with those of third 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10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from our Physician Staffing business is recognized on a gross basis as we believe we are the principal in the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800"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Allowances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write-off specific accounts based on an ongoing review of collectability as well as our past experience with the customer. In addition, we maintain a sales allowance for customer disputes which may arise in the ordinary course, which is recorded as contra-revenue. Historically, losses on uncollectible accounts and sales allowances have not exceeded our allowances. As of December 31, 2018, our total allowances were $3.7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subject to various litigation, claims, investigations, and other proceedings that arise in the ordinary course of our business. These proceedings typically relate to professional liability, tax, payroll, contract, competitor disputes, and employment-related matters and include individual and collective lawsuits, as well as inquiries and investigations by governmental agencies regarding our employment practices. Our healthcare facility clients may also become subject to claims, governmental inquiries and investigations, and legal actions to which we may become a party relating to services provided by our professionals. We record a liability when available information indicates that a loss is probable and an amount, or range of loss can be reasonably estimated. Significant judgment is required to determine both the probability of loss and the estimated amount. At least quarterly, we review our accrual and or disclosures to reflect the impact of negotiations, settlements, rulings, advice of legal counsel, or new information. However, losses ultimately incurred could materially differ from amounts accrued. See Note 12 - Commitments and Contingencies.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account for income taxes 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 As of December 31, 2018, we have deferred tax assets related to certain federal, state, and foreign net operating loss carryforwards of $20.6 million. The carryforwards will expire as follows: federal between 2032 and 2037, state between 2019 and 2038, and foreign between 2019 and 2023.</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2018 and 2017, we had valuation allowances on our deferred tax assets of $1.2 million and $1.1 million, respectively. For the year ended December 31, 2017, we reduced the valuation allowance recorded by $45.4 million (comprised of $15.7 million related to U.S. net operating losses, $4.4 million related to state net operating losses, and $25.3 million related to other net deferred tax assets) predominantly on the basis of management’s reassessment of deferred tax assets that are more likely than not to be realized. The valuation allowance on a portion of state net operating losses not more likely than not realizable was not released due to the respective expiration periods and specific state taxable income projections. See Note 13 - Income Taxes to our consolidated financial statements.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valuation allowances when it is more likely than not that all or a portion of a deferred tax asset will not be realized.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the deferred tax asset. We consider cumulative losses in recent years as well as the impact of one-time events in assessing our pre-tax earnings. Assumptions regarding future taxable income require significant judgment. Our assumptions are consistent with estimates and plans used to manage our business, which includes restructuring and other initiatives.</w:t>
      </w:r>
    </w:p>
    <w:p>
      <w:pPr>
        <w:spacing w:after="0" w:line="11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the event that actual results differ from these estimates, or we adjust these estimates in future periods for current trends or changes in our estimating assumptions, we may modify the level of the valuation allowance which could materially impact our business, financial condition and results of operations.</w:t>
      </w:r>
    </w:p>
    <w:p>
      <w:pPr>
        <w:spacing w:after="0" w:line="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2018 and 2017, we had valuation allowances on our deferred tax assets of $1.2 million and $1.1 million, respectively. For the year ended December 31, 2017, we reduced the valuation allowance recorded by $45.4 million (comprised of $15.7 million related to U.S. net operating losses, $4.4 million related to state net operating losses, and $25.3 million related to other net deferred tax assets) predominantly on the basis of management’s reassessment of deferred tax assets that are more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8" w:name="page39"/>
    <w:bookmarkEnd w:id="38"/>
    <w:p>
      <w:pPr>
        <w:ind w:right="20"/>
        <w:spacing w:after="0" w:line="259" w:lineRule="auto"/>
        <w:rPr>
          <w:sz w:val="20"/>
          <w:szCs w:val="20"/>
          <w:color w:val="auto"/>
        </w:rPr>
      </w:pPr>
      <w:r>
        <w:rPr>
          <w:rFonts w:ascii="Arial" w:cs="Arial" w:eastAsia="Arial" w:hAnsi="Arial"/>
          <w:sz w:val="18"/>
          <w:szCs w:val="18"/>
          <w:color w:val="auto"/>
        </w:rPr>
        <w:t>likely than not to be realized. The valuation allowance on a portion of state net operating losses not more likely than not realizable was not released due to the respective expiration periods and specific state taxable income projections. As of December 31, 2018, management determined that there was sufficient positive evidence to conclude that it was more likely than not that our net deferred tax assets were realizable with the exception of a portion of state net operating losses. See Note 13 - Income Taxes to our consolidated financial statements.</w:t>
      </w:r>
    </w:p>
    <w:p>
      <w:pPr>
        <w:spacing w:after="0" w:line="1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Accruals for unrecognized tax benefits are provided for 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An unrecognized tax benefit represents the difference between the recognition of benefits related to exposure items for income tax reporting purposes and financial reporting purposes. The current portion of the unrecognized tax benefit is classified as a component of other current liabilities, and the non-current portion is included within other long-term liabilities on the consolidated balance sheets. As of December 31, 2018, total unrecognized tax benefits recorded was $5.4 million. We reserve for interest and penalties on exposure items, if applicable, which is recorded as a component of the overall income tax provision.</w:t>
      </w:r>
    </w:p>
    <w:p>
      <w:pPr>
        <w:spacing w:after="0" w:line="19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number of healthcare professionals on assignment with us is subject to seasonal fluctuations which may impact our quarterly revenue and earnings. Hospital patient census and staffing needs of our hospital and healthcare facilities fluctuate, which impact our number of orders for a particular period. Many of our hospital and healthcare facility clients are located in areas that experience seasonal fluctuations in population during the winter and summer months. These facilities adjust their staffing levels to accommodate the change in this seasonal demand and many of these facilities utilize temporary healthcare professionals to satisfy these seasonal staffing needs. Likewise, the number of nurse and allied professionals on assignment may fluctuate due to the seasonal preferences for destinations of our temporary nurse and allied professionals. In addition, we expect our Physician Staffing business to experience higher demand in the summer months as physicians take vacations. We also expect our education and school business to experience lower demand in the summer months when public and charter schools are closed. This historical seasonality of revenue and earnings may vary due to a variety of factors and the results of any one quarter are not necessarily indicative of the results to be expected for any other quarter or for any year. In addition, typically, our first quarter results are negatively impacted by the reset of payroll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We are exposed to the risk of fluctuation in interest rates relating to our outstanding senior secured term loan entered into on August 1, 2017 with a variable interest rate. As a result, we entered into an interest rate swap agreement which effectively fixed the interest rate on 50% of the amortizing balance of our term debt, exclusive of the credit spread on the debt. We have determined that the interest rate swap qualifies as a cash flow hedge in accordance with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See Note 2 - Summary of Significant Accounting Policies and Note 9 - Derivative to our consolidated financial statements. Excluding the impact of our interest rate swap agreements, a 1% change in interest rates on variable rate debt would have resulted in interest expense fluctuating approximately $1.0 million, $0.7 million, and $0.4 million for the years ended December 31, 2018, 2017, and 2016. Considering the effect of our interest rate swap agreement in a 1% change in interest rates on our variable rate debt would have resulted in interest expense fluctuating approximately $0.6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0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minor exposure to the impact of foreign currency fluctuations. Approximately 1% of selling, general and administrative expenses are related to certain software development and information technology support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on our consolidated balance sheets.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15 – Exhibits, Financial Statement Schedules of Part IV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2018 that have materially affected, or are reasonably likely to materially affect,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800" w:right="299" w:bottom="1440" w:gutter="0" w:footer="0" w:header="0"/>
        </w:sectPr>
      </w:pPr>
    </w:p>
    <w:bookmarkStart w:id="40" w:name="page41"/>
    <w:bookmarkEnd w:id="40"/>
    <w:p>
      <w:pPr>
        <w:ind w:right="260"/>
        <w:spacing w:after="0" w:line="264"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as of December 31, 2018. In making this assessment, management used the criteria set forth by the Committee of Sponsoring Organizations of the Treadway Commission, or COSO, in the Internal Control-Integrated Framework (2013 framework).</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its evaluation, management concluded that, as of December 31, 2018, our internal control over financial reporting is effective based on the specific criteria.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page 38.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68" w:right="2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Cross Country Healthcare,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Cross </w:t>
      </w:r>
      <w:r>
        <w:rPr>
          <w:rFonts w:ascii="Arial" w:cs="Arial" w:eastAsia="Arial" w:hAnsi="Arial"/>
          <w:sz w:val="17"/>
          <w:szCs w:val="17"/>
          <w:color w:val="131313"/>
        </w:rPr>
        <w:t>Country Healthcare, Inc.</w:t>
      </w:r>
      <w:r>
        <w:rPr>
          <w:rFonts w:ascii="Arial" w:cs="Arial" w:eastAsia="Arial" w:hAnsi="Arial"/>
          <w:sz w:val="17"/>
          <w:szCs w:val="17"/>
          <w:color w:val="auto"/>
        </w:rPr>
        <w:t xml:space="preserve"> and subsidiaries (the “Company”)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9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28, 2019 expressed an unqualified opinion on those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Boca Raton, Florida</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364"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Information with respect to directors, executive officers and corporate governance is included in our Proxy Statement for the 2019 Annual Meeting of Stockholders (Proxy Statement) to be filed pursuant to Regulation 14A with the SEC and such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with respect to executive compensation is included in our Proxy Statement to be filed with the SEC and such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with respect to beneficial ownership of our common stock is included in our Proxy Statement to be filed with the SEC and such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equity compensation plans as of December 31, 2018, see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Weighted-average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be issued upon exercise</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exercise price of</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outstanding options,</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and rights</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warrants and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 in</w:t>
            </w:r>
          </w:p>
        </w:tc>
      </w:tr>
      <w:tr>
        <w:trPr>
          <w:trHeight w:val="261"/>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22"/>
                <w:szCs w:val="22"/>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rights (b)</w:t>
            </w:r>
          </w:p>
        </w:tc>
        <w:tc>
          <w:tcPr>
            <w:tcW w:w="180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8"/>
              </w:rPr>
              <w:t xml:space="preserve">column (a)) (c) </w:t>
            </w:r>
            <w:r>
              <w:rPr>
                <w:rFonts w:ascii="Arial" w:cs="Arial" w:eastAsia="Arial" w:hAnsi="Arial"/>
                <w:sz w:val="25"/>
                <w:szCs w:val="25"/>
                <w:b w:val="1"/>
                <w:bCs w:val="1"/>
                <w:color w:val="auto"/>
                <w:w w:val="88"/>
                <w:vertAlign w:val="superscript"/>
              </w:rPr>
              <w:t>(1)</w:t>
            </w:r>
          </w:p>
        </w:tc>
      </w:tr>
      <w:tr>
        <w:trPr>
          <w:trHeight w:val="209"/>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2,306,008</w:t>
            </w:r>
          </w:p>
        </w:tc>
      </w:tr>
      <w:tr>
        <w:trPr>
          <w:trHeight w:val="229"/>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security holders</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1820" w:type="dxa"/>
            <w:vAlign w:val="bottom"/>
            <w:gridSpan w:val="2"/>
          </w:tcPr>
          <w:p>
            <w:pPr>
              <w:ind w:left="128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2,306,008</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8"/>
        <w:spacing w:after="0" w:line="262" w:lineRule="auto"/>
        <w:tabs>
          <w:tab w:leader="none" w:pos="203"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For Performance Stock Awards issued under the 2014 Omnibus Incentive Plan,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See Note 14 - Stockholders' Equity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included in our Proxy Statement to be filed with the SEC and such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with respect to the fees and services of our principal accountant is included in our Proxy Statement to be filed with the SEC and such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6" w:right="239" w:bottom="1440" w:gutter="0" w:footer="0" w:header="0"/>
        </w:sectPr>
      </w:pPr>
    </w:p>
    <w:bookmarkStart w:id="43" w:name="page44"/>
    <w:bookmarkEnd w:id="43"/>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91" w:lineRule="exact"/>
        <w:rPr>
          <w:sz w:val="20"/>
          <w:szCs w:val="20"/>
          <w:color w:val="auto"/>
        </w:rPr>
      </w:pPr>
    </w:p>
    <w:p>
      <w:pPr>
        <w:ind w:left="300" w:hanging="251"/>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98" w:lineRule="exact"/>
        <w:rPr>
          <w:rFonts w:ascii="Arial" w:cs="Arial" w:eastAsia="Arial" w:hAnsi="Arial"/>
          <w:sz w:val="18"/>
          <w:szCs w:val="18"/>
          <w:color w:val="auto"/>
        </w:rPr>
      </w:pPr>
    </w:p>
    <w:p>
      <w:pPr>
        <w:ind w:left="1080" w:hanging="303"/>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333" w:lineRule="exact"/>
        <w:rPr>
          <w:rFonts w:ascii="Arial" w:cs="Arial" w:eastAsia="Arial" w:hAnsi="Arial"/>
          <w:sz w:val="18"/>
          <w:szCs w:val="18"/>
          <w:color w:val="auto"/>
        </w:rPr>
      </w:pPr>
    </w:p>
    <w:p>
      <w:pPr>
        <w:ind w:left="1080" w:right="4499"/>
        <w:spacing w:after="0" w:line="751" w:lineRule="auto"/>
        <w:rPr>
          <w:rFonts w:ascii="Arial" w:cs="Arial" w:eastAsia="Arial" w:hAnsi="Arial"/>
          <w:sz w:val="18"/>
          <w:szCs w:val="18"/>
          <w:color w:val="auto"/>
        </w:rPr>
      </w:pPr>
      <w:r>
        <w:rPr>
          <w:rFonts w:ascii="Arial" w:cs="Arial" w:eastAsia="Arial" w:hAnsi="Arial"/>
          <w:sz w:val="15"/>
          <w:szCs w:val="15"/>
          <w:color w:val="auto"/>
        </w:rPr>
        <w:t>Report of Independent Registered Public Accounting Firm Consolidated Balance Sheets as of December 31, 2018 and 2017</w:t>
      </w:r>
    </w:p>
    <w:p>
      <w:pPr>
        <w:ind w:left="1080"/>
        <w:spacing w:after="0"/>
        <w:rPr>
          <w:rFonts w:ascii="Arial" w:cs="Arial" w:eastAsia="Arial" w:hAnsi="Arial"/>
          <w:sz w:val="18"/>
          <w:szCs w:val="18"/>
          <w:color w:val="auto"/>
        </w:rPr>
      </w:pPr>
      <w:r>
        <w:rPr>
          <w:rFonts w:ascii="Arial" w:cs="Arial" w:eastAsia="Arial" w:hAnsi="Arial"/>
          <w:sz w:val="17"/>
          <w:szCs w:val="17"/>
          <w:color w:val="auto"/>
        </w:rPr>
        <w:t>Consolidated Statements of Operations for the Years Ended December 31, 2018, 2017, and 2016</w:t>
      </w:r>
    </w:p>
    <w:p>
      <w:pPr>
        <w:spacing w:after="0" w:line="344" w:lineRule="exact"/>
        <w:rPr>
          <w:rFonts w:ascii="Arial" w:cs="Arial" w:eastAsia="Arial" w:hAnsi="Arial"/>
          <w:sz w:val="18"/>
          <w:szCs w:val="18"/>
          <w:color w:val="auto"/>
        </w:rPr>
      </w:pPr>
    </w:p>
    <w:p>
      <w:pPr>
        <w:ind w:left="1220" w:right="1979" w:hanging="135"/>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2018, 2017, and 2016</w:t>
      </w:r>
    </w:p>
    <w:p>
      <w:pPr>
        <w:spacing w:after="0" w:line="278" w:lineRule="exact"/>
        <w:rPr>
          <w:rFonts w:ascii="Arial" w:cs="Arial" w:eastAsia="Arial" w:hAnsi="Arial"/>
          <w:sz w:val="18"/>
          <w:szCs w:val="18"/>
          <w:color w:val="auto"/>
        </w:rPr>
      </w:pPr>
    </w:p>
    <w:p>
      <w:pPr>
        <w:ind w:left="1080" w:right="1459"/>
        <w:spacing w:after="0" w:line="704" w:lineRule="auto"/>
        <w:rPr>
          <w:rFonts w:ascii="Arial" w:cs="Arial" w:eastAsia="Arial" w:hAnsi="Arial"/>
          <w:sz w:val="18"/>
          <w:szCs w:val="18"/>
          <w:color w:val="auto"/>
        </w:rPr>
      </w:pPr>
      <w:r>
        <w:rPr>
          <w:rFonts w:ascii="Arial" w:cs="Arial" w:eastAsia="Arial" w:hAnsi="Arial"/>
          <w:sz w:val="16"/>
          <w:szCs w:val="16"/>
          <w:color w:val="auto"/>
        </w:rPr>
        <w:t>Consolidated Statements of Stockholders’ Equity for the Years Ended December 31, 2018, 2017, and 2016 Consolidated Statements of Cash Flows for the Years Ended December 31, 2018, 2017, and 2016</w:t>
      </w:r>
    </w:p>
    <w:p>
      <w:pPr>
        <w:spacing w:after="0" w:line="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33" w:lineRule="exact"/>
        <w:rPr>
          <w:rFonts w:ascii="Arial" w:cs="Arial" w:eastAsia="Arial" w:hAnsi="Arial"/>
          <w:sz w:val="18"/>
          <w:szCs w:val="18"/>
          <w:color w:val="auto"/>
        </w:rPr>
      </w:pPr>
    </w:p>
    <w:p>
      <w:pPr>
        <w:ind w:left="1080" w:hanging="303"/>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33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Schedule II – Valuation and Qualifying Accounts for the Years Ended December 31, 2018, 2017, and 2016</w:t>
      </w:r>
    </w:p>
    <w:p>
      <w:pPr>
        <w:spacing w:after="0" w:line="356" w:lineRule="exact"/>
        <w:rPr>
          <w:rFonts w:ascii="Arial" w:cs="Arial" w:eastAsia="Arial" w:hAnsi="Arial"/>
          <w:sz w:val="18"/>
          <w:szCs w:val="18"/>
          <w:color w:val="auto"/>
        </w:rPr>
      </w:pPr>
    </w:p>
    <w:p>
      <w:pPr>
        <w:ind w:left="1080" w:hanging="303"/>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797"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60" w:type="dxa"/>
            <w:vAlign w:val="bottom"/>
            <w:gridSpan w:val="38"/>
          </w:tcPr>
          <w:p>
            <w:pPr>
              <w:jc w:val="center"/>
              <w:ind w:right="41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0" w:type="dxa"/>
            <w:vAlign w:val="bottom"/>
            <w:gridSpan w:val="35"/>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2"/>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Amended and Restated Certificate of Incorporation of the Registrant (Previously filed as an exhibit to the Company’s Registration Statement on</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tcBorders>
              <w:top w:val="single" w:sz="8" w:color="0000FF"/>
            </w:tcBorders>
            <w:gridSpan w:val="39"/>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Form S-1/A, Commission File No. 333-64914, and incorporated by reference herein.)</w:t>
              </w:r>
            </w:hyperlink>
          </w:p>
        </w:tc>
        <w:tc>
          <w:tcPr>
            <w:tcW w:w="100" w:type="dxa"/>
            <w:vAlign w:val="bottom"/>
            <w:gridSpan w:val="3"/>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tcBorders>
              <w:bottom w:val="single" w:sz="8" w:color="0000FF"/>
            </w:tcBorders>
            <w:gridSpan w:val="42"/>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Certificate of Correction to Amended and Restated Certificate of Incorporation of the Registrant (Previously filed as an exhibit to the Company's</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2"/>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Form 10-K for the year ended December 31, 2017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80" w:type="dxa"/>
            <w:vAlign w:val="bottom"/>
            <w:tcBorders>
              <w:bottom w:val="single" w:sz="8" w:color="0000FF"/>
            </w:tcBorders>
            <w:gridSpan w:val="30"/>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Amended and Restated By-laws of the Registrant (Previously filed as an exhibit to the Company's Form 10-Q for the quarter ended June 30,</w:t>
              </w:r>
            </w:hyperlink>
          </w:p>
        </w:tc>
        <w:tc>
          <w:tcPr>
            <w:tcW w:w="360" w:type="dxa"/>
            <w:vAlign w:val="bottom"/>
            <w:gridSpan w:val="12"/>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2018 and incorporated by reference herein.)</w:t>
              </w:r>
            </w:hyperlink>
          </w:p>
        </w:tc>
        <w:tc>
          <w:tcPr>
            <w:tcW w:w="7300" w:type="dxa"/>
            <w:vAlign w:val="bottom"/>
            <w:gridSpan w:val="39"/>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540" w:type="dxa"/>
            <w:vAlign w:val="bottom"/>
            <w:tcBorders>
              <w:bottom w:val="single" w:sz="8" w:color="0000FF"/>
            </w:tcBorders>
            <w:gridSpan w:val="20"/>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specimen common stock certificate (Previously filed as an exhibit to the Company’s Registration Statement on Form S-1/A,</w:t>
              </w:r>
            </w:hyperlink>
          </w:p>
        </w:tc>
        <w:tc>
          <w:tcPr>
            <w:tcW w:w="900" w:type="dxa"/>
            <w:vAlign w:val="bottom"/>
            <w:gridSpan w:val="22"/>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2"/>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Commission File No. 333-64914,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180" w:type="dxa"/>
            <w:vAlign w:val="bottom"/>
            <w:tcBorders>
              <w:bottom w:val="single" w:sz="8" w:color="0000FF"/>
            </w:tcBorders>
            <w:gridSpan w:val="33"/>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2014 Omnibus Incentive Plan - Restricted Stock Agreement Form (Previously filed as an exhibit to the Company’s Form 10-Q for the quarter</w:t>
              </w:r>
            </w:hyperlink>
          </w:p>
        </w:tc>
        <w:tc>
          <w:tcPr>
            <w:tcW w:w="260" w:type="dxa"/>
            <w:vAlign w:val="bottom"/>
            <w:gridSpan w:val="9"/>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6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17">
              <w:r>
                <w:rPr>
                  <w:rFonts w:ascii="Arial" w:cs="Arial" w:eastAsia="Arial" w:hAnsi="Arial"/>
                  <w:sz w:val="18"/>
                  <w:szCs w:val="18"/>
                  <w:color w:val="0000FF"/>
                  <w:w w:val="88"/>
                </w:rPr>
                <w:t>ended June 30, 2014 and incorporated by reference herein.)</w:t>
              </w:r>
            </w:hyperlink>
          </w:p>
        </w:tc>
        <w:tc>
          <w:tcPr>
            <w:tcW w:w="6180" w:type="dxa"/>
            <w:vAlign w:val="bottom"/>
            <w:gridSpan w:val="36"/>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20" w:type="dxa"/>
            <w:vAlign w:val="bottom"/>
            <w:tcBorders>
              <w:bottom w:val="single" w:sz="8" w:color="0000FF"/>
            </w:tcBorders>
            <w:gridSpan w:val="41"/>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2014 Omnibus Incentive Plan - Performance Share and Restricted Stock Agreement Form (Previously filed as an exhibit to the Company’s Form</w:t>
              </w:r>
            </w:hyperlink>
          </w:p>
        </w:tc>
        <w:tc>
          <w:tcPr>
            <w:tcW w:w="20" w:type="dxa"/>
            <w:vAlign w:val="bottom"/>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2"/>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10-Q for the quarter ended June 30, 2014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2"/>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Registration Rights Agreement, dated June 30, 2014, by and among Cross Country Healthcare, Inc. and the noteholders party thereto</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(Previously filed as an exhibit to the Company’s Form 8-K dated July 2, 2014 and incorporated by reference herein.)</w:t>
              </w:r>
            </w:hyperlink>
          </w:p>
        </w:tc>
        <w:tc>
          <w:tcPr>
            <w:tcW w:w="1140" w:type="dxa"/>
            <w:vAlign w:val="bottom"/>
            <w:tcBorders>
              <w:top w:val="single" w:sz="8" w:color="0000FF"/>
            </w:tcBorders>
          </w:tcPr>
          <w:p>
            <w:pPr>
              <w:spacing w:after="0"/>
              <w:rPr>
                <w:sz w:val="17"/>
                <w:szCs w:val="17"/>
                <w:color w:val="auto"/>
              </w:rPr>
            </w:pPr>
          </w:p>
        </w:tc>
        <w:tc>
          <w:tcPr>
            <w:tcW w:w="900" w:type="dxa"/>
            <w:vAlign w:val="bottom"/>
            <w:gridSpan w:val="22"/>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2"/>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Employment Agreement, dated as of March 20, 2013, between William J. Grubbs and the Registrant (Previously filed as an exhibit to the</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Company’s Form 8-K dated March 22, 2013 and incorporated by reference herein.)</w:t>
              </w:r>
            </w:hyperlink>
          </w:p>
        </w:tc>
        <w:tc>
          <w:tcPr>
            <w:tcW w:w="3880" w:type="dxa"/>
            <w:vAlign w:val="bottom"/>
            <w:tcBorders>
              <w:top w:val="single" w:sz="8" w:color="0000FF"/>
            </w:tcBorders>
            <w:gridSpan w:val="16"/>
          </w:tcPr>
          <w:p>
            <w:pPr>
              <w:spacing w:after="0"/>
              <w:rPr>
                <w:sz w:val="17"/>
                <w:szCs w:val="17"/>
                <w:color w:val="auto"/>
              </w:rPr>
            </w:pPr>
          </w:p>
        </w:tc>
        <w:tc>
          <w:tcPr>
            <w:tcW w:w="580" w:type="dxa"/>
            <w:vAlign w:val="bottom"/>
            <w:gridSpan w:val="16"/>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300" w:type="dxa"/>
            <w:vAlign w:val="bottom"/>
            <w:tcBorders>
              <w:bottom w:val="single" w:sz="8" w:color="0000FF"/>
            </w:tcBorders>
            <w:gridSpan w:val="37"/>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Cross Country, Inc. Deferred Compensation Plan (Previously filed as an exhibit to the Company’s Form 10-K for the year ended December 31,</w:t>
              </w:r>
            </w:hyperlink>
          </w:p>
        </w:tc>
        <w:tc>
          <w:tcPr>
            <w:tcW w:w="140" w:type="dxa"/>
            <w:vAlign w:val="bottom"/>
            <w:gridSpan w:val="5"/>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8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21">
              <w:r>
                <w:rPr>
                  <w:rFonts w:ascii="Arial" w:cs="Arial" w:eastAsia="Arial" w:hAnsi="Arial"/>
                  <w:sz w:val="18"/>
                  <w:szCs w:val="18"/>
                  <w:color w:val="0000FF"/>
                  <w:w w:val="88"/>
                </w:rPr>
                <w:t>2002, and incorporated by reference herein.)</w:t>
              </w:r>
            </w:hyperlink>
          </w:p>
        </w:tc>
        <w:tc>
          <w:tcPr>
            <w:tcW w:w="7260" w:type="dxa"/>
            <w:vAlign w:val="bottom"/>
            <w:gridSpan w:val="38"/>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2"/>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Lease Agreement between Cornerstone Opportunity Ventures, LLC and Cejka Search, Inc., dated February 2, 2007 (Previously filed as an</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exhibit to the Company’s Form 10-K for the year ended December 31, 2006 and incorporated by reference herein.)</w:t>
              </w:r>
            </w:hyperlink>
          </w:p>
        </w:tc>
        <w:tc>
          <w:tcPr>
            <w:tcW w:w="520" w:type="dxa"/>
            <w:vAlign w:val="bottom"/>
            <w:gridSpan w:val="14"/>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80" w:type="dxa"/>
            <w:vAlign w:val="bottom"/>
            <w:tcBorders>
              <w:bottom w:val="single" w:sz="8" w:color="0000FF"/>
            </w:tcBorders>
            <w:gridSpan w:val="36"/>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Second Amendment to Lease Agreement by and between Meridian Commercial Properties Limited Partnership and Cross Country Healthcare,</w:t>
              </w:r>
            </w:hyperlink>
          </w:p>
        </w:tc>
        <w:tc>
          <w:tcPr>
            <w:tcW w:w="160" w:type="dxa"/>
            <w:vAlign w:val="bottom"/>
            <w:gridSpan w:val="6"/>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Inc., dated February 17, 2007 (Previously filed as an exhibit to the Company’s Form 10-K for the year ended December 31, 2006 and</w:t>
              </w:r>
            </w:hyperlink>
          </w:p>
        </w:tc>
        <w:tc>
          <w:tcPr>
            <w:tcW w:w="840" w:type="dxa"/>
            <w:vAlign w:val="bottom"/>
            <w:gridSpan w:val="20"/>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2"/>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2"/>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First Amendment to Lease Agreement dated as of September 1, 2007, by and between Cornerstone Opportunity Ventures, LLC and Cejka</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tcBorders>
              <w:top w:val="single" w:sz="8" w:color="0000FF"/>
            </w:tcBorders>
            <w:gridSpan w:val="27"/>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Search, Inc. (Previously filed as an exhibit to the Company’s Form 10-Q for the quarter ended September 30, 2008 and incorporated by</w:t>
              </w:r>
            </w:hyperlink>
          </w:p>
        </w:tc>
        <w:tc>
          <w:tcPr>
            <w:tcW w:w="540" w:type="dxa"/>
            <w:vAlign w:val="bottom"/>
            <w:gridSpan w:val="1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reference herein.)</w:t>
              </w:r>
            </w:hyperlink>
          </w:p>
        </w:tc>
        <w:tc>
          <w:tcPr>
            <w:tcW w:w="720" w:type="dxa"/>
            <w:vAlign w:val="bottom"/>
            <w:gridSpan w:val="19"/>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120" w:type="dxa"/>
            <w:vAlign w:val="bottom"/>
            <w:tcBorders>
              <w:bottom w:val="single" w:sz="8" w:color="0000FF"/>
            </w:tcBorders>
            <w:gridSpan w:val="32"/>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Non-Employee Directors’ Restricted Stock Agreement under Cross Country Healthcare, Inc. 2007 Stock Incentive Plan (Previously</w:t>
              </w:r>
            </w:hyperlink>
          </w:p>
        </w:tc>
        <w:tc>
          <w:tcPr>
            <w:tcW w:w="320" w:type="dxa"/>
            <w:vAlign w:val="bottom"/>
            <w:gridSpan w:val="10"/>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filed as an exhibit to the Company’s 8-K dated May 15, 2007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60" w:type="dxa"/>
            <w:vAlign w:val="bottom"/>
            <w:tcBorders>
              <w:bottom w:val="single" w:sz="8" w:color="0000FF"/>
            </w:tcBorders>
            <w:gridSpan w:val="35"/>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Form of Stock Appreciation Rights Agreement under Cross Country Healthcare, Inc. 2007 Stock Incentive Plan (Previously filed as an exhibit</w:t>
              </w:r>
            </w:hyperlink>
          </w:p>
        </w:tc>
        <w:tc>
          <w:tcPr>
            <w:tcW w:w="180" w:type="dxa"/>
            <w:vAlign w:val="bottom"/>
            <w:gridSpan w:val="7"/>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54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to the Company’s Form 8-K dated October 15, 2007 and incorporated by reference herein.)</w:t>
              </w:r>
            </w:hyperlink>
          </w:p>
        </w:tc>
        <w:tc>
          <w:tcPr>
            <w:tcW w:w="3900" w:type="dxa"/>
            <w:vAlign w:val="bottom"/>
            <w:gridSpan w:val="29"/>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2"/>
          </w:tcPr>
          <w:p>
            <w:pPr>
              <w:spacing w:after="0"/>
              <w:rPr>
                <w:rFonts w:ascii="Arial" w:cs="Arial" w:eastAsia="Arial" w:hAnsi="Arial"/>
                <w:sz w:val="18"/>
                <w:szCs w:val="18"/>
                <w:color w:val="0000FF"/>
                <w:w w:val="96"/>
              </w:rPr>
            </w:pPr>
            <w:hyperlink r:id="rId27">
              <w:r>
                <w:rPr>
                  <w:rFonts w:ascii="Arial" w:cs="Arial" w:eastAsia="Arial" w:hAnsi="Arial"/>
                  <w:sz w:val="18"/>
                  <w:szCs w:val="18"/>
                  <w:color w:val="0000FF"/>
                  <w:w w:val="96"/>
                </w:rPr>
                <w:t>Lease Agreement, dated July 1, 2010, between Goldberg Brothers Real Estate LLC and MCVT, Inc. (Previously filed as an exhibit to the</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Company’s Form 10-Q for the quarter ended June 30, 2010 and incorporated by reference herein.)</w:t>
              </w:r>
            </w:hyperlink>
          </w:p>
        </w:tc>
        <w:tc>
          <w:tcPr>
            <w:tcW w:w="600" w:type="dxa"/>
            <w:vAlign w:val="bottom"/>
            <w:gridSpan w:val="17"/>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0" w:type="dxa"/>
            <w:vAlign w:val="bottom"/>
            <w:tcBorders>
              <w:bottom w:val="single" w:sz="8" w:color="0000FF"/>
            </w:tcBorders>
            <w:gridSpan w:val="24"/>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Lease Agreement, dated July 18, 2013, between Peachtree II and III, LLC and MDA Holdings, Inc. (Previously filed as an exhibit to the</w:t>
              </w:r>
            </w:hyperlink>
          </w:p>
        </w:tc>
        <w:tc>
          <w:tcPr>
            <w:tcW w:w="640" w:type="dxa"/>
            <w:vAlign w:val="bottom"/>
            <w:gridSpan w:val="18"/>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2"/>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Company’s Form 10-Q for the quarter ended June 30, 2013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10.10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320" w:type="dxa"/>
            <w:vAlign w:val="bottom"/>
            <w:tcBorders>
              <w:bottom w:val="single" w:sz="8" w:color="0000FF"/>
            </w:tcBorders>
            <w:gridSpan w:val="38"/>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Amended and Restated Executive Severance Plan of Cross Country Healthcare, Inc. (Previously filed as an exhibit to the Company’s Form 8-K</w:t>
              </w:r>
            </w:hyperlink>
          </w:p>
        </w:tc>
        <w:tc>
          <w:tcPr>
            <w:tcW w:w="120" w:type="dxa"/>
            <w:vAlign w:val="bottom"/>
            <w:gridSpan w:val="4"/>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dated May 28, 2010 and incorporated by reference herein.)</w:t>
              </w:r>
            </w:hyperlink>
          </w:p>
        </w:tc>
        <w:tc>
          <w:tcPr>
            <w:tcW w:w="6220" w:type="dxa"/>
            <w:vAlign w:val="bottom"/>
            <w:gridSpan w:val="37"/>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2"/>
          </w:tcPr>
          <w:p>
            <w:pPr>
              <w:spacing w:after="0"/>
              <w:rPr>
                <w:rFonts w:ascii="Arial" w:cs="Arial" w:eastAsia="Arial" w:hAnsi="Arial"/>
                <w:sz w:val="18"/>
                <w:szCs w:val="18"/>
                <w:color w:val="0000FF"/>
                <w:w w:val="97"/>
              </w:rPr>
            </w:pPr>
            <w:hyperlink r:id="rId30">
              <w:r>
                <w:rPr>
                  <w:rFonts w:ascii="Arial" w:cs="Arial" w:eastAsia="Arial" w:hAnsi="Arial"/>
                  <w:sz w:val="18"/>
                  <w:szCs w:val="18"/>
                  <w:color w:val="0000FF"/>
                  <w:w w:val="97"/>
                </w:rPr>
                <w:t>Loan and Security Agreement, dated January 9, 2013, by and among Cross Country Healthcare, Inc. and certain of its subsidiaries, as</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40" w:type="dxa"/>
            <w:vAlign w:val="bottom"/>
            <w:gridSpan w:val="7"/>
            <w:shd w:val="clear" w:color="auto" w:fill="0000FF"/>
          </w:tcPr>
          <w:p>
            <w:pPr>
              <w:spacing w:after="0" w:line="20" w:lineRule="exact"/>
              <w:rPr>
                <w:sz w:val="1"/>
                <w:szCs w:val="1"/>
                <w:color w:val="auto"/>
              </w:rPr>
            </w:pPr>
          </w:p>
        </w:tc>
        <w:tc>
          <w:tcPr>
            <w:tcW w:w="2620" w:type="dxa"/>
            <w:vAlign w:val="bottom"/>
            <w:gridSpan w:val="8"/>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Borrowers, the Lenders referenced therein, and Bank of America, N.A., as Agent (Previously filed as an exhibit to the Company’s Form 8-K</w:t>
              </w:r>
            </w:hyperlink>
          </w:p>
        </w:tc>
        <w:tc>
          <w:tcPr>
            <w:tcW w:w="340" w:type="dxa"/>
            <w:vAlign w:val="bottom"/>
            <w:gridSpan w:val="11"/>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tcBorders>
              <w:bottom w:val="single" w:sz="8" w:color="0000FF"/>
            </w:tcBorders>
            <w:gridSpan w:val="7"/>
          </w:tcPr>
          <w:p>
            <w:pPr>
              <w:spacing w:after="0" w:line="196" w:lineRule="exact"/>
              <w:rPr>
                <w:rFonts w:ascii="Arial" w:cs="Arial" w:eastAsia="Arial" w:hAnsi="Arial"/>
                <w:sz w:val="18"/>
                <w:szCs w:val="18"/>
                <w:color w:val="0000FF"/>
                <w:w w:val="88"/>
              </w:rPr>
            </w:pPr>
            <w:hyperlink r:id="rId30">
              <w:r>
                <w:rPr>
                  <w:rFonts w:ascii="Arial" w:cs="Arial" w:eastAsia="Arial" w:hAnsi="Arial"/>
                  <w:sz w:val="18"/>
                  <w:szCs w:val="18"/>
                  <w:color w:val="0000FF"/>
                  <w:w w:val="88"/>
                </w:rPr>
                <w:t>dated January 11, 2013 and incorporated by reference herein.)</w:t>
              </w:r>
            </w:hyperlink>
          </w:p>
        </w:tc>
        <w:tc>
          <w:tcPr>
            <w:tcW w:w="6000" w:type="dxa"/>
            <w:vAlign w:val="bottom"/>
            <w:gridSpan w:val="35"/>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2"/>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Consent, Waiver and Third Amendment, dated as of June 30, 2014, to Loan and Security Agreement dated January 9, 2013, by and among Cross</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0" w:type="dxa"/>
            <w:vAlign w:val="bottom"/>
            <w:tcBorders>
              <w:top w:val="single" w:sz="8" w:color="0000FF"/>
            </w:tcBorders>
            <w:gridSpan w:val="40"/>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Country Healthcare, Inc. and certain of its subsidiaries, as Borrowers, the Lenders referenced therein, and Bank of America, N.A., as Agent</w:t>
              </w:r>
            </w:hyperlink>
          </w:p>
        </w:tc>
        <w:tc>
          <w:tcPr>
            <w:tcW w:w="40" w:type="dxa"/>
            <w:vAlign w:val="bottom"/>
            <w:gridSpan w:val="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(Previously filed as an exhibit to the Company’s Form 8-K dated July 2, 2014 and incorporated by reference herein.)</w:t>
              </w:r>
            </w:hyperlink>
          </w:p>
        </w:tc>
        <w:tc>
          <w:tcPr>
            <w:tcW w:w="1640" w:type="dxa"/>
            <w:vAlign w:val="bottom"/>
            <w:tcBorders>
              <w:top w:val="single" w:sz="8" w:color="0000FF"/>
            </w:tcBorders>
            <w:gridSpan w:val="11"/>
          </w:tcPr>
          <w:p>
            <w:pPr>
              <w:spacing w:after="0"/>
              <w:rPr>
                <w:sz w:val="17"/>
                <w:szCs w:val="17"/>
                <w:color w:val="auto"/>
              </w:rPr>
            </w:pPr>
          </w:p>
        </w:tc>
        <w:tc>
          <w:tcPr>
            <w:tcW w:w="420" w:type="dxa"/>
            <w:vAlign w:val="bottom"/>
            <w:gridSpan w:val="13"/>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40" w:type="dxa"/>
            <w:vAlign w:val="bottom"/>
            <w:tcBorders>
              <w:bottom w:val="single" w:sz="8" w:color="0000FF"/>
            </w:tcBorders>
            <w:gridSpan w:val="34"/>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Stock Purchase Agreement, dated February 2, 2013, by and among ICON Clinical Research, Inc. and ICON Clinical Research UK Limited, as</w:t>
              </w:r>
            </w:hyperlink>
          </w:p>
        </w:tc>
        <w:tc>
          <w:tcPr>
            <w:tcW w:w="200" w:type="dxa"/>
            <w:vAlign w:val="bottom"/>
            <w:gridSpan w:val="8"/>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2"/>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Buyers, and Cross Country Healthcare, Inc., Local Staff, LLC and Cross Country Healthcare UK Holdco Ltd., as Sellers (Previously filed as an</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top w:val="single" w:sz="8" w:color="0000FF"/>
            </w:tcBorders>
            <w:gridSpan w:val="37"/>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exhibit to the Company’s Form 8-K dated February 5, 2013 and incorporated by reference herein.)</w:t>
              </w:r>
            </w:hyperlink>
          </w:p>
        </w:tc>
        <w:tc>
          <w:tcPr>
            <w:tcW w:w="140" w:type="dxa"/>
            <w:vAlign w:val="bottom"/>
            <w:gridSpan w:val="5"/>
          </w:tcPr>
          <w:p>
            <w:pPr>
              <w:spacing w:after="0"/>
              <w:rPr>
                <w:sz w:val="17"/>
                <w:szCs w:val="17"/>
                <w:color w:val="auto"/>
              </w:rPr>
            </w:pPr>
          </w:p>
        </w:tc>
      </w:tr>
      <w:tr>
        <w:trPr>
          <w:trHeight w:val="507"/>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tcBorders>
              <w:top w:val="single" w:sz="8" w:color="0000FF"/>
            </w:tcBorders>
            <w:gridSpan w:val="8"/>
          </w:tcPr>
          <w:p>
            <w:pPr>
              <w:jc w:val="right"/>
              <w:ind w:right="270"/>
              <w:spacing w:after="0"/>
              <w:rPr>
                <w:sz w:val="20"/>
                <w:szCs w:val="20"/>
                <w:color w:val="auto"/>
              </w:rPr>
            </w:pPr>
            <w:r>
              <w:rPr>
                <w:rFonts w:ascii="Arial" w:cs="Arial" w:eastAsia="Arial" w:hAnsi="Arial"/>
                <w:sz w:val="18"/>
                <w:szCs w:val="18"/>
                <w:color w:val="auto"/>
              </w:rPr>
              <w:t>42</w:t>
            </w: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5" w:name="page46"/>
    <w:bookmarkEnd w:id="45"/>
    <w:p>
      <w:pPr>
        <w:ind w:left="4340"/>
        <w:spacing w:after="0"/>
        <w:rPr>
          <w:sz w:val="20"/>
          <w:szCs w:val="20"/>
          <w:color w:val="auto"/>
        </w:rPr>
      </w:pPr>
      <w:r>
        <w:rPr>
          <w:rFonts w:ascii="Arial" w:cs="Arial" w:eastAsia="Arial" w:hAnsi="Arial"/>
          <w:sz w:val="18"/>
          <w:szCs w:val="18"/>
          <w:b w:val="1"/>
          <w:bCs w:val="1"/>
          <w:color w:val="auto"/>
        </w:rPr>
        <w:t>EXHIBIT INDEX (CONTINUED)</w:t>
      </w:r>
    </w:p>
    <w:p>
      <w:pPr>
        <w:spacing w:after="0" w:line="17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92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34">
        <w:r>
          <w:rPr>
            <w:rFonts w:ascii="Arial" w:cs="Arial" w:eastAsia="Arial" w:hAnsi="Arial"/>
            <w:sz w:val="18"/>
            <w:szCs w:val="18"/>
            <w:u w:val="single" w:color="auto"/>
            <w:color w:val="0000FF"/>
          </w:rPr>
          <w:t>Asset Purchase Agreement, dated December 2, 2013, between Local Staff, LLC, as Buyer, Cross Country Healthcare, Inc., as Parent and On</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Assignment Staffing Services, Inc., Assignment Ready, Inc., and On Assignment, Inc., collectively as Seller (Previously filed as an exhibit to the</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Company’s Form 8-K dated December 3, 2013 and incorporated by reference herein.)</w:t>
        </w:r>
      </w:hyperlink>
    </w:p>
    <w:p>
      <w:pPr>
        <w:spacing w:after="0" w:line="19" w:lineRule="exact"/>
        <w:rPr>
          <w:rFonts w:ascii="Arial" w:cs="Arial" w:eastAsia="Arial" w:hAnsi="Arial"/>
          <w:sz w:val="18"/>
          <w:szCs w:val="18"/>
          <w:u w:val="single" w:color="auto"/>
          <w:color w:val="0000FF"/>
        </w:rPr>
      </w:pPr>
    </w:p>
    <w:p>
      <w:pPr>
        <w:ind w:left="920" w:right="16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 #</w:t>
      </w:r>
      <w:r>
        <w:rPr>
          <w:sz w:val="20"/>
          <w:szCs w:val="20"/>
          <w:color w:val="auto"/>
        </w:rPr>
        <w:tab/>
      </w:r>
      <w:hyperlink r:id="rId35">
        <w:r>
          <w:rPr>
            <w:rFonts w:ascii="Arial" w:cs="Arial" w:eastAsia="Arial" w:hAnsi="Arial"/>
            <w:sz w:val="18"/>
            <w:szCs w:val="18"/>
            <w:u w:val="single" w:color="auto"/>
            <w:color w:val="0000FF"/>
          </w:rPr>
          <w:t>Employment Agreement, dated March 3, 2014, between William J. Burns and Cross Country Healthcare, Inc. (Previously filed as an exhibit to</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the Company’s Form 10-K for the year ended December 31, 2013 and incorporated by reference herein.)</w:t>
        </w:r>
      </w:hyperlink>
    </w:p>
    <w:p>
      <w:pPr>
        <w:spacing w:after="0" w:line="8" w:lineRule="exact"/>
        <w:rPr>
          <w:sz w:val="20"/>
          <w:szCs w:val="20"/>
          <w:color w:val="auto"/>
        </w:rPr>
      </w:pPr>
    </w:p>
    <w:p>
      <w:pPr>
        <w:ind w:left="920" w:right="30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36">
        <w:r>
          <w:rPr>
            <w:rFonts w:ascii="Arial" w:cs="Arial" w:eastAsia="Arial" w:hAnsi="Arial"/>
            <w:sz w:val="18"/>
            <w:szCs w:val="18"/>
            <w:u w:val="single" w:color="auto"/>
            <w:color w:val="0000FF"/>
          </w:rPr>
          <w:t>Asset Purchase Agreement, dated June 2, 2014, by and among Cross Country Healthcare, Inc., as Purchaser, and MSN Holdco, LLC, MSN</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Holding Company Inc., Medical Staffing Network Healthcare, LLC and Optimal Workforce Solutions, LLC, as Seller (Previously filed as an</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exhibit to the Company’s Form 8-K dated June 3, 2014 and incorporated by reference herein.)</w:t>
        </w:r>
      </w:hyperlink>
    </w:p>
    <w:p>
      <w:pPr>
        <w:spacing w:after="0" w:line="19" w:lineRule="exact"/>
        <w:rPr>
          <w:rFonts w:ascii="Arial" w:cs="Arial" w:eastAsia="Arial" w:hAnsi="Arial"/>
          <w:sz w:val="18"/>
          <w:szCs w:val="18"/>
          <w:u w:val="single" w:color="auto"/>
          <w:color w:val="0000FF"/>
        </w:rPr>
      </w:pPr>
    </w:p>
    <w:p>
      <w:pPr>
        <w:ind w:left="920" w:right="20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37">
        <w:r>
          <w:rPr>
            <w:rFonts w:ascii="Arial" w:cs="Arial" w:eastAsia="Arial" w:hAnsi="Arial"/>
            <w:sz w:val="18"/>
            <w:szCs w:val="18"/>
            <w:u w:val="single" w:color="auto"/>
            <w:color w:val="0000FF"/>
          </w:rPr>
          <w:t>Second Lien Loan and Security Agreement, dated June 30, 2014, by and among Cross Country Healthcare, Inc., as borrower, certain of its</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domestic subsidiaries, as guarantors, and BSP Agency, LLC, as agent (Previously filed as an exhibit to the Company’s Form 8-K dated July 2,</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2014 and incorporated by reference herein.)</w:t>
        </w:r>
      </w:hyperlink>
    </w:p>
    <w:p>
      <w:pPr>
        <w:spacing w:after="0" w:line="19" w:lineRule="exact"/>
        <w:rPr>
          <w:rFonts w:ascii="Arial" w:cs="Arial" w:eastAsia="Arial" w:hAnsi="Arial"/>
          <w:sz w:val="18"/>
          <w:szCs w:val="18"/>
          <w:u w:val="single" w:color="auto"/>
          <w:color w:val="0000FF"/>
        </w:rPr>
      </w:pPr>
    </w:p>
    <w:p>
      <w:pPr>
        <w:ind w:left="920" w:right="180" w:hanging="917"/>
        <w:spacing w:after="0" w:line="305"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38">
        <w:r>
          <w:rPr>
            <w:rFonts w:ascii="Arial" w:cs="Arial" w:eastAsia="Arial" w:hAnsi="Arial"/>
            <w:sz w:val="16"/>
            <w:szCs w:val="16"/>
            <w:u w:val="single" w:color="auto"/>
            <w:color w:val="0000FF"/>
          </w:rPr>
          <w:t>Convertible Note Purchase Agreement, dated as of June 30, 2014, by and among Cross Country Healthcare, Inc. and certain of its domestic</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subsidiaries and Benefit Street Partners SMA LM L.P., PECM Strategic Funding L.P. and Providence Debt Fund III L.P. and other noteholders</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defined therein (Previously filed as an exhibit to the Company’s Form 8-K dated July 2, 2014 and incorporated by reference herein.)</w:t>
        </w:r>
      </w:hyperlink>
    </w:p>
    <w:p>
      <w:pPr>
        <w:spacing w:after="0" w:line="1" w:lineRule="exact"/>
        <w:rPr>
          <w:rFonts w:ascii="Arial" w:cs="Arial" w:eastAsia="Arial" w:hAnsi="Arial"/>
          <w:sz w:val="16"/>
          <w:szCs w:val="16"/>
          <w:u w:val="single" w:color="auto"/>
          <w:color w:val="0000FF"/>
        </w:rPr>
      </w:pPr>
    </w:p>
    <w:p>
      <w:pPr>
        <w:ind w:left="920" w:right="160" w:hanging="917"/>
        <w:spacing w:after="0" w:line="305"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39">
        <w:r>
          <w:rPr>
            <w:rFonts w:ascii="Arial" w:cs="Arial" w:eastAsia="Arial" w:hAnsi="Arial"/>
            <w:sz w:val="16"/>
            <w:szCs w:val="16"/>
            <w:u w:val="single" w:color="auto"/>
            <w:color w:val="0000FF"/>
          </w:rPr>
          <w:t>Fourth Amendment, dated as of October 20, 2014, to Loan and Security Agreement dated January 9, 2013, by and among Cross Country</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Healthcare, Inc. and certain of its subsidiaries, as Borrowers, the Lenders referenced therein, and Bank of America, N.A., as Agent (Previously</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filed as an exhibit to the Company’s Form 10-Q for the quarter ended September 30, 2014 and incorporated by reference herein.)</w:t>
        </w:r>
      </w:hyperlink>
    </w:p>
    <w:p>
      <w:pPr>
        <w:spacing w:after="0" w:line="1" w:lineRule="exact"/>
        <w:rPr>
          <w:rFonts w:ascii="Arial" w:cs="Arial" w:eastAsia="Arial" w:hAnsi="Arial"/>
          <w:sz w:val="16"/>
          <w:szCs w:val="16"/>
          <w:u w:val="single" w:color="auto"/>
          <w:color w:val="0000FF"/>
        </w:rPr>
      </w:pPr>
    </w:p>
    <w:p>
      <w:pPr>
        <w:ind w:left="920" w:right="6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10.20 #</w:t>
      </w:r>
      <w:r>
        <w:rPr>
          <w:sz w:val="20"/>
          <w:szCs w:val="20"/>
          <w:color w:val="auto"/>
        </w:rPr>
        <w:tab/>
      </w:r>
      <w:hyperlink r:id="rId40">
        <w:r>
          <w:rPr>
            <w:rFonts w:ascii="Arial" w:cs="Arial" w:eastAsia="Arial" w:hAnsi="Arial"/>
            <w:sz w:val="18"/>
            <w:szCs w:val="18"/>
            <w:u w:val="single" w:color="auto"/>
            <w:color w:val="0000FF"/>
          </w:rPr>
          <w:t>Transition Agreement, dated March 3, 2014, between Emil Hensel and the Registrant (Previously filed as an exhibit to the Company’s Form 10-</w:t>
        </w:r>
      </w:hyperlink>
      <w:hyperlink r:id="rId40">
        <w:r>
          <w:rPr>
            <w:rFonts w:ascii="Arial" w:cs="Arial" w:eastAsia="Arial" w:hAnsi="Arial"/>
            <w:sz w:val="18"/>
            <w:szCs w:val="18"/>
            <w:u w:val="single" w:color="auto"/>
            <w:color w:val="0000FF"/>
          </w:rPr>
          <w:t>K for the year ended December 31, 2013 and incorporated by reference herein.)</w:t>
        </w:r>
      </w:hyperlink>
    </w:p>
    <w:p>
      <w:pPr>
        <w:spacing w:after="0" w:line="8" w:lineRule="exact"/>
        <w:rPr>
          <w:sz w:val="20"/>
          <w:szCs w:val="20"/>
          <w:color w:val="auto"/>
        </w:rPr>
      </w:pPr>
    </w:p>
    <w:p>
      <w:pPr>
        <w:ind w:left="920" w:right="160" w:hanging="917"/>
        <w:spacing w:after="0" w:line="29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41">
        <w:r>
          <w:rPr>
            <w:rFonts w:ascii="Arial" w:cs="Arial" w:eastAsia="Arial" w:hAnsi="Arial"/>
            <w:sz w:val="17"/>
            <w:szCs w:val="17"/>
            <w:u w:val="single" w:color="auto"/>
            <w:color w:val="0000FF"/>
          </w:rPr>
          <w:t>Lease Agreement, dated November 22, 1999, by and between Fairfax Boca 92, L.P. and Medical Staffing Network, Inc. (Previously filed as an</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exhibit to the Company's Form 10-K for the year ended December 31, 2014 and incorporated by reference herein.)</w:t>
        </w:r>
      </w:hyperlink>
    </w:p>
    <w:p>
      <w:pPr>
        <w:spacing w:after="0" w:line="1" w:lineRule="exact"/>
        <w:rPr>
          <w:sz w:val="20"/>
          <w:szCs w:val="20"/>
          <w:color w:val="auto"/>
        </w:rPr>
      </w:pPr>
    </w:p>
    <w:p>
      <w:pPr>
        <w:jc w:val="both"/>
        <w:ind w:left="920" w:hanging="917"/>
        <w:spacing w:after="0" w:line="29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10.22</w:t>
      </w:r>
      <w:r>
        <w:rPr>
          <w:sz w:val="20"/>
          <w:szCs w:val="20"/>
          <w:color w:val="auto"/>
        </w:rPr>
        <w:tab/>
      </w:r>
      <w:hyperlink r:id="rId42">
        <w:r>
          <w:rPr>
            <w:rFonts w:ascii="Arial" w:cs="Arial" w:eastAsia="Arial" w:hAnsi="Arial"/>
            <w:sz w:val="17"/>
            <w:szCs w:val="17"/>
            <w:u w:val="single" w:color="auto"/>
            <w:color w:val="0000FF"/>
          </w:rPr>
          <w:t>First Amendment to Lease Agreement by and between Fairfax Boca 92 L.P. and Medical Staffing Network, Inc., dated July 31, 2001 (Previously</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filed as an exhibit to the Company's Form 10-K for the year ended December 31, 2014 and incorporated by reference herein.)</w:t>
        </w:r>
      </w:hyperlink>
    </w:p>
    <w:p>
      <w:pPr>
        <w:spacing w:after="0" w:line="1" w:lineRule="exact"/>
        <w:rPr>
          <w:sz w:val="20"/>
          <w:szCs w:val="20"/>
          <w:color w:val="auto"/>
        </w:rPr>
      </w:pPr>
    </w:p>
    <w:p>
      <w:pPr>
        <w:jc w:val="right"/>
        <w:ind w:right="520"/>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      </w:t>
      </w:r>
      <w:hyperlink r:id="rId43">
        <w:r>
          <w:rPr>
            <w:rFonts w:ascii="Arial" w:cs="Arial" w:eastAsia="Arial" w:hAnsi="Arial"/>
            <w:sz w:val="17"/>
            <w:szCs w:val="17"/>
            <w:u w:val="single" w:color="auto"/>
            <w:color w:val="0000FF"/>
          </w:rPr>
          <w:t>Second Amendment to Lease Agreement by and between Fairfax Boca 92 L.P. and Medical Staffing Network, Inc., dated March 20, 2002</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FF"/>
          </w:rPr>
          <w:t>(Previously filed as an exhibit to the Company's Form 10-K for the year ended December 31, 2014 and incorporated by reference herein.)</w:t>
        </w:r>
      </w:hyperlink>
    </w:p>
    <w:p>
      <w:pPr>
        <w:spacing w:after="0" w:line="1" w:lineRule="exact"/>
        <w:rPr>
          <w:sz w:val="20"/>
          <w:szCs w:val="20"/>
          <w:color w:val="auto"/>
        </w:rPr>
      </w:pPr>
    </w:p>
    <w:p>
      <w:pPr>
        <w:ind w:left="920" w:right="540" w:hanging="917"/>
        <w:spacing w:after="0" w:line="317"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44">
        <w:r>
          <w:rPr>
            <w:rFonts w:ascii="Arial" w:cs="Arial" w:eastAsia="Arial" w:hAnsi="Arial"/>
            <w:sz w:val="16"/>
            <w:szCs w:val="16"/>
            <w:u w:val="single" w:color="auto"/>
            <w:color w:val="0000FF"/>
          </w:rPr>
          <w:t>Third Amendment to Lease Agreement by and between Fairfax Boca 92 L.P. and Medical Staffing Network, Inc., dated May 14, 2002</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(Previously filed as an exhibit to the Company's Form 10-K for the year ended December 31, 2014 and incorporated by reference herein.)</w:t>
        </w:r>
      </w:hyperlink>
    </w:p>
    <w:p>
      <w:pPr>
        <w:ind w:left="920" w:right="300" w:hanging="917"/>
        <w:spacing w:after="0" w:line="317"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45">
        <w:r>
          <w:rPr>
            <w:rFonts w:ascii="Arial" w:cs="Arial" w:eastAsia="Arial" w:hAnsi="Arial"/>
            <w:sz w:val="16"/>
            <w:szCs w:val="16"/>
            <w:u w:val="single" w:color="auto"/>
            <w:color w:val="0000FF"/>
          </w:rPr>
          <w:t>Fourth Amendment to Lease Agreement by and between Fairfax Boca 92 L.P. and Medical Staffing Network, Inc., dated December 13, 2002</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(Previously filed as an exhibit to the Company's Form 10-K for the year ended December 31, 2014 and incorporated by reference herein.)</w:t>
        </w:r>
      </w:hyperlink>
    </w:p>
    <w:p>
      <w:pPr>
        <w:jc w:val="right"/>
        <w:ind w:right="520"/>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10.26      </w:t>
      </w:r>
      <w:hyperlink r:id="rId46">
        <w:r>
          <w:rPr>
            <w:rFonts w:ascii="Arial" w:cs="Arial" w:eastAsia="Arial" w:hAnsi="Arial"/>
            <w:sz w:val="17"/>
            <w:szCs w:val="17"/>
            <w:u w:val="single" w:color="auto"/>
            <w:color w:val="0000FF"/>
          </w:rPr>
          <w:t>Fifth Amendment to Lease Agreement by and between Fairfax Boca 92 L.P. and Medical Staffing Network, Inc., dated February 11, 2003</w:t>
        </w:r>
      </w:hyperlink>
      <w:r>
        <w:rPr>
          <w:rFonts w:ascii="Arial" w:cs="Arial" w:eastAsia="Arial" w:hAnsi="Arial"/>
          <w:sz w:val="17"/>
          <w:szCs w:val="17"/>
          <w:color w:val="auto"/>
        </w:rPr>
        <w:t xml:space="preserve"> </w:t>
      </w:r>
      <w:hyperlink r:id="rId46">
        <w:r>
          <w:rPr>
            <w:rFonts w:ascii="Arial" w:cs="Arial" w:eastAsia="Arial" w:hAnsi="Arial"/>
            <w:sz w:val="17"/>
            <w:szCs w:val="17"/>
            <w:u w:val="single" w:color="auto"/>
            <w:color w:val="0000FF"/>
          </w:rPr>
          <w:t>(Previously filed as an exhibit to the Company's Form 10-K for the year ended December 31, 2014 and incorporated by reference herein.)</w:t>
        </w:r>
      </w:hyperlink>
    </w:p>
    <w:p>
      <w:pPr>
        <w:spacing w:after="0" w:line="1" w:lineRule="exact"/>
        <w:rPr>
          <w:sz w:val="20"/>
          <w:szCs w:val="20"/>
          <w:color w:val="auto"/>
        </w:rPr>
      </w:pPr>
    </w:p>
    <w:p>
      <w:pPr>
        <w:jc w:val="both"/>
        <w:ind w:left="920" w:right="2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47">
        <w:r>
          <w:rPr>
            <w:rFonts w:ascii="Arial" w:cs="Arial" w:eastAsia="Arial" w:hAnsi="Arial"/>
            <w:sz w:val="18"/>
            <w:szCs w:val="18"/>
            <w:u w:val="single" w:color="auto"/>
            <w:color w:val="0000FF"/>
          </w:rPr>
          <w:t>Sixth Amendment to Lease Agreement by and between Teachers Insurance and Annuity Association of America and Medical Staffing Network,</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LLC, dated January 3, 2011 (Previously filed as an exhibit to the Company's Form 10-K for the year ended December 31, 2014 and incorporated</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by reference herein.)</w:t>
        </w:r>
      </w:hyperlink>
    </w:p>
    <w:p>
      <w:pPr>
        <w:spacing w:after="0" w:line="19" w:lineRule="exact"/>
        <w:rPr>
          <w:rFonts w:ascii="Arial" w:cs="Arial" w:eastAsia="Arial" w:hAnsi="Arial"/>
          <w:sz w:val="18"/>
          <w:szCs w:val="18"/>
          <w:u w:val="single" w:color="auto"/>
          <w:color w:val="0000FF"/>
        </w:rPr>
      </w:pPr>
    </w:p>
    <w:p>
      <w:pPr>
        <w:ind w:left="920" w:right="34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48">
        <w:r>
          <w:rPr>
            <w:rFonts w:ascii="Arial" w:cs="Arial" w:eastAsia="Arial" w:hAnsi="Arial"/>
            <w:sz w:val="18"/>
            <w:szCs w:val="18"/>
            <w:u w:val="single" w:color="auto"/>
            <w:color w:val="0000FF"/>
          </w:rPr>
          <w:t>Seventh Amendment to Lease Agreement by and between Teachers Insurance and Annuity Association of America and Medical Staffing</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Network, LLC, dated March 1, 2011 (Previously filed as an exhibit to the Company's Form 10-K for the year ended December 31, 2014 and</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incorporated by reference herein.)</w:t>
        </w:r>
      </w:hyperlink>
    </w:p>
    <w:p>
      <w:pPr>
        <w:spacing w:after="0" w:line="19" w:lineRule="exact"/>
        <w:rPr>
          <w:rFonts w:ascii="Arial" w:cs="Arial" w:eastAsia="Arial" w:hAnsi="Arial"/>
          <w:sz w:val="18"/>
          <w:szCs w:val="18"/>
          <w:u w:val="single" w:color="auto"/>
          <w:color w:val="0000FF"/>
        </w:rPr>
      </w:pPr>
    </w:p>
    <w:p>
      <w:pPr>
        <w:ind w:left="920" w:right="28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49">
        <w:r>
          <w:rPr>
            <w:rFonts w:ascii="Arial" w:cs="Arial" w:eastAsia="Arial" w:hAnsi="Arial"/>
            <w:sz w:val="18"/>
            <w:szCs w:val="18"/>
            <w:u w:val="single" w:color="auto"/>
            <w:color w:val="0000FF"/>
          </w:rPr>
          <w:t>Eighth Amendment to Lease Agreement by and between Teachers Insurance and Annuity Association of America, and Medical Staffing</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Network, LLC, dated November 22, 2011 (Previously filed as an exhibit to the Company's Form 10-K for the year ended December 31, 2014</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and incorporated by reference herein.)</w:t>
        </w:r>
      </w:hyperlink>
    </w:p>
    <w:p>
      <w:pPr>
        <w:spacing w:after="0" w:line="19" w:lineRule="exact"/>
        <w:rPr>
          <w:rFonts w:ascii="Arial" w:cs="Arial" w:eastAsia="Arial" w:hAnsi="Arial"/>
          <w:sz w:val="18"/>
          <w:szCs w:val="18"/>
          <w:u w:val="single" w:color="auto"/>
          <w:color w:val="0000FF"/>
        </w:rPr>
      </w:pPr>
    </w:p>
    <w:p>
      <w:pPr>
        <w:ind w:left="920" w:right="260" w:hanging="917"/>
        <w:spacing w:after="0" w:line="286"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10.30</w:t>
      </w:r>
      <w:r>
        <w:rPr>
          <w:sz w:val="20"/>
          <w:szCs w:val="20"/>
          <w:color w:val="auto"/>
        </w:rPr>
        <w:tab/>
      </w:r>
      <w:hyperlink r:id="rId50">
        <w:r>
          <w:rPr>
            <w:rFonts w:ascii="Arial" w:cs="Arial" w:eastAsia="Arial" w:hAnsi="Arial"/>
            <w:sz w:val="17"/>
            <w:szCs w:val="17"/>
            <w:u w:val="single" w:color="auto"/>
            <w:color w:val="0000FF"/>
          </w:rPr>
          <w:t>Second Amendment to Second Lien Loan and Security Agreement, dated July 22, 2015, by and among Cross Country Healthcare, Inc., as</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borrower, certain of its domestic subsidiaries, as guarantors, the lenders party thereto, and BSP Agency, LLC, as agent (Previously filed as an</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exhibit to the Company’s Form 8-K dated July 23, 2015 and incorporated by reference herein.)</w:t>
        </w:r>
      </w:hyperlink>
    </w:p>
    <w:p>
      <w:pPr>
        <w:spacing w:after="0" w:line="220" w:lineRule="exact"/>
        <w:rPr>
          <w:rFonts w:ascii="Arial" w:cs="Arial" w:eastAsia="Arial" w:hAnsi="Arial"/>
          <w:sz w:val="17"/>
          <w:szCs w:val="17"/>
          <w:u w:val="single" w:color="auto"/>
          <w:color w:val="0000FF"/>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80" w:top="796"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40" w:type="dxa"/>
            <w:vAlign w:val="bottom"/>
            <w:gridSpan w:val="30"/>
          </w:tcPr>
          <w:p>
            <w:pPr>
              <w:jc w:val="center"/>
              <w:ind w:right="1540"/>
              <w:spacing w:after="0"/>
              <w:rPr>
                <w:sz w:val="20"/>
                <w:szCs w:val="20"/>
                <w:color w:val="auto"/>
              </w:rPr>
            </w:pPr>
            <w:r>
              <w:rPr>
                <w:rFonts w:ascii="Arial" w:cs="Arial" w:eastAsia="Arial" w:hAnsi="Arial"/>
                <w:sz w:val="18"/>
                <w:szCs w:val="18"/>
                <w:b w:val="1"/>
                <w:bCs w:val="1"/>
                <w:color w:val="auto"/>
              </w:rPr>
              <w:t>EXHIBIT INDEX (CONTINUED)</w:t>
            </w:r>
          </w:p>
        </w:tc>
      </w:tr>
      <w:tr>
        <w:trPr>
          <w:trHeight w:val="378"/>
        </w:trPr>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0" w:type="dxa"/>
            <w:vAlign w:val="bottom"/>
            <w:gridSpan w:val="28"/>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Agreement and Plan of Merger, dated as of July 27, 2015, by and among Cross Country Education, LLC, Cross Country Healthcare, Inc., CC</w:t>
              </w:r>
            </w:hyperlink>
          </w:p>
        </w:tc>
        <w:tc>
          <w:tcPr>
            <w:tcW w:w="1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Education, LLC and PES, Inc. (Previously filed as an exhibit to the Company's Form 8-K dated July 30, 2015 and incorporated by reference</w:t>
              </w:r>
            </w:hyperlink>
          </w:p>
        </w:tc>
        <w:tc>
          <w:tcPr>
            <w:tcW w:w="2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Fourth Amendment to Lease Agreement by and between Granite Meridian LLC and Cross Country Healthcare, Inc., dated September 29, 2015</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(Previously filed as an exhibit to the Company’s Form 8-K dated October 2, 2015 and incorporated by reference herein.)</w:t>
              </w:r>
            </w:hyperlink>
          </w:p>
        </w:tc>
        <w:tc>
          <w:tcPr>
            <w:tcW w:w="1620" w:type="dxa"/>
            <w:vAlign w:val="bottom"/>
            <w:tcBorders>
              <w:top w:val="single" w:sz="8" w:color="0000FF"/>
            </w:tcBorders>
            <w:gridSpan w:val="19"/>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tcBorders>
              <w:bottom w:val="single" w:sz="8" w:color="0000FF"/>
            </w:tcBorders>
            <w:gridSpan w:val="25"/>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Ninth Amendment to Lease Agreement by and between Mainstreet CV North 40, LLC and Cross Country Healthcare, Inc., dated September</w:t>
              </w:r>
            </w:hyperlink>
          </w:p>
        </w:tc>
        <w:tc>
          <w:tcPr>
            <w:tcW w:w="220" w:type="dxa"/>
            <w:vAlign w:val="bottom"/>
            <w:gridSpan w:val="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29, 2015 (Previously filed as an exhibit to the Company’s Form 8-K dated October 2, 2015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tcBorders>
              <w:bottom w:val="single" w:sz="8" w:color="0000FF"/>
            </w:tcBorders>
            <w:gridSpan w:val="24"/>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Lease Agreement by and between Mainstreet CV North 40, LLC and Cross Country Healthcare, Inc., dated September 29, 2015 (Previously</w:t>
              </w:r>
            </w:hyperlink>
          </w:p>
        </w:tc>
        <w:tc>
          <w:tcPr>
            <w:tcW w:w="240" w:type="dxa"/>
            <w:vAlign w:val="bottom"/>
            <w:gridSpan w:val="7"/>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filed as an exhibit to the Company’s Form 8-K dated October 2, 2015 and incorporated by reference herein.)</w:t>
              </w:r>
            </w:hyperlink>
          </w:p>
        </w:tc>
        <w:tc>
          <w:tcPr>
            <w:tcW w:w="2540" w:type="dxa"/>
            <w:vAlign w:val="bottom"/>
            <w:gridSpan w:val="21"/>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60" w:type="dxa"/>
            <w:vAlign w:val="bottom"/>
            <w:tcBorders>
              <w:bottom w:val="single" w:sz="8" w:color="0000FF"/>
            </w:tcBorders>
            <w:gridSpan w:val="22"/>
          </w:tcPr>
          <w:p>
            <w:pPr>
              <w:spacing w:after="0"/>
              <w:rPr>
                <w:rFonts w:ascii="Arial" w:cs="Arial" w:eastAsia="Arial" w:hAnsi="Arial"/>
                <w:sz w:val="18"/>
                <w:szCs w:val="18"/>
                <w:color w:val="0000FF"/>
                <w:w w:val="89"/>
              </w:rPr>
            </w:pPr>
            <w:hyperlink r:id="rId55">
              <w:r>
                <w:rPr>
                  <w:rFonts w:ascii="Arial" w:cs="Arial" w:eastAsia="Arial" w:hAnsi="Arial"/>
                  <w:sz w:val="18"/>
                  <w:szCs w:val="18"/>
                  <w:color w:val="0000FF"/>
                  <w:w w:val="89"/>
                </w:rPr>
                <w:t>Stock Purchase Agreement, dated October 19, 2015, by and among Cross Country Healthcare, Inc. and Dennis Ducham, Emily Serebryany,</w:t>
              </w:r>
            </w:hyperlink>
          </w:p>
        </w:tc>
        <w:tc>
          <w:tcPr>
            <w:tcW w:w="280" w:type="dxa"/>
            <w:vAlign w:val="bottom"/>
            <w:gridSpan w:val="9"/>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Emily Serebryany Trust dated 4/16/14, Val Serebryany, and Val Serebryany Family Trust dated 2/18/14 (Previously filed as an exhibit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Company's Form 8-K dated October 20, 2015 and incorporated by reference herein)</w:t>
              </w:r>
            </w:hyperlink>
          </w:p>
        </w:tc>
        <w:tc>
          <w:tcPr>
            <w:tcW w:w="260" w:type="dxa"/>
            <w:vAlign w:val="bottom"/>
            <w:gridSpan w:val="8"/>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80" w:type="dxa"/>
            <w:vAlign w:val="bottom"/>
            <w:tcBorders>
              <w:bottom w:val="single" w:sz="8" w:color="0000FF"/>
            </w:tcBorders>
            <w:gridSpan w:val="2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Asset Purchase Agreement between Mediscan, Inc. and Direct Ed Solutions, Inc. and Mihal Spiegel, dated August 19, 2014 (Previously filed</w:t>
              </w:r>
            </w:hyperlink>
          </w:p>
        </w:tc>
        <w:tc>
          <w:tcPr>
            <w:tcW w:w="160" w:type="dxa"/>
            <w:vAlign w:val="bottom"/>
            <w:gridSpan w:val="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as an exhibit to the Company's Form 8-K dated November 3, 2015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10.37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0" w:type="dxa"/>
            <w:vAlign w:val="bottom"/>
            <w:tcBorders>
              <w:bottom w:val="single" w:sz="8" w:color="0000FF"/>
            </w:tcBorders>
            <w:gridSpan w:val="29"/>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Employment Agreement between Cross Country Healthcare, Inc. and Dennis Ducham, dated October 30, 2015 (Previously filed as an exhibit</w:t>
              </w:r>
            </w:hyperlink>
          </w:p>
        </w:tc>
        <w:tc>
          <w:tcPr>
            <w:tcW w:w="140" w:type="dxa"/>
            <w:vAlign w:val="bottom"/>
            <w:gridSpan w:val="2"/>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to the Company's Form 8-K dated November 3, 2015 and incorporated by reference herein.)</w:t>
              </w:r>
            </w:hyperlink>
          </w:p>
        </w:tc>
        <w:tc>
          <w:tcPr>
            <w:tcW w:w="3700" w:type="dxa"/>
            <w:vAlign w:val="bottom"/>
            <w:gridSpan w:val="25"/>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10.38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Employment Agreement between Cross Country Healthcare, Inc. and Val Serebryany, dated October 30, 2015 (Previously filed as an exhibit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0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the Company's Form 8-K dated November 3, 2015 and incorporated by reference herein.)</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10.39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Restricted Stock Agreement between Cross Country Healthcare, Inc. and New Mediscan Diagnostic Services, Inc., dated October 30, 2015</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(Previously filed as an exhibit to the Company's Form 8-K dated November 3, 2015 and incorporated by reference herein.)</w:t>
              </w:r>
            </w:hyperlink>
          </w:p>
        </w:tc>
        <w:tc>
          <w:tcPr>
            <w:tcW w:w="1160" w:type="dxa"/>
            <w:vAlign w:val="bottom"/>
            <w:tcBorders>
              <w:top w:val="single" w:sz="8" w:color="0000FF"/>
            </w:tcBorders>
            <w:gridSpan w:val="9"/>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tcBorders>
              <w:bottom w:val="single" w:sz="8" w:color="0000FF"/>
            </w:tcBorders>
            <w:gridSpan w:val="24"/>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Lease Agreement between Golden Egg, LLC and Mediscan Staffing Services, dba Mediscan Diagnostics, Mediscan Therapy Inc., Direct Ed</w:t>
              </w:r>
            </w:hyperlink>
          </w:p>
        </w:tc>
        <w:tc>
          <w:tcPr>
            <w:tcW w:w="240" w:type="dxa"/>
            <w:vAlign w:val="bottom"/>
            <w:gridSpan w:val="7"/>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7"/>
              </w:rPr>
            </w:pPr>
            <w:hyperlink r:id="rId60">
              <w:r>
                <w:rPr>
                  <w:rFonts w:ascii="Arial" w:cs="Arial" w:eastAsia="Arial" w:hAnsi="Arial"/>
                  <w:sz w:val="18"/>
                  <w:szCs w:val="18"/>
                  <w:color w:val="0000FF"/>
                  <w:w w:val="97"/>
                </w:rPr>
                <w:t>Solutions, and Direct Ed Specialized Services, dated August 4, 2015 (Previously filed as an exhibit to the Company's Form 8-K dated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November 3, 2015 and incorporated by reference herein.)</w:t>
              </w:r>
            </w:hyperlink>
          </w:p>
        </w:tc>
        <w:tc>
          <w:tcPr>
            <w:tcW w:w="5480" w:type="dxa"/>
            <w:vAlign w:val="bottom"/>
            <w:tcBorders>
              <w:top w:val="single" w:sz="8" w:color="0000FF"/>
            </w:tcBorders>
            <w:gridSpan w:val="12"/>
          </w:tcPr>
          <w:p>
            <w:pPr>
              <w:spacing w:after="0"/>
              <w:rPr>
                <w:sz w:val="17"/>
                <w:szCs w:val="17"/>
                <w:color w:val="auto"/>
              </w:rPr>
            </w:pPr>
          </w:p>
        </w:tc>
        <w:tc>
          <w:tcPr>
            <w:tcW w:w="720" w:type="dxa"/>
            <w:vAlign w:val="bottom"/>
            <w:gridSpan w:val="16"/>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First Amendment to Lease Agreement between Golden Egg, LLC and Mediscan Diagnostic Services, Mediscan Nursing Staffing, Direct 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Solutions, and Direct Ed Specialized Services, dated October 30, 2015 (Previously filed as an exhibit to the Company's Form 8-K dated</w:t>
              </w:r>
            </w:hyperlink>
          </w:p>
        </w:tc>
        <w:tc>
          <w:tcPr>
            <w:tcW w:w="300" w:type="dxa"/>
            <w:vAlign w:val="bottom"/>
            <w:tcBorders>
              <w:top w:val="single" w:sz="8" w:color="0000FF"/>
            </w:tcBorders>
            <w:gridSpan w:val="5"/>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November 3, 2015 and incorporated by reference herein.)</w:t>
              </w:r>
            </w:hyperlink>
          </w:p>
        </w:tc>
        <w:tc>
          <w:tcPr>
            <w:tcW w:w="6200" w:type="dxa"/>
            <w:vAlign w:val="bottom"/>
            <w:gridSpan w:val="28"/>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Third Amendment to Lease Agreement between RNSI City Place Owner, LLC and Cejka Search, Inc., dated December 2, 2015 (Previously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22"/>
          </w:tcPr>
          <w:p>
            <w:pPr>
              <w:spacing w:after="0" w:line="196"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filed as an exhibit to the Company's Form 10-KA for the year ended December 31, 2015 and incorporated by reference herein.)</w:t>
              </w:r>
            </w:hyperlink>
          </w:p>
        </w:tc>
        <w:tc>
          <w:tcPr>
            <w:tcW w:w="280" w:type="dxa"/>
            <w:vAlign w:val="bottom"/>
            <w:gridSpan w:val="9"/>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10.43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Employment Agreement, dated as of March 9, 2016, between William J. Grubbs and the Registrant (Previously filed as an exhibit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Company's Form 10-K for the year ended December 31, 2015 and incorporated by reference herein.)</w:t>
              </w:r>
            </w:hyperlink>
          </w:p>
        </w:tc>
        <w:tc>
          <w:tcPr>
            <w:tcW w:w="2540" w:type="dxa"/>
            <w:vAlign w:val="bottom"/>
            <w:tcBorders>
              <w:top w:val="single" w:sz="8" w:color="0000FF"/>
            </w:tcBorders>
            <w:gridSpan w:val="12"/>
          </w:tcPr>
          <w:p>
            <w:pPr>
              <w:spacing w:after="0"/>
              <w:rPr>
                <w:sz w:val="17"/>
                <w:szCs w:val="17"/>
                <w:color w:val="auto"/>
              </w:rPr>
            </w:pPr>
          </w:p>
        </w:tc>
        <w:tc>
          <w:tcPr>
            <w:tcW w:w="540" w:type="dxa"/>
            <w:vAlign w:val="bottom"/>
            <w:gridSpan w:val="12"/>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Credit Agreement, dated June 22, 2016, by and among Cross Country Healthcare, Inc., as borrower, certain of its domestic subsidiaries, as</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guarantors, the Lenders referenced therein, and Suntrust Bank, as agent (previously filed as an exhibit to the Company's Form 8-K dated June</w:t>
              </w:r>
            </w:hyperlink>
          </w:p>
        </w:tc>
        <w:tc>
          <w:tcPr>
            <w:tcW w:w="1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22, 2016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Tenth Amendment to Lease agreement between Mainstreet CV North 40, LLC and Cross Country Healthcare, Inc., dated September 19, 2016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top w:val="single" w:sz="8" w:color="0000FF"/>
              <w:bottom w:val="single" w:sz="8" w:color="0000FF"/>
            </w:tcBorders>
            <w:gridSpan w:val="27"/>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(Previously filed as an exhibit to the Company’s Form 10-Q for the quarter ended September 30, 2016 and incorporated by reference herein.)</w:t>
              </w:r>
            </w:hyperlink>
          </w:p>
        </w:tc>
        <w:tc>
          <w:tcPr>
            <w:tcW w:w="40" w:type="dxa"/>
            <w:vAlign w:val="bottom"/>
            <w:tcBorders>
              <w:top w:val="single" w:sz="8" w:color="0000FF"/>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60" w:type="dxa"/>
            <w:vAlign w:val="bottom"/>
            <w:tcBorders>
              <w:bottom w:val="single" w:sz="8" w:color="0000FF"/>
            </w:tcBorders>
            <w:gridSpan w:val="17"/>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Amendment to Lease agreement between Mainstreet CV North 40, LLC and Cross Country Healthcare, Inc., dated September 19, 2016</w:t>
              </w:r>
            </w:hyperlink>
          </w:p>
        </w:tc>
        <w:tc>
          <w:tcPr>
            <w:tcW w:w="580" w:type="dxa"/>
            <w:vAlign w:val="bottom"/>
            <w:gridSpan w:val="14"/>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(Previously filed as an exhibit to the Company’s Form 10-Q for the quarter ended September 30, 2016 and incorporated by reference herein.)</w:t>
              </w:r>
            </w:hyperlink>
          </w:p>
        </w:tc>
        <w:tc>
          <w:tcPr>
            <w:tcW w:w="180" w:type="dxa"/>
            <w:vAlign w:val="bottom"/>
            <w:gridSpan w:val="4"/>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Amendment No. 2, dated October 31, 2016 to Convertible Note Purchase Agreement, dated June 30, 2014,among Cross Country Healthcare,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40" w:type="dxa"/>
            <w:vAlign w:val="bottom"/>
            <w:tcBorders>
              <w:top w:val="single" w:sz="8" w:color="0000FF"/>
            </w:tcBorders>
            <w:gridSpan w:val="26"/>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Inc., the Guarantor subsidiaries of the Company named therein, and theNoteholders named therein (Previously filed as an exhibit to the</w:t>
              </w:r>
            </w:hyperlink>
          </w:p>
        </w:tc>
        <w:tc>
          <w:tcPr>
            <w:tcW w:w="2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Company’s Form 10-Q for the quarter ended September 30, 2016 and incorporated by reference herein.)</w:t>
              </w:r>
            </w:hyperlink>
          </w:p>
        </w:tc>
        <w:tc>
          <w:tcPr>
            <w:tcW w:w="600" w:type="dxa"/>
            <w:vAlign w:val="bottom"/>
            <w:gridSpan w:val="1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6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0" w:type="dxa"/>
            <w:vAlign w:val="bottom"/>
            <w:gridSpan w:val="2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Amendment No. 3, dated December 27, 2016 to Convertible Note Purchase Agreement, dated June 30, 2014,among Cross Country Healthcare,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00" w:type="dxa"/>
            <w:vAlign w:val="bottom"/>
            <w:tcBorders>
              <w:top w:val="single" w:sz="8" w:color="0000FF"/>
            </w:tcBorders>
            <w:gridSpan w:val="30"/>
          </w:tcPr>
          <w:p>
            <w:pPr>
              <w:spacing w:after="0" w:line="196" w:lineRule="exact"/>
              <w:rPr>
                <w:rFonts w:ascii="Arial" w:cs="Arial" w:eastAsia="Arial" w:hAnsi="Arial"/>
                <w:sz w:val="18"/>
                <w:szCs w:val="18"/>
                <w:color w:val="0000FF"/>
                <w:w w:val="95"/>
              </w:rPr>
            </w:pPr>
            <w:hyperlink r:id="rId68">
              <w:r>
                <w:rPr>
                  <w:rFonts w:ascii="Arial" w:cs="Arial" w:eastAsia="Arial" w:hAnsi="Arial"/>
                  <w:sz w:val="18"/>
                  <w:szCs w:val="18"/>
                  <w:color w:val="0000FF"/>
                  <w:w w:val="95"/>
                </w:rPr>
                <w:t>Inc., the Guarantor subsidiaries of the Company named therein, and theNoteholders named therein (Previously filed as an exhibit to the</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Company's Form 10-K for the year ended December 31, 2016 and incorporated by reference herein.)</w:t>
              </w:r>
            </w:hyperlink>
          </w:p>
        </w:tc>
        <w:tc>
          <w:tcPr>
            <w:tcW w:w="2480" w:type="dxa"/>
            <w:vAlign w:val="bottom"/>
            <w:tcBorders>
              <w:top w:val="single" w:sz="8" w:color="0000FF"/>
            </w:tcBorders>
            <w:gridSpan w:val="9"/>
          </w:tcPr>
          <w:p>
            <w:pPr>
              <w:spacing w:after="0"/>
              <w:rPr>
                <w:sz w:val="17"/>
                <w:szCs w:val="17"/>
                <w:color w:val="auto"/>
              </w:rPr>
            </w:pPr>
          </w:p>
        </w:tc>
        <w:tc>
          <w:tcPr>
            <w:tcW w:w="600" w:type="dxa"/>
            <w:vAlign w:val="bottom"/>
            <w:gridSpan w:val="15"/>
          </w:tcPr>
          <w:p>
            <w:pPr>
              <w:spacing w:after="0"/>
              <w:rPr>
                <w:sz w:val="17"/>
                <w:szCs w:val="17"/>
                <w:color w:val="auto"/>
              </w:rPr>
            </w:pPr>
          </w:p>
        </w:tc>
      </w:tr>
      <w:tr>
        <w:trPr>
          <w:trHeight w:val="72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80" w:type="dxa"/>
            <w:vAlign w:val="bottom"/>
            <w:gridSpan w:val="5"/>
          </w:tcPr>
          <w:p>
            <w:pPr>
              <w:jc w:val="right"/>
              <w:ind w:right="123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0" w:type="dxa"/>
            <w:vAlign w:val="bottom"/>
            <w:gridSpan w:val="28"/>
          </w:tcPr>
          <w:p>
            <w:pPr>
              <w:ind w:left="560"/>
              <w:spacing w:after="0"/>
              <w:rPr>
                <w:sz w:val="20"/>
                <w:szCs w:val="20"/>
                <w:color w:val="auto"/>
              </w:rPr>
            </w:pPr>
            <w:r>
              <w:rPr>
                <w:rFonts w:ascii="Arial" w:cs="Arial" w:eastAsia="Arial" w:hAnsi="Arial"/>
                <w:sz w:val="18"/>
                <w:szCs w:val="18"/>
                <w:b w:val="1"/>
                <w:bCs w:val="1"/>
                <w:color w:val="auto"/>
              </w:rPr>
              <w:t>EXHIBIT INDEX (CONTINUED)</w:t>
            </w:r>
          </w:p>
        </w:tc>
      </w:tr>
      <w:tr>
        <w:trPr>
          <w:trHeight w:val="378"/>
        </w:trPr>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720" w:type="dxa"/>
            <w:vAlign w:val="bottom"/>
            <w:gridSpan w:val="27"/>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10.49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4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Asset Purchase Agreement, dated June 13, 2017, among Cross Country Healthcare, Inc., as Buyer,Advantage RN, LLC, Advantage On Call,</w:t>
              </w:r>
            </w:hyperlink>
          </w:p>
        </w:tc>
        <w:tc>
          <w:tcPr>
            <w:tcW w:w="20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LLC, Advantage Locums, LLC, and Advantage RN LocalStaffing, the Seller Parties, and Seller Representative (Previously filed as an exhibit</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to the Company's Form8-K dated June 13, 2017 and incorporated by reference herein.)</w:t>
              </w:r>
            </w:hyperlink>
          </w:p>
        </w:tc>
        <w:tc>
          <w:tcPr>
            <w:tcW w:w="14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Incremental Term Loan Agreement, dated July 1, 2017 to Credit Agreement, dated June 22, 2016, by andamong Cross Country Healthcare,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70">
              <w:r>
                <w:rPr>
                  <w:rFonts w:ascii="Arial" w:cs="Arial" w:eastAsia="Arial" w:hAnsi="Arial"/>
                  <w:sz w:val="18"/>
                  <w:szCs w:val="18"/>
                  <w:color w:val="0000FF"/>
                  <w:w w:val="89"/>
                </w:rPr>
                <w:t>Inc., as borrower, certain of its domestic subsidiaries, as guarantors,Suntrust Bank, as lender, and Suntrust Bank, as agent (Previously filed as</w:t>
              </w:r>
            </w:hyperlink>
          </w:p>
        </w:tc>
        <w:tc>
          <w:tcPr>
            <w:tcW w:w="16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an exhibit to the Company's Form8-K dated July 6, 2017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6"/>
              </w:rPr>
            </w:pPr>
            <w:hyperlink r:id="rId71">
              <w:r>
                <w:rPr>
                  <w:rFonts w:ascii="Arial" w:cs="Arial" w:eastAsia="Arial" w:hAnsi="Arial"/>
                  <w:sz w:val="18"/>
                  <w:szCs w:val="18"/>
                  <w:color w:val="0000FF"/>
                  <w:w w:val="96"/>
                </w:rPr>
                <w:t>Second Amendment to Credit Agreement, dated July 5, 2017 to Credit Agreement, dated June 22, 2016, byand among Cross Country</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Healthcare, Inc., as borrower, certain of its domestic subsidiaries, as guarantors,the Lenders referenced therein, and Suntrust Bank, as agent</w:t>
              </w:r>
            </w:hyperlink>
          </w:p>
        </w:tc>
        <w:tc>
          <w:tcPr>
            <w:tcW w:w="30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(Previously filed as an exhibit to the Company'sForm 8-K dated July 6, 2017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Amended and Restated Credit Agreement, dated August 1, 2017 to Credit Agreement, by and among CrossCountry Healthcare, Inc., as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borrower, certain of its domestic subsidiaries, as guarantors, the Lendersreferenced therein, SunTrust Bank, as Administrative Agent,</w:t>
              </w:r>
            </w:hyperlink>
          </w:p>
        </w:tc>
        <w:tc>
          <w:tcPr>
            <w:tcW w:w="140" w:type="dxa"/>
            <w:vAlign w:val="bottom"/>
            <w:tcBorders>
              <w:top w:val="single" w:sz="8" w:color="0000FF"/>
            </w:tcBorders>
            <w:gridSpan w:val="3"/>
          </w:tcPr>
          <w:p>
            <w:pPr>
              <w:spacing w:after="0"/>
              <w:rPr>
                <w:sz w:val="17"/>
                <w:szCs w:val="17"/>
                <w:color w:val="auto"/>
              </w:rPr>
            </w:pPr>
          </w:p>
        </w:tc>
        <w:tc>
          <w:tcPr>
            <w:tcW w:w="600" w:type="dxa"/>
            <w:vAlign w:val="bottom"/>
            <w:gridSpan w:val="1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Swingline Lender and an issuing bank; BMOHarris Bank, N.A. as Syndication Agent; and Bank United N.A. and Fifth Third Bank as Co-</w:t>
              </w:r>
            </w:hyperlink>
          </w:p>
        </w:tc>
        <w:tc>
          <w:tcPr>
            <w:tcW w:w="38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DocumentationAgents (Previously filed as an exhibit to the Company's Form 8-K dated August 2, 2017 and incorporated byreference herein.)</w:t>
              </w:r>
            </w:hyperlink>
          </w:p>
        </w:tc>
        <w:tc>
          <w:tcPr>
            <w:tcW w:w="120" w:type="dxa"/>
            <w:vAlign w:val="bottom"/>
            <w:gridSpan w:val="2"/>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60" w:type="dxa"/>
            <w:vAlign w:val="bottom"/>
            <w:tcBorders>
              <w:bottom w:val="single" w:sz="8" w:color="0000FF"/>
            </w:tcBorders>
            <w:gridSpan w:val="26"/>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Fourth Amendment to Lease Agreement between RNSI City Place Owner, LLC and Cejka Search, Inc.,dated May 31, 2017 (Previously filed</w:t>
              </w:r>
            </w:hyperlink>
          </w:p>
        </w:tc>
        <w:tc>
          <w:tcPr>
            <w:tcW w:w="180" w:type="dxa"/>
            <w:vAlign w:val="bottom"/>
            <w:gridSpan w:val="5"/>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as an exhibit to the Company's Form 10-Q for the quarter ended September 30, 2017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10.54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Amended and Restated Employment Agreement, dated January 28, 2018, between William J. Burns and Cross Country Healthcare, Inc.</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(Previously filed as an exhibit to the Company’s Form 8-K dated January 26, 2018 and incorporated by reference herein.)</w:t>
              </w:r>
            </w:hyperlink>
          </w:p>
        </w:tc>
        <w:tc>
          <w:tcPr>
            <w:tcW w:w="560" w:type="dxa"/>
            <w:vAlign w:val="bottom"/>
            <w:gridSpan w:val="1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10.55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20" w:type="dxa"/>
            <w:vAlign w:val="bottom"/>
            <w:tcBorders>
              <w:bottom w:val="single" w:sz="8" w:color="0000FF"/>
            </w:tcBorders>
            <w:gridSpan w:val="21"/>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Cross Country Healthcare, Inc. Executive Nonqualified Excess Plan Adoption Agreement (Previously filed as an exhibit to the Company's</w:t>
              </w:r>
            </w:hyperlink>
          </w:p>
        </w:tc>
        <w:tc>
          <w:tcPr>
            <w:tcW w:w="320" w:type="dxa"/>
            <w:vAlign w:val="bottom"/>
            <w:gridSpan w:val="10"/>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75">
              <w:r>
                <w:rPr>
                  <w:rFonts w:ascii="Arial" w:cs="Arial" w:eastAsia="Arial" w:hAnsi="Arial"/>
                  <w:sz w:val="18"/>
                  <w:szCs w:val="18"/>
                  <w:color w:val="0000FF"/>
                  <w:w w:val="89"/>
                </w:rPr>
                <w:t>Form 10-K dated December 31, 2017 and incorporated by reference herein.)</w:t>
              </w:r>
            </w:hyperlink>
          </w:p>
        </w:tc>
        <w:tc>
          <w:tcPr>
            <w:tcW w:w="4840" w:type="dxa"/>
            <w:vAlign w:val="bottom"/>
            <w:gridSpan w:val="26"/>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80" w:type="dxa"/>
            <w:vAlign w:val="bottom"/>
            <w:tcBorders>
              <w:bottom w:val="single" w:sz="8" w:color="0000FF"/>
            </w:tcBorders>
            <w:gridSpan w:val="30"/>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ISDA Master Agreement between Wells Fargo Bank, N.A. and Cross Country Healthcare, Inc. dated as of February 14 2018 (with Schedule to</w:t>
              </w:r>
            </w:hyperlink>
          </w:p>
        </w:tc>
        <w:tc>
          <w:tcPr>
            <w:tcW w:w="6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the Master Agreement) (Previously filed as an exhibit to the Company's Form 10-K dated December 31, 2017 and incorporated by reference</w:t>
              </w:r>
            </w:hyperlink>
          </w:p>
        </w:tc>
        <w:tc>
          <w:tcPr>
            <w:tcW w:w="22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4"/>
              </w:rPr>
            </w:pPr>
            <w:hyperlink r:id="rId77">
              <w:r>
                <w:rPr>
                  <w:rFonts w:ascii="Arial" w:cs="Arial" w:eastAsia="Arial" w:hAnsi="Arial"/>
                  <w:sz w:val="18"/>
                  <w:szCs w:val="18"/>
                  <w:color w:val="0000FF"/>
                  <w:w w:val="94"/>
                </w:rPr>
                <w:t>First Amendment to Amended and Restated Credit Agreement, dated October 30, 2018, by and among Cross Country Healthcare, Inc. as</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borrower, certain of its domestic subsidiaries as guarantors, the Lenders referenced therein, and SunTrust Bank, as agent (Previously filed as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an exhibit to the Company's Form 10-Q for the quarter ended September 30, 2018 and incorporated by reference herein.)</w:t>
              </w:r>
            </w:hyperlink>
          </w:p>
        </w:tc>
        <w:tc>
          <w:tcPr>
            <w:tcW w:w="1360" w:type="dxa"/>
            <w:vAlign w:val="bottom"/>
            <w:tcBorders>
              <w:top w:val="single" w:sz="8" w:color="0000FF"/>
            </w:tcBorders>
            <w:gridSpan w:val="12"/>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10.58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Amendment to Employment Agreement, dated September 10, 2018, by and between Cross Country Healthcare, Inc. and William J. Grubbs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(Previously filed as an exhibit to the Company's Form 8-K dated September 10, 2018 and incorporated by reference herein)</w:t>
              </w:r>
            </w:hyperlink>
          </w:p>
        </w:tc>
        <w:tc>
          <w:tcPr>
            <w:tcW w:w="32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10.59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Employment Agreement between Cross Country Healthcare, Inc. and Kevin C. Clark, dated January 16, 2019 (Previously filed as an exhibit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the Company's Form 8-K dated January 16, 2019 and incorporated by reference herein.)</w:t>
              </w:r>
            </w:hyperlink>
          </w:p>
        </w:tc>
        <w:tc>
          <w:tcPr>
            <w:tcW w:w="3940" w:type="dxa"/>
            <w:vAlign w:val="bottom"/>
            <w:tcBorders>
              <w:top w:val="single" w:sz="8" w:color="0000FF"/>
            </w:tcBorders>
            <w:gridSpan w:val="22"/>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10.60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00" w:type="dxa"/>
            <w:vAlign w:val="bottom"/>
            <w:tcBorders>
              <w:bottom w:val="single" w:sz="8" w:color="0000FF"/>
            </w:tcBorders>
            <w:gridSpan w:val="15"/>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Amendment and Restatement to Employment Agreement, dated January 31, 2019, by and between Cross Country Healthcare, Inc. and</w:t>
              </w:r>
            </w:hyperlink>
          </w:p>
        </w:tc>
        <w:tc>
          <w:tcPr>
            <w:tcW w:w="640" w:type="dxa"/>
            <w:vAlign w:val="bottom"/>
            <w:gridSpan w:val="1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William J. Burns (Previously filed as an exhibit to the Company's Form 8-K dated January 31, 2019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Code of Ethics, revised February 2, 2016 (Previously filed as an exhibit to the Company's Form 10-Q for the quarter ended March 31, 2018</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and incorporated by reference herein.)</w:t>
              </w:r>
            </w:hyperlink>
          </w:p>
        </w:tc>
        <w:tc>
          <w:tcPr>
            <w:tcW w:w="300" w:type="dxa"/>
            <w:vAlign w:val="bottom"/>
            <w:gridSpan w:val="9"/>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40" w:type="dxa"/>
            <w:vAlign w:val="bottom"/>
            <w:tcBorders>
              <w:top w:val="single" w:sz="8" w:color="0000FF"/>
            </w:tcBorders>
            <w:gridSpan w:val="3"/>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List of subsidiaries of the Registrant</w:t>
              </w:r>
            </w:hyperlink>
          </w:p>
        </w:tc>
        <w:tc>
          <w:tcPr>
            <w:tcW w:w="7600" w:type="dxa"/>
            <w:vAlign w:val="bottom"/>
            <w:gridSpan w:val="28"/>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Consent of Deloitte &amp; Touche LLP, Independent Registered Public Accounting Firm</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8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97">
              <w:r>
                <w:rPr>
                  <w:rFonts w:ascii="Arial" w:cs="Arial" w:eastAsia="Arial" w:hAnsi="Arial"/>
                  <w:sz w:val="18"/>
                  <w:szCs w:val="18"/>
                  <w:color w:val="0000FF"/>
                  <w:w w:val="91"/>
                </w:rPr>
                <w:t>Certification Pursuant to Rule 13a-14(a)/15d-14(a) and pursuant to Section 302 of the Sarbanes-Oxley Act of 2002 by Kevin C. Clark,</w:t>
              </w:r>
            </w:hyperlink>
          </w:p>
        </w:tc>
        <w:tc>
          <w:tcPr>
            <w:tcW w:w="660" w:type="dxa"/>
            <w:vAlign w:val="bottom"/>
            <w:gridSpan w:val="17"/>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w:anchor="page97">
              <w:r>
                <w:rPr>
                  <w:rFonts w:ascii="Arial" w:cs="Arial" w:eastAsia="Arial" w:hAnsi="Arial"/>
                  <w:sz w:val="18"/>
                  <w:szCs w:val="18"/>
                  <w:color w:val="0000FF"/>
                </w:rPr>
                <w:t>President, Chief Executive Officer (Principal Executive Officer)</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6"/>
              </w:rPr>
            </w:pPr>
            <w:hyperlink w:anchor="page98">
              <w:r>
                <w:rPr>
                  <w:rFonts w:ascii="Arial" w:cs="Arial" w:eastAsia="Arial" w:hAnsi="Arial"/>
                  <w:sz w:val="18"/>
                  <w:szCs w:val="18"/>
                  <w:color w:val="0000FF"/>
                  <w:w w:val="96"/>
                </w:rPr>
                <w:t>Certification Pursuant to Rule 13a-14(a)/15d-14(a) and pursuant to Section 302 of the Sarbanes-Oxley Act of 2002 by William J. Burns,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w:anchor="page98">
              <w:r>
                <w:rPr>
                  <w:rFonts w:ascii="Arial" w:cs="Arial" w:eastAsia="Arial" w:hAnsi="Arial"/>
                  <w:sz w:val="18"/>
                  <w:szCs w:val="18"/>
                  <w:color w:val="0000FF"/>
                  <w:w w:val="92"/>
                </w:rPr>
                <w:t>Executive Vice President, Chief Financial Officer (Principal Accounting and Financial Officer)</w:t>
              </w:r>
            </w:hyperlink>
          </w:p>
        </w:tc>
        <w:tc>
          <w:tcPr>
            <w:tcW w:w="2980" w:type="dxa"/>
            <w:vAlign w:val="bottom"/>
            <w:tcBorders>
              <w:top w:val="single" w:sz="8" w:color="0000FF"/>
            </w:tcBorders>
            <w:gridSpan w:val="9"/>
          </w:tcPr>
          <w:p>
            <w:pPr>
              <w:spacing w:after="0"/>
              <w:rPr>
                <w:sz w:val="17"/>
                <w:szCs w:val="17"/>
                <w:color w:val="auto"/>
              </w:rPr>
            </w:pPr>
          </w:p>
        </w:tc>
        <w:tc>
          <w:tcPr>
            <w:tcW w:w="480" w:type="dxa"/>
            <w:vAlign w:val="bottom"/>
            <w:gridSpan w:val="13"/>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5"/>
          </w:tcPr>
          <w:p>
            <w:pPr>
              <w:ind w:left="3300"/>
              <w:spacing w:after="0"/>
              <w:rPr>
                <w:sz w:val="20"/>
                <w:szCs w:val="20"/>
                <w:color w:val="auto"/>
              </w:rPr>
            </w:pPr>
            <w:r>
              <w:rPr>
                <w:rFonts w:ascii="Arial" w:cs="Arial" w:eastAsia="Arial" w:hAnsi="Arial"/>
                <w:sz w:val="18"/>
                <w:szCs w:val="18"/>
                <w:b w:val="1"/>
                <w:bCs w:val="1"/>
                <w:color w:val="auto"/>
              </w:rPr>
              <w:t>EXHIBIT INDEX (CONTINUED)</w:t>
            </w:r>
          </w:p>
        </w:tc>
      </w:tr>
      <w:tr>
        <w:trPr>
          <w:trHeight w:val="378"/>
        </w:trPr>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720" w:type="dxa"/>
            <w:vAlign w:val="bottom"/>
            <w:gridSpan w:val="4"/>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5"/>
          </w:tcPr>
          <w:p>
            <w:pPr>
              <w:spacing w:after="0" w:line="196" w:lineRule="exact"/>
              <w:rPr>
                <w:rFonts w:ascii="Arial" w:cs="Arial" w:eastAsia="Arial" w:hAnsi="Arial"/>
                <w:sz w:val="18"/>
                <w:szCs w:val="18"/>
                <w:color w:val="0000FF"/>
                <w:w w:val="92"/>
              </w:rPr>
            </w:pPr>
            <w:hyperlink w:anchor="page99">
              <w:r>
                <w:rPr>
                  <w:rFonts w:ascii="Arial" w:cs="Arial" w:eastAsia="Arial" w:hAnsi="Arial"/>
                  <w:sz w:val="18"/>
                  <w:szCs w:val="18"/>
                  <w:color w:val="0000FF"/>
                  <w:w w:val="92"/>
                </w:rPr>
                <w:t>Certification Pursuant to 18 U.S.C. Section 1350, as adopted pursuant to Section 906 of the Sarbanes-Oxley Act of 2002, by Kevin C. Clark,</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99">
              <w:r>
                <w:rPr>
                  <w:rFonts w:ascii="Arial" w:cs="Arial" w:eastAsia="Arial" w:hAnsi="Arial"/>
                  <w:sz w:val="18"/>
                  <w:szCs w:val="18"/>
                  <w:color w:val="0000FF"/>
                </w:rPr>
                <w:t>President, Chief Executive Officer (Principal Executive Officer)</w:t>
              </w:r>
            </w:hyperlink>
          </w:p>
        </w:tc>
        <w:tc>
          <w:tcPr>
            <w:tcW w:w="22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00">
              <w:r>
                <w:rPr>
                  <w:rFonts w:ascii="Arial" w:cs="Arial" w:eastAsia="Arial" w:hAnsi="Arial"/>
                  <w:sz w:val="18"/>
                  <w:szCs w:val="18"/>
                  <w:color w:val="0000FF"/>
                  <w:w w:val="90"/>
                </w:rPr>
                <w:t>Certification Pursuant to 18 U.S.C. Section 1350, as adopted pursuant to Section 906 of the Sarbanes-Oxley Act of 2002, by William J. Burns,</w:t>
              </w:r>
            </w:hyperlink>
          </w:p>
        </w:tc>
        <w:tc>
          <w:tcPr>
            <w:tcW w:w="8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00">
              <w:r>
                <w:rPr>
                  <w:rFonts w:ascii="Arial" w:cs="Arial" w:eastAsia="Arial" w:hAnsi="Arial"/>
                  <w:sz w:val="18"/>
                  <w:szCs w:val="18"/>
                  <w:color w:val="0000FF"/>
                  <w:w w:val="92"/>
                </w:rPr>
                <w:t>Executive Vice President, Chief Financial Officer (Principal Accounting and Financial Officer)</w:t>
              </w:r>
            </w:hyperlink>
          </w:p>
        </w:tc>
        <w:tc>
          <w:tcPr>
            <w:tcW w:w="3480" w:type="dxa"/>
            <w:vAlign w:val="bottom"/>
            <w:gridSpan w:val="3"/>
          </w:tcPr>
          <w:p>
            <w:pPr>
              <w:spacing w:after="0"/>
              <w:rPr>
                <w:sz w:val="17"/>
                <w:szCs w:val="17"/>
                <w:color w:val="auto"/>
              </w:rPr>
            </w:pPr>
          </w:p>
        </w:tc>
      </w:tr>
      <w:tr>
        <w:trPr>
          <w:trHeight w:val="858"/>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10340" w:type="dxa"/>
            <w:vAlign w:val="bottom"/>
            <w:gridSpan w:val="5"/>
          </w:tcPr>
          <w:p>
            <w:pPr>
              <w:ind w:left="680"/>
              <w:spacing w:after="0"/>
              <w:rPr>
                <w:sz w:val="20"/>
                <w:szCs w:val="20"/>
                <w:color w:val="auto"/>
              </w:rPr>
            </w:pPr>
            <w:r>
              <w:rPr>
                <w:rFonts w:ascii="Arial" w:cs="Arial" w:eastAsia="Arial" w:hAnsi="Arial"/>
                <w:sz w:val="18"/>
                <w:szCs w:val="18"/>
                <w:color w:val="auto"/>
              </w:rPr>
              <w:t>XBRL Instance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3"/>
                <w:szCs w:val="23"/>
                <w:color w:val="auto"/>
              </w:rPr>
            </w:pPr>
          </w:p>
        </w:tc>
        <w:tc>
          <w:tcPr>
            <w:tcW w:w="10340" w:type="dxa"/>
            <w:vAlign w:val="bottom"/>
            <w:gridSpan w:val="5"/>
          </w:tcPr>
          <w:p>
            <w:pPr>
              <w:ind w:left="6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3"/>
                <w:szCs w:val="23"/>
                <w:color w:val="auto"/>
              </w:rPr>
            </w:pPr>
          </w:p>
        </w:tc>
        <w:tc>
          <w:tcPr>
            <w:tcW w:w="10340" w:type="dxa"/>
            <w:vAlign w:val="bottom"/>
            <w:gridSpan w:val="5"/>
          </w:tcPr>
          <w:p>
            <w:pPr>
              <w:ind w:left="6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10340" w:type="dxa"/>
            <w:vAlign w:val="bottom"/>
            <w:gridSpan w:val="5"/>
          </w:tcPr>
          <w:p>
            <w:pPr>
              <w:ind w:left="6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10340" w:type="dxa"/>
            <w:vAlign w:val="bottom"/>
            <w:gridSpan w:val="5"/>
          </w:tcPr>
          <w:p>
            <w:pPr>
              <w:ind w:left="6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3"/>
                <w:szCs w:val="23"/>
                <w:color w:val="auto"/>
              </w:rPr>
            </w:pPr>
          </w:p>
        </w:tc>
        <w:tc>
          <w:tcPr>
            <w:tcW w:w="10340" w:type="dxa"/>
            <w:vAlign w:val="bottom"/>
            <w:gridSpan w:val="5"/>
          </w:tcPr>
          <w:p>
            <w:pPr>
              <w:ind w:left="680"/>
              <w:spacing w:after="0"/>
              <w:rPr>
                <w:sz w:val="20"/>
                <w:szCs w:val="20"/>
                <w:color w:val="auto"/>
              </w:rPr>
            </w:pPr>
            <w:r>
              <w:rPr>
                <w:rFonts w:ascii="Arial" w:cs="Arial" w:eastAsia="Arial" w:hAnsi="Arial"/>
                <w:sz w:val="18"/>
                <w:szCs w:val="18"/>
                <w:color w:val="auto"/>
              </w:rPr>
              <w:t>PRE 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CROSS COUNTRY HEALTHCARE, INC.</w:t>
      </w:r>
    </w:p>
    <w:p>
      <w:pPr>
        <w:spacing w:after="0" w:line="33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Kevin C. Clark</w:t>
            </w:r>
          </w:p>
        </w:tc>
      </w:tr>
      <w:tr>
        <w:trPr>
          <w:trHeight w:val="27"/>
        </w:trPr>
        <w:tc>
          <w:tcPr>
            <w:tcW w:w="6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Name: Kevin C. Clark</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Title: President, Chief Executive Officer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Date: February 28, 2019</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indicated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5240" w:type="dxa"/>
            <w:vAlign w:val="bottom"/>
            <w:gridSpan w:val="2"/>
          </w:tcPr>
          <w:p>
            <w:pPr>
              <w:ind w:left="2380"/>
              <w:spacing w:after="0"/>
              <w:rPr>
                <w:sz w:val="20"/>
                <w:szCs w:val="20"/>
                <w:color w:val="auto"/>
              </w:rPr>
            </w:pPr>
            <w:r>
              <w:rPr>
                <w:rFonts w:ascii="Arial" w:cs="Arial" w:eastAsia="Arial" w:hAnsi="Arial"/>
                <w:sz w:val="18"/>
                <w:szCs w:val="18"/>
                <w:b w:val="1"/>
                <w:bCs w:val="1"/>
                <w:color w:val="auto"/>
              </w:rPr>
              <w:t>Title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4"/>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Kevin C. Clark</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5"/>
              </w:rPr>
              <w:t>Kevin C. Clark</w:t>
            </w:r>
          </w:p>
        </w:tc>
        <w:tc>
          <w:tcPr>
            <w:tcW w:w="120" w:type="dxa"/>
            <w:vAlign w:val="bottom"/>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William J. Burns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&amp; Chief Financial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and Financial Officer)</w:t>
            </w: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4"/>
              </w:rPr>
              <w:t>William J. Burns</w:t>
            </w:r>
          </w:p>
        </w:tc>
        <w:tc>
          <w:tcPr>
            <w:tcW w:w="120" w:type="dxa"/>
            <w:vAlign w:val="bottom"/>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W. Larry Cash</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W. Larry Cash</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Thomas C. Dircks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Thomas C. Dircks</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Gale Fitzgerald</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Gale Fitzgerald</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89"/>
              </w:rPr>
              <w:t>/s/ Darrell S. Freeman, Sr.</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9"/>
              </w:rPr>
              <w:t>Darrell S. Freeman, Sr.</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 Richard M. Mastaler</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3"/>
              </w:rPr>
              <w:t>Richard M. Mastaler</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 Mark Perlberg</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Mark Perlberg</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 Joseph A. Trunfio</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Joseph A. Trunfio</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796" w:right="239" w:bottom="1440" w:gutter="0" w:footer="0" w:header="0"/>
          <w:type w:val="continuous"/>
        </w:sectPr>
      </w:pPr>
    </w:p>
    <w:bookmarkStart w:id="50" w:name="page51"/>
    <w:bookmarkEnd w:id="50"/>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0" w:type="dxa"/>
            <w:vAlign w:val="bottom"/>
            <w:gridSpan w:val="7"/>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7"/>
        </w:trPr>
        <w:tc>
          <w:tcPr>
            <w:tcW w:w="107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Cross Country Healthcare, Inc.</w:t>
            </w: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700" w:type="dxa"/>
            <w:vAlign w:val="bottom"/>
            <w:gridSpan w:val="9"/>
            <w:vMerge w:val="continue"/>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4220" w:type="dxa"/>
            <w:vAlign w:val="bottom"/>
            <w:gridSpan w:val="2"/>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Report of Independent Registered Public Accounting Firm</w:t>
              </w:r>
            </w:hyperlink>
          </w:p>
        </w:tc>
        <w:tc>
          <w:tcPr>
            <w:tcW w:w="632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2">
              <w:r>
                <w:rPr>
                  <w:rFonts w:ascii="Arial" w:cs="Arial" w:eastAsia="Arial" w:hAnsi="Arial"/>
                  <w:sz w:val="18"/>
                  <w:szCs w:val="18"/>
                  <w:color w:val="0000FF"/>
                  <w:w w:val="87"/>
                </w:rPr>
                <w:t>F- 2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Balance Sheets as of December 31, 2018 and 2017</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F- 3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Operations for the Years Ended December 31, 2018, 2017, and 2016</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4">
              <w:r>
                <w:rPr>
                  <w:rFonts w:ascii="Arial" w:cs="Arial" w:eastAsia="Arial" w:hAnsi="Arial"/>
                  <w:sz w:val="18"/>
                  <w:szCs w:val="18"/>
                  <w:color w:val="0000FF"/>
                  <w:w w:val="87"/>
                </w:rPr>
                <w:t>F- 4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8380" w:type="dxa"/>
            <w:vAlign w:val="bottom"/>
            <w:gridSpan w:val="7"/>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Comprehensive (Loss) Income for the Years Ended December 31, 2018, 2017, and 2016</w:t>
              </w:r>
            </w:hyperlink>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5">
              <w:r>
                <w:rPr>
                  <w:rFonts w:ascii="Arial" w:cs="Arial" w:eastAsia="Arial" w:hAnsi="Arial"/>
                  <w:sz w:val="18"/>
                  <w:szCs w:val="18"/>
                  <w:color w:val="0000FF"/>
                  <w:w w:val="87"/>
                </w:rPr>
                <w:t>F- 5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8380" w:type="dxa"/>
            <w:vAlign w:val="bottom"/>
            <w:gridSpan w:val="7"/>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Consolidated Statements of Stockholders’ Equity for the Years Ended December 31, 2018, 2017, and 2016</w:t>
              </w:r>
            </w:hyperlink>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6">
              <w:r>
                <w:rPr>
                  <w:rFonts w:ascii="Arial" w:cs="Arial" w:eastAsia="Arial" w:hAnsi="Arial"/>
                  <w:sz w:val="18"/>
                  <w:szCs w:val="18"/>
                  <w:color w:val="0000FF"/>
                  <w:w w:val="87"/>
                </w:rPr>
                <w:t>F- 6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680" w:type="dxa"/>
            <w:vAlign w:val="bottom"/>
            <w:gridSpan w:val="6"/>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Consolidated Statements of Cash Flows for the Years Ended December 31, 2018, 2017, and 2016</w:t>
              </w:r>
            </w:hyperlink>
          </w:p>
        </w:tc>
        <w:tc>
          <w:tcPr>
            <w:tcW w:w="28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F- 7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000" w:type="dxa"/>
            <w:vAlign w:val="bottom"/>
            <w:gridSpan w:val="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35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8">
              <w:r>
                <w:rPr>
                  <w:rFonts w:ascii="Arial" w:cs="Arial" w:eastAsia="Arial" w:hAnsi="Arial"/>
                  <w:sz w:val="18"/>
                  <w:szCs w:val="18"/>
                  <w:color w:val="0000FF"/>
                  <w:w w:val="87"/>
                </w:rPr>
                <w:t>F- 8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70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 Schedule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Schedule II – Valuation and Qualifying Accounts for the Years Ended December 31, 2018, 2017, and 2016</w:t>
              </w:r>
            </w:hyperlink>
          </w:p>
        </w:tc>
        <w:tc>
          <w:tcPr>
            <w:tcW w:w="200" w:type="dxa"/>
            <w:vAlign w:val="bottom"/>
          </w:tcPr>
          <w:p>
            <w:pPr>
              <w:spacing w:after="0"/>
              <w:rPr>
                <w:sz w:val="24"/>
                <w:szCs w:val="24"/>
                <w:color w:val="auto"/>
              </w:rPr>
            </w:pPr>
          </w:p>
        </w:tc>
        <w:tc>
          <w:tcPr>
            <w:tcW w:w="480" w:type="dxa"/>
            <w:vAlign w:val="bottom"/>
            <w:gridSpan w:val="2"/>
          </w:tcPr>
          <w:p>
            <w:pPr>
              <w:jc w:val="center"/>
              <w:ind w:right="180"/>
              <w:spacing w:after="0"/>
              <w:rPr>
                <w:rFonts w:ascii="Arial" w:cs="Arial" w:eastAsia="Arial" w:hAnsi="Arial"/>
                <w:sz w:val="18"/>
                <w:szCs w:val="18"/>
                <w:color w:val="0000FF"/>
                <w:w w:val="96"/>
              </w:rPr>
            </w:pPr>
            <w:hyperlink w:anchor="page94">
              <w:r>
                <w:rPr>
                  <w:rFonts w:ascii="Arial" w:cs="Arial" w:eastAsia="Arial" w:hAnsi="Arial"/>
                  <w:sz w:val="18"/>
                  <w:szCs w:val="18"/>
                  <w:color w:val="0000FF"/>
                  <w:w w:val="96"/>
                </w:rPr>
                <w:t>II- 1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Schedules not filed herewith are either not applicable, the information is not material or the information is set forth in the consolidated financial statements or notes thereto.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1420"/>
          </w:cols>
          <w:pgMar w:left="240" w:top="796" w:right="2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Cross Country Healthcare,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Cross Country Healthcare, Inc. and subsidiaries (the "Company") as of December 31, 2018 and 2017, the related consolidated statements of operations, comprehensive income, stockholders' equity, and cash flows, for each of the three years in the period ended December 31, 2018, and the related notes and the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2019,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Boca Raton, Florida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00"/>
          </w:cols>
          <w:pgMar w:left="240" w:top="796" w:right="2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for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25,537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$3,705 in 2018 and $3,688 in 2017</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166,128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173,603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4,186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3,497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194,905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208,887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101,060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117,589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55,182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60,976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18,076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19,228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427,003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467,687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50,597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33,332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34,271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2,845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85,386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94,588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77,944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92,259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accrued claims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7,409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5,088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208,805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229,968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83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Common stock—$0.0001 par value; 100,000,000 shares authorized; 35,625,692 and 35,838,108 shares issued and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outstanding at December 31, 2018 and 2017, respectively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303,048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305,362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(84,062)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(67,111)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Cross Country Healthcare, Inc.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217,528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 in subsidiary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630</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218,198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237,719</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427,003</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467,687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r>
        <w:rPr>
          <w:rFonts w:ascii="Arial" w:cs="Arial" w:eastAsia="Arial" w:hAnsi="Arial"/>
          <w:sz w:val="14"/>
          <w:szCs w:val="14"/>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1013"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816,484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865,048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833,537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606,921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636,462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611,802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179,820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24,311</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829,364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853,300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827,353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attributable to common shareholders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attributable to common shareholders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35,657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32,132</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36,246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420"/>
          </w:cols>
          <w:pgMar w:left="240" w:top="1013" w:right="239" w:bottom="1440" w:gutter="0" w:footer="0" w:header="0"/>
        </w:sectPr>
      </w:pPr>
    </w:p>
    <w:bookmarkStart w:id="54" w:name="page55"/>
    <w:bookmarkEnd w:id="54"/>
    <w:p>
      <w:pPr>
        <w:jc w:val="center"/>
        <w:ind w:left="260" w:right="2660"/>
        <w:spacing w:after="0" w:line="266" w:lineRule="auto"/>
        <w:rPr>
          <w:sz w:val="20"/>
          <w:szCs w:val="20"/>
          <w:color w:val="auto"/>
        </w:rPr>
      </w:pPr>
      <w:r>
        <w:rPr>
          <w:rFonts w:ascii="Arial" w:cs="Arial" w:eastAsia="Arial" w:hAnsi="Arial"/>
          <w:sz w:val="18"/>
          <w:szCs w:val="18"/>
          <w:b w:val="1"/>
          <w:bCs w:val="1"/>
          <w:color w:val="auto"/>
        </w:rPr>
        <w:t>CROSS COUNTRY HEALTHCARE, INC. CONSOLIDATED STATEMENTS OF COMPREHENSIVE (LOSS) INCOME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Consolidated 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8,731</w:t>
            </w:r>
          </w:p>
        </w:tc>
      </w:tr>
      <w:tr>
        <w:trPr>
          <w:trHeight w:val="32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(loss) gain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interest rate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Reclassification adjustment to interest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Taxes on other comprehensive (loss)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related to 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tax benefit related to unrealized loss on interest rate contracts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related to reclassification adjustment to 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38,877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common shareholders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37,588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20"/>
          </w:cols>
          <w:pgMar w:left="240" w:top="101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228600</wp:posOffset>
            </wp:positionV>
            <wp:extent cx="5428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86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Other Total</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(Accumulated</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Deficit) Retained</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Loss, net</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Earnings</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Subsidiary</w:t>
            </w:r>
          </w:p>
        </w:tc>
        <w:tc>
          <w:tcPr>
            <w:tcW w:w="12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6"/>
                <w:szCs w:val="16"/>
                <w:color w:val="auto"/>
              </w:rPr>
              <w:t>Balances at December 31, 2015</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31,952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254,108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(112,056)</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141,344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Vesting of restricted stock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performance stock awards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w w:val="95"/>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8,731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2016</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151,802</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of restricted stock and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performance stock awards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Shares issued for Convertible Notes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45,952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Cumulative-effect adjustment - share-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Foreign currency translation adjustment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38,802</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December 31, 2017</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35,838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305,362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(67,111)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237,719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Vesting of restricted stock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performance stock awards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Stock repurchase and retirement</w:t>
            </w:r>
          </w:p>
        </w:tc>
        <w:tc>
          <w:tcPr>
            <w:tcW w:w="80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Foreign currency translation adjustment,</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of taxes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w w:val="91"/>
              </w:rPr>
              <w:t>Net change in hedging transaction, net of</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taxes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Net (loss)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(15,717)</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2018</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303,048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218,198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101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Consolidated net (loss)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(15,717)</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38,802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8,731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10,174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9,182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debt discount and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Provision for allowances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4,034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Gain on derivative liability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(5,805)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22,423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Loss on early extinguishment of debt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1,568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non-cash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9,708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(30,781)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20,370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20,997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45,508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30,145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6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(85,977)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(6,522)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(9,780)</w:t>
            </w:r>
          </w:p>
        </w:tc>
      </w:tr>
      <w:tr>
        <w:trPr>
          <w:trHeight w:val="129"/>
        </w:trPr>
        <w:tc>
          <w:tcPr>
            <w:tcW w:w="67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Term Loans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Principal payments on 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(30,500)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Convertible Note cash payment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 on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59,800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Repayments on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(67,800)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Extinguishment fees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repurchase and retirement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23"/>
        </w:trPr>
        <w:tc>
          <w:tcPr>
            <w:tcW w:w="67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18,177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20,630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2,453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54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9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paid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3,408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3,893</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796" w:right="239" w:bottom="815"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Cross Country Healthcare, Inc. (the Company) was incorporated in Delaware on July 29, 1999 as a business providing travel nurse and allied health staffing services. As of December 31, 2018, the Company is a leading national provider of nurse and allied staffing, recruiting, and value-added workforce solution services, multi-specialty locum tenens (temporary physician staffing) services, as well as a provider of other human capital management services focused on healthcare.</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consolidated financial statements include the accounts of the Company and its direct and indirect wholly-owned subsidiaries. The consolidated financial statements include all assets, liabilities, revenue, and expenses of Cross Country Talent Acquisition Group, LLC (formerly InteliStaf of Oklahoma, LLC), which is controlled by the Company but not wholly owned. The Company records the ownership interest of the noncontrolling shareholder as noncontrolling interest in subsidiary. All intercompany transactions and balances have been eliminated in consolidation.</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consolidated balance sheets and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current projections, the Company will not satisfy the required leverage ratio under its Credit Agreement as of March 31, 2019. As a result, a debt prepayment of between $10 million and $12 million would be required to remain in compliance. The Company believes such prepayment will be sufficient to maintain compliance with the leverage ratio covenant and meet its obligations for the next twelve months. In the event actual results differ significantly from current projections, the Company may be required to make additional debt prepayments. Further, the Company may be able to amend its Credit Agreement, and as a result, would not be required to make any debt prepayments.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preparation of consolidated financial statements in conformity with United States generally accepted accounting principles (U.S. GAAP), requires management to make estimates and assumptions that affect the reported amounts in the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fair value of interest rate swap agreement;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Company considers all investments with original maturities of three months or less to be cash and cash equivalents. The Company invests its excess cash in highly rated overnight funds and other highly rated liquid accounts. The Company is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 The Company does not currently anticipate nonperformance by any of its significant counterparties.</w:t>
      </w:r>
    </w:p>
    <w:p>
      <w:pPr>
        <w:spacing w:after="0" w:line="1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Interest income on cash and cash equivalents of $0.4 million for the year ended December 31, 2018, and $0.1 million for the years ended December 31, 2017 and 2016, is included in other income, net,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20"/>
          </w:cols>
          <w:pgMar w:left="240" w:top="243"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Allowance for Doubtful Accounts, and Concentration of Credit Risk</w:t>
      </w:r>
    </w:p>
    <w:p>
      <w:pPr>
        <w:spacing w:after="0" w:line="23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Accounts receivable potentially subject the Company to concentrations of credit risk. The Company’s customers are primarily healthcare providers, and accounts receivable represent amounts due from them. The Company generally does not require collateral and mitigates its credit risk by performing credit evaluations and monitoring at-risk accounts. The allowance for doubtful accounts represents the Company’s estimate of uncollectible receivables resulting from the inability of its customers to make required payments, which results in a provision for bad debt expense. The adequacy of this allowance is determined by continually evaluating individual customer receivables, considering the customer's financial condition, credit history, and current economic conditions. The Company writes off specific accounts based on an ongoing review of collectability as well as past experience with the customer. In addition, the Company maintains a sales allowance for customer disputes which may arise in the ordinary course, which is recorded as contra-revenue. Historically, losses on uncollectible accounts and sales allowances have not exceeded our allowances.</w:t>
      </w:r>
    </w:p>
    <w:p>
      <w:pPr>
        <w:spacing w:after="0" w:line="28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Company’s contract terms typically require payment between 15 to 60 days from the date of invoice and are considered past due based on the particular negotiated contract terms. The majority of the Company's business activity is with hospitals located throughout the United States. No single customer accounted for more than 10% of the Company’s accounts receivable balance as of December 31, 2018 and 2017, or revenue for the years ended December 31, 2018, 2017, and 2016.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Rent and Deposits</w:t>
      </w:r>
    </w:p>
    <w:p>
      <w:pPr>
        <w:spacing w:after="0" w:line="177"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Company leases apartments for eligible field employees under short-term agreements (typically three to six months), which generally coincide with each employee’s staffing contract. Costs relating to these leases are included in direct operating expenses on the accompanying consolidated statements of operations. As a condition of these agreements, the Company may place security deposits on the leased apartments. Deposits on field employees’ apartments related to these short-term agreements are included in other current assets on the accompanying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31" w:lineRule="exact"/>
        <w:rPr>
          <w:sz w:val="20"/>
          <w:szCs w:val="20"/>
          <w:color w:val="auto"/>
        </w:rPr>
      </w:pPr>
    </w:p>
    <w:p>
      <w:pPr>
        <w:jc w:val="both"/>
        <w:ind w:right="80"/>
        <w:spacing w:after="0" w:line="289" w:lineRule="auto"/>
        <w:rPr>
          <w:sz w:val="20"/>
          <w:szCs w:val="20"/>
          <w:color w:val="auto"/>
        </w:rPr>
      </w:pPr>
      <w:r>
        <w:rPr>
          <w:rFonts w:ascii="Arial" w:cs="Arial" w:eastAsia="Arial" w:hAnsi="Arial"/>
          <w:sz w:val="16"/>
          <w:szCs w:val="16"/>
          <w:color w:val="auto"/>
        </w:rPr>
        <w:t>Property and equipment are stated at cost, less accumulated depreciation. Depreciation is determined on a straight-line basis over the estimated useful lives of the assets, which generally range from three to seven years. Leasehold improvements are depreciated over the shorter of their estimated useful life or the term of the individual lease. On an annual basis, the Company reviews its property and equipment listings and disposes of assets that are no longer in use.</w:t>
      </w:r>
    </w:p>
    <w:p>
      <w:pPr>
        <w:spacing w:after="0" w:line="14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 xml:space="preserve">Certain software development costs have been capitalized in accordance with the provisions of the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xml:space="preserve"> Topic of the Financial Accounting Standards Board (FASB) Accounting Standards Codification (ASC). Such costs include charges for consulting services and costs for Company personnel associated with programming, coding, and testing such software. Amortization of capitalized software costs begins when the software is ready for use and is included in depreciation expense in the accompanying consolidated statements of operations. Software development costs are being amortized using the straight-line method over three to five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The Company applies accounting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 when it acquires control over a business. Business combinations are accounted for at fair value. The associated acquisition costs are expensed as incurred and recorded as acquisition and integration costs; noncontrolling interests, if any, are reflected at fair value at the acquisition date; restructuring costs associated with a business combination are expensed; contingent consideration is measured at fair value at the acquisition date, with changes in the fair value after the acquisition date affecting earnings; and goodwill is determined as the excess of the fair value of the consideration conveyed in the acquisition over the fair value of the net assets acquired. The accounting for business combinations requires estimates and judgments as to expectations for future cash flows of the acquired business, and the allocation of those cash flows to identifiable intangible assets, in determining the estimated fair value for assets and liabilities acquired. The fair values assigned to tangible and intangible assets acquired and liabilities assumed are based on management's estimates and assumptions, including valuations that utilize customary valuation procedures and techniques.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The results of the acquired businesses' operations are included in the consolidated statements of operations of the combined entity beginning on the date of acquisition. See Note 4 - Acquisitions.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3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range from 1 to 16 years. Goodwill and certain intangible assets with indefinite lives are not amortized. Instead, in accordance with the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Topic of the FASB ASC, these assets are reviewed for impairment annually at the beginning of the fourth quarter, and whenever circumstances change that would more likely than not reduce the fair value of a reporting unit below its carrying amount.</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generally measures the fair value of its reporting units using a combination of income and market approaches.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prior to the fourth quarter of 2017, the performance of the quantitative impairment test involved a two-step process. The first step required the Company to determine the fair value of each of its reporting units and compare it to the reporting unit’s carrying amount. If the reporting unit's fair value was less than its carrying amount, the Company was required to perform a second step to calculate the implied value of goodwill. The implied value was then compared to its carrying amount to calculate the impairment charge, if any.</w:t>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Beginning in the fourth quarter of 2017, for its annual review on October, 1, 2017, the Company early adopted the provisions of Accounting Standards Update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Under ASU 2017-04, the second step of the quantitative assessment is eliminated, and, if the reporting unit’s carrying value exceeds its fair value, an impairment charge is recognized for the amount by which the carrying amount exceeds the reporting unit’s fair value not to exceed the total amount of goodwill allocated to that reporting unit. Additionally, income tax effects from any tax deductible goodwill on the carrying amount of the reporting unit when measuring the goodwill impairment loss is considered, if applicable.</w:t>
      </w:r>
    </w:p>
    <w:p>
      <w:pPr>
        <w:spacing w:after="0" w:line="119"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Company determines its reporting units by identifying its operating segments and any component businesses and aggregates the components businesses if they have similar economic characteristics. The Company had the following reporting units that it reviewed for impairment: 1) Nurse and Allied Staffing; 2) Physician Staffing; and 3) Search.</w:t>
      </w:r>
    </w:p>
    <w:p>
      <w:pPr>
        <w:spacing w:after="0" w:line="114" w:lineRule="exact"/>
        <w:rPr>
          <w:sz w:val="20"/>
          <w:szCs w:val="20"/>
          <w:color w:val="auto"/>
        </w:rPr>
      </w:pPr>
    </w:p>
    <w:p>
      <w:pPr>
        <w:jc w:val="both"/>
        <w:ind w:right="60"/>
        <w:spacing w:after="0" w:line="314" w:lineRule="auto"/>
        <w:rPr>
          <w:sz w:val="20"/>
          <w:szCs w:val="20"/>
          <w:color w:val="auto"/>
        </w:rPr>
      </w:pPr>
      <w:r>
        <w:rPr>
          <w:rFonts w:ascii="Arial" w:cs="Arial" w:eastAsia="Arial" w:hAnsi="Arial"/>
          <w:sz w:val="16"/>
          <w:szCs w:val="16"/>
          <w:color w:val="auto"/>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spacing w:after="0" w:line="59"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 xml:space="preserve">Long-lived assets and identifiable intangible assets with definite lives are evaluated for impairment in accordance with the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of the FASB ASC. In accordance with this Topic, long-lived assets and definite-lived intangible assets are reviewed for impairment whenever events or changes in circumstances indicate the carrying amount may not be recoverable.</w:t>
      </w:r>
    </w:p>
    <w:p>
      <w:pPr>
        <w:spacing w:after="0" w:line="182"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w:t>
      </w:r>
    </w:p>
    <w:p>
      <w:pPr>
        <w:spacing w:after="0" w:line="11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Any related impairment losses are recognized in earnings and included in the caption impairment charges on the consolidated statements of operations. See Note 5 - Goodwill, Trade Names, and Other Intangible Assets.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 and Debt Issuance Costs</w:t>
      </w:r>
    </w:p>
    <w:p>
      <w:pPr>
        <w:spacing w:after="0" w:line="2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Stated discounts on proceeds, and other fees reimbursed to lender, as well as the initial value of any embedded derivative features of the Convertible Notes and Term Loans, as defined in Note 8 - Debt, are treated as a discount associated with the respective debt instrument and presented in the balance sheet as an offset to the carrying amount of the debt. Discounts are amortized to interest expense using the effective interest rate method, or a method that approximates the effective interest rate method, over the expected life of the debt.</w:t>
      </w:r>
    </w:p>
    <w:p>
      <w:pPr>
        <w:spacing w:after="0" w:line="1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Deferred costs related to the issuance of the Convertible Notes and the Term Loans were capitalized and are presented in the balance sheet as a direct deduction from the carrying amount of the debt liability. Deferred costs are amortized using the effective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380"/>
          </w:cols>
          <w:pgMar w:left="240" w:top="337"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interest method. Deferred costs related to the Convertible Notes were written off in connection with the repayment of such Convertible Notes. See Note 8 - Debt.</w:t>
      </w:r>
    </w:p>
    <w:p>
      <w:pPr>
        <w:spacing w:after="0" w:line="221" w:lineRule="exact"/>
        <w:rPr>
          <w:sz w:val="20"/>
          <w:szCs w:val="20"/>
          <w:color w:val="auto"/>
        </w:rPr>
      </w:pPr>
    </w:p>
    <w:p>
      <w:pPr>
        <w:ind w:right="440"/>
        <w:spacing w:after="0" w:line="314" w:lineRule="auto"/>
        <w:rPr>
          <w:sz w:val="20"/>
          <w:szCs w:val="20"/>
          <w:color w:val="auto"/>
        </w:rPr>
      </w:pPr>
      <w:r>
        <w:rPr>
          <w:rFonts w:ascii="Arial" w:cs="Arial" w:eastAsia="Arial" w:hAnsi="Arial"/>
          <w:sz w:val="16"/>
          <w:szCs w:val="16"/>
          <w:color w:val="auto"/>
        </w:rPr>
        <w:t>Deferred costs related to the issuance of the Company’s Revolving Credit Facilities, as defined in Note 8 - Debt, have been capitalized and included in other assets on the consolidated balance sheets, and amortized using the straight line method over the term of the related credit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 is exposed to interest rate risk due to its outstanding senior secured term loan entered into on August 1, 2017 with a variable interest rate. As a result, the Company has entered into an interest rate swap agreement to effectively convert a portion of its variable interest payments to a fixed rate. The principal objective of the interest rate swap is to eliminate or reduce the variability of the cash flows in those interest payments associated with the Company’s long-term debt, thus reducing the impact of interest rate changes on future interest payment cash flows. The Company has determined that the interest rate swap qualifies as a cash flow hedge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the critical terms of the hedging instrument and the hedged forecasted transaction are the same, the Company has concluded that changes in the cash flows attributable to the risk being hedged are expected to completely offset at inception and on an ongoing basis. Changes in the fair value of an interest rate swap agreement designated as a cash flow hedge are recorded as a component of accumulated other comprehensive income (loss), net of deferred taxes, within stockholders’ equity and are amortized to interest expense over the term of the related debt as the interest payments are made. Interest rate swap payments are included in net cash provided by operating activities on the Company’s consolidated statement of cash flows.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In conjunction with entering into the interest rate swap agreement, the Company early adopted ASU 2017-12, </w:t>
      </w:r>
      <w:r>
        <w:rPr>
          <w:rFonts w:ascii="Arial" w:cs="Arial" w:eastAsia="Arial" w:hAnsi="Arial"/>
          <w:sz w:val="18"/>
          <w:szCs w:val="18"/>
          <w:i w:val="1"/>
          <w:iCs w:val="1"/>
          <w:color w:val="auto"/>
        </w:rPr>
        <w:t>Derivative and Hedging (Topic 815)</w:t>
      </w:r>
      <w:r>
        <w:rPr>
          <w:rFonts w:ascii="Arial" w:cs="Arial" w:eastAsia="Arial" w:hAnsi="Arial"/>
          <w:sz w:val="18"/>
          <w:szCs w:val="18"/>
          <w:color w:val="auto"/>
        </w:rPr>
        <w:t xml:space="preserve"> to simplify the application of hedge accounting. See Note 9 - Derivatives.</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Company evaluates embedded conversion features within its convertible debt in accordance with the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Topic of the FASB ASC to determine whether the embedded conversion feature should be bifurcated from the host instrument and accounted for as a derivative at fair value. Changes in the fair value of these derivatives during each reporting period were reported in other expenses (income) on the consolidated statements of operations. The fair value at inception had been recorded as debt discount and was being amortized to interest expense over the term of the note using the effective interest method. On March 17, 2017, the Company paid in full its Convertible Notes and, as a result, derecognized the derivative liability. See Note 8 -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Other State Non-income Tax Liabilities</w:t>
      </w:r>
    </w:p>
    <w:p>
      <w:pPr>
        <w:spacing w:after="0" w:line="23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Company accrues sales and other state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Claims</w:t>
      </w:r>
    </w:p>
    <w:p>
      <w:pPr>
        <w:spacing w:after="0" w:line="23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spacing w:after="0" w:line="158"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Other Expenses/Insurance Costs</w:t>
      </w:r>
      <w:r>
        <w:rPr>
          <w:rFonts w:ascii="Arial" w:cs="Arial" w:eastAsia="Arial" w:hAnsi="Arial"/>
          <w:sz w:val="15"/>
          <w:szCs w:val="15"/>
          <w:color w:val="auto"/>
        </w:rPr>
        <w:t xml:space="preserve"> Topic of the FASB ASC previously issued authoritative accounting guidance in the area of insurance contracts and related activity thereto. This topic concluded that, 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20"/>
          </w:cols>
          <w:pgMar w:left="240" w:top="337"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Accordingly, the Company’s consolidated balance sheets as of December 31, 2018 and 2017 reflect the related short-term liabilities in accrued compensation and benefits and the related long-term liabilities as long-term accrued claims, and the short-term receivable portion as insurance recovery receivable and the long-term portion as non-current insurance recovery receivable.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13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Workers’ compensation benefits are provided under a partially self-insured plan. The Company has letters of credit to guarantee payments of claims. At December 31, 2018 and 2017, the Company had outstanding approximately $18.8 million and $19.6 million, respectively, of standby letters of credit as collateral to secure the self-insured portion of this plan.</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 has occurrence-based primary professional liability policies that provide the Company and each working professional in its nurse and allied healthcare business with coverage. Effective January 1, 2016, the Company has a claims-made professional liability policy for its physicians and advanced practitioners, with a $0.5 million self-insured retention per claim. Prior to January 1, 2016, the Company had an occurrence-based professional liability policy for its independent contractor physicians and advanced practitioners which was insured by a wholly-owned subsidiary, Jamestown Indemnity, Ltd., a wholly-owned Cayman Island captive company (the Captive), until its voluntary liquidation in the third quarter of 2015. Beginning in March 2015, the Company's Physician subsidiary self-insured $0.5 million for each of its professional liability claims. Under the terms of the Captive’s reinsurance policy there was a requirement to guarantee the payment of claims to its insured party’s primary medical malpractice insurance carrier via a letter of credit. As a result of the Captive's liquidation, the letter of credit was reduced. As of December 31, 2018 and 2017, the value of the letter of credit was $1.8 million and $2.0 million, respectively.</w:t>
      </w:r>
    </w:p>
    <w:p>
      <w:pPr>
        <w:spacing w:after="0" w:line="161" w:lineRule="exact"/>
        <w:rPr>
          <w:sz w:val="20"/>
          <w:szCs w:val="20"/>
          <w:color w:val="auto"/>
        </w:rPr>
      </w:pPr>
    </w:p>
    <w:p>
      <w:pPr>
        <w:jc w:val="both"/>
        <w:ind w:right="240"/>
        <w:spacing w:after="0" w:line="243" w:lineRule="auto"/>
        <w:rPr>
          <w:sz w:val="20"/>
          <w:szCs w:val="20"/>
          <w:color w:val="auto"/>
        </w:rPr>
      </w:pPr>
      <w:r>
        <w:rPr>
          <w:rFonts w:ascii="Arial" w:cs="Arial" w:eastAsia="Arial" w:hAnsi="Arial"/>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the first quarter of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introduces a new five-step revenue recognition model in which an entity recognizes revenue when its customer obtains control of promised goods or services, in an amount that reflects the consideration to which the entity expects to be entitled in exchange for those goods or services. The new standard also requires additional disclosures about the nature, amount, timing, and uncertainty of revenue and cash flows arising from customer contracts. See Note 3 - Revenue Recognition for additional accounting policy and related disclosures. The Company elected to adopt the standard using a modified retrospective method, which only impacts contracts not completed as of December 31, 2017.</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Revenue from the Company’s services is recognized when control of the promised services are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 which is consistent with revenue recognition under the prior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nature, amount, timing, and uncertainty of revenue and cash flows from which the Company generates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Revenue from temporary staffing is recognized as control of the services is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with payment terms of 15 to 60 days. Accounts receivable includes estimated revenue for employees’ and independent contractors’ time worked but not yet invoiced. At December 31, 2018 and December 31, 2017, the Company's estimate of amounts that had been worked but had not been billed totaled $44.1 million and $41.8 million, respectively, and are included in accounts receivable on the consolidated balance sheets.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00"/>
          </w:cols>
          <w:pgMar w:left="240" w:top="337" w:right="25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 Revenue</w:t>
      </w:r>
    </w:p>
    <w:p>
      <w:pPr>
        <w:spacing w:after="0" w:line="1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which is less than 5% of its consolidated revenue for the years ended December 31, 2018, 2017, and 2016.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w:t>
      </w:r>
    </w:p>
    <w:p>
      <w:pPr>
        <w:spacing w:after="0" w:line="173"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For the Company’s RPO, other outsourcing, and retained search services, revenue is generally recognized in the amount to which the entity has a right to invoice which corresponds directly with the value to the customer. The Company does not, in the ordinary course of business, offer warranties or refunds.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revenue on a gross basis as a principal or on a net basis as an agent depending on the contracted arrangement,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 Programs</w:t>
      </w:r>
    </w:p>
    <w:p>
      <w:pPr>
        <w:spacing w:after="0" w:line="18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When its healthcare professional is staffed, the Company determined that it acts as a principal in the arrangement, as it is considered the employer of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revenue is reported on a gross basis on the consolidated statements of operations.</w:t>
      </w:r>
    </w:p>
    <w:p>
      <w:pPr>
        <w:spacing w:after="0" w:line="21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on the consolidated statements of operations. The customer is invoiced for the hours worked by the subcontracted healthcare professional multiplied by the hourly bill rate. A subcontractor liability, which is recognized as a reduction of revenue, is established in accrued expenses for the invoiced amount,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Staffing</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Physician Staffing business has contracts with its healthcare customers to provide temporary staffing services. The Company uses independent contractors for these services. The Company determined that it acts as a principal in these arrangements and, therefore, revenue is reported on a gross basis on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Note 3 - Revenue Recognition for the Company's revenues disaggregated by revenue source. Sales and usage-based taxes are excluded from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All contract fulfillment costs are expensed as incurred to direct operating expenses. With respect to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there were no contract assets or material contract liabilities as of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00"/>
          </w:cols>
          <w:pgMar w:left="240" w:top="337"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The Company has, from time to time, granted stock options, stock appreciation rights, performance-based stock awards, and restricted stock for a fixed number of common shares to employees. In accordance with the </w:t>
      </w:r>
      <w:r>
        <w:rPr>
          <w:rFonts w:ascii="Arial" w:cs="Arial" w:eastAsia="Arial" w:hAnsi="Arial"/>
          <w:sz w:val="16"/>
          <w:szCs w:val="16"/>
          <w:i w:val="1"/>
          <w:iCs w:val="1"/>
          <w:color w:val="auto"/>
        </w:rPr>
        <w:t>Compensation-Stock-Compensation</w:t>
      </w:r>
      <w:r>
        <w:rPr>
          <w:rFonts w:ascii="Arial" w:cs="Arial" w:eastAsia="Arial" w:hAnsi="Arial"/>
          <w:sz w:val="16"/>
          <w:szCs w:val="16"/>
          <w:color w:val="auto"/>
        </w:rPr>
        <w:t xml:space="preserve"> Topic of the FASB ASC, companies may choose from alternative valuation models. The Company used the Black-Scholes method of valuing its options and stock appreciation rights. The Company has elected to recognize compensation expense on a straight-line basis over the requisite service period of the entire award. The Company values its restricted stock awards and the fair value of its performance-based stock awards by reference to its stock price on the date of grant.</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Company granted performance-based stock awards to certain key personnel pursuant to its 2014 Omnibus Incentive Plan, amended and restated on May 23, 2017 (2017 Plan) as described in Note 14 - Stockholders' Equity. Pursuant to the plan, the number of target shares that vest are determined based on the level of attainment of the targets. If a minimum level of performance is attained for the awards, restricted stock is issued based on the level of attainment.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spacing w:after="0" w:line="15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Compensation expense related to share-based payments is included in selling, general and administrative expenses in the consolidated statements of operations, and totaled $3.6 million, $4.1 million, and $3.4 million, during the years ended December 31, 2018, 2017, and 2016, respectively. See Note 14 -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31"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The Company’s advertising expense consists primarily of online advertising, internet direct marketing, print media, and promotional material. Advertising costs are expensed as incurred and totaled $6.7 million, $7.6 million, and $10.2 million, for the years ended December 31, 2018, 2017, and 2016,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18"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include on-going benefit costs for its employees, exit costs, and other costs including write-offs related to abandoned locations.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beginning and ending total restructuring liability balances are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4"/>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3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3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2016</w:t>
            </w:r>
          </w:p>
        </w:tc>
        <w:tc>
          <w:tcPr>
            <w:tcW w:w="1020" w:type="dxa"/>
            <w:vAlign w:val="bottom"/>
          </w:tcPr>
          <w:p>
            <w:pPr>
              <w:spacing w:after="0"/>
              <w:rPr>
                <w:sz w:val="20"/>
                <w:szCs w:val="20"/>
                <w:color w:val="auto"/>
              </w:rPr>
            </w:pPr>
          </w:p>
        </w:tc>
      </w:tr>
      <w:tr>
        <w:trPr>
          <w:trHeight w:val="29"/>
        </w:trPr>
        <w:tc>
          <w:tcPr>
            <w:tcW w:w="3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3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4"/>
          </w:tcPr>
          <w:p>
            <w:pPr>
              <w:ind w:left="34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
        </w:trPr>
        <w:tc>
          <w:tcPr>
            <w:tcW w:w="3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3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7"/>
                <w:shd w:val="clear" w:color="auto" w:fill="CCEEFF"/>
              </w:rPr>
              <w:t>On-Going Benefit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shd w:val="clear" w:color="auto" w:fill="CCEEFF"/>
              </w:rPr>
              <w:t>On-Going</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shd w:val="clear" w:color="auto" w:fill="CCEEFF"/>
              </w:rPr>
              <w:t>On-Going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79"/>
                <w:shd w:val="clear" w:color="auto" w:fill="CCEEFF"/>
              </w:rPr>
              <w:t>Costs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4"/>
                <w:shd w:val="clear" w:color="auto" w:fill="CCEEFF"/>
              </w:rPr>
              <w:t>Exit Costs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7"/>
                <w:shd w:val="clear" w:color="auto" w:fill="CCEEFF"/>
              </w:rPr>
              <w:t>Benefit Costs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4"/>
                <w:shd w:val="clear" w:color="auto" w:fill="CCEEFF"/>
              </w:rPr>
              <w:t>Exit Costs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7"/>
                <w:shd w:val="clear" w:color="auto" w:fill="CCEEFF"/>
              </w:rPr>
              <w:t>Benefit Costs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6"/>
                <w:shd w:val="clear" w:color="auto" w:fill="CCEEFF"/>
              </w:rPr>
              <w:t>Exit Costs</w:t>
            </w:r>
          </w:p>
        </w:tc>
      </w:tr>
      <w:tr>
        <w:trPr>
          <w:trHeight w:val="235"/>
        </w:trPr>
        <w:tc>
          <w:tcPr>
            <w:tcW w:w="310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338</w:t>
            </w:r>
          </w:p>
        </w:tc>
      </w:tr>
      <w:tr>
        <w:trPr>
          <w:trHeight w:val="29"/>
        </w:trPr>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Charged to restructuring costs (a)</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r>
      <w:tr>
        <w:trPr>
          <w:trHeight w:val="241"/>
        </w:trPr>
        <w:tc>
          <w:tcPr>
            <w:tcW w:w="3100" w:type="dxa"/>
            <w:vAlign w:val="bottom"/>
          </w:tcPr>
          <w:p>
            <w:pPr>
              <w:ind w:left="40"/>
              <w:spacing w:after="0"/>
              <w:rPr>
                <w:sz w:val="20"/>
                <w:szCs w:val="20"/>
                <w:color w:val="auto"/>
              </w:rPr>
            </w:pPr>
            <w:r>
              <w:rPr>
                <w:rFonts w:ascii="Arial" w:cs="Arial" w:eastAsia="Arial" w:hAnsi="Arial"/>
                <w:sz w:val="18"/>
                <w:szCs w:val="18"/>
                <w:color w:val="auto"/>
              </w:rPr>
              <w:t>Payments</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(1,131)</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9"/>
        </w:trPr>
        <w:tc>
          <w:tcPr>
            <w:tcW w:w="3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end of period</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25" w:lineRule="exact"/>
        <w:rPr>
          <w:sz w:val="20"/>
          <w:szCs w:val="20"/>
          <w:color w:val="auto"/>
        </w:rPr>
      </w:pPr>
    </w:p>
    <w:p>
      <w:pPr>
        <w:ind w:right="34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restructuring costs on the consolidated statements of operations include direct write-offs of $0.4 million related to abandoned locations, as well as other costs of $0.5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337"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Deferred rent consists of free rent, rent escalation, tenant improvement allowances, and other incentives received from landlords related to the operating leases for our facilities. Rent escalation represents the difference between actual operating lease payments due and straight-line rent expense, which we record over the term of the lease. The excess is recorded as a deferred credit in the early periods of the lease, when cash payments are generally lower than straight-line rent expense, and is reduced in the later periods of the lease when payments begin to exceed the straight-line expense. Tenant allowances from landlords for tenant improvements are generally comprised of cash received from the landlord or paid on our behalf as part of the negotiated terms of the lease. These tenant improvement allowances and other leasehold incentives are recorded when realizable as deferred rent and are amortized as a reduction of periodic rent expense, over the term of the applicable lease. See Note 12 - Commitments and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 xml:space="preserve">The Company accounts for income taxes under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w:t>
      </w:r>
    </w:p>
    <w:p>
      <w:pPr>
        <w:spacing w:after="0" w:line="12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maintains valuation allowances when it is more likely than not that all or a portion of a deferred tax asset will not be realized. In determining whether a valuation allowance is warranted, the Company evaluates factors such as prior earnings history, expected future earnings, carryback and carryforward periods, and tax strategies. The Company considers all positive and negative evidence to estimate if sufficient future taxable income will be generated to realize the deferred tax asset. It considers cumulative losses in recent years as well as the impact of one-time events in assessing its pre-tax earnings. Assumptions regarding future taxable income require significant judgment. The Company's assumptions are consistent with estimates and plans used to manage its business, which includes restructuring and other initiatives.</w:t>
      </w:r>
    </w:p>
    <w:p>
      <w:pPr>
        <w:spacing w:after="0" w:line="178"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the event that actual results differ from these estimates, or the Company adjusts these estimates in future periods for current trends or changes in its estimating assumptions, it may modify the level of the valuation allowance which could materially impact its business, financial condition and results of operations. The Company will continue to assess the realizability of its deferred tax assets. See Note 13 -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Total comprehensive income (loss) includes net income or loss, foreign currency translation adjustments, and net change in derivative transactions, net of any related deferred taxes. Certain of the Company’s foreign subsidiaries use their respective local currency as their functional currency. In accordance with the </w:t>
      </w:r>
      <w:r>
        <w:rPr>
          <w:rFonts w:ascii="Arial" w:cs="Arial" w:eastAsia="Arial" w:hAnsi="Arial"/>
          <w:sz w:val="16"/>
          <w:szCs w:val="16"/>
          <w:i w:val="1"/>
          <w:iCs w:val="1"/>
          <w:color w:val="auto"/>
        </w:rPr>
        <w:t xml:space="preserve">Foreign Currency Matters </w:t>
      </w:r>
      <w:r>
        <w:rPr>
          <w:rFonts w:ascii="Arial" w:cs="Arial" w:eastAsia="Arial" w:hAnsi="Arial"/>
          <w:sz w:val="16"/>
          <w:szCs w:val="16"/>
          <w:color w:val="auto"/>
        </w:rPr>
        <w:t>Topic of the FASB ASC, assets and liabilities of these operations are translated at the exchange rates in effect on the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an unrealized loss of $1.3 million at December 31, 2018 and $1.2 million at December 31, 2017. The cumulative impact of net changes in derivative instruments included in other comprehensive loss in the consolidated balance sheets was an unrealized loss of $0.2 million at December 31, 2018. See Note 9 - Derivatives.</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income tax impact related to components of other comprehensive income for the period ended December 31, 2018 is reflected on the consolidated statements of comprehensive income. During the period ended December 31, 2017, $0.2 million of income tax expense was included in the consolidated statements of operations due to the impact of a change in federal tax rate on the deferred tax asset related to foreign currency cumulative translation. See Note 13 - Income Taxes. There was no income tax impact related to foreign currency translation adjustments for the period ended December 31,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00"/>
          </w:cols>
          <w:pgMar w:left="240" w:top="337"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 complies with the provisions of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which defines fair value, establishes a framework for measuring fair value under U.S. GAAP, and expands disclosures about fair value measurements. As of December 31, 2018 and 2017, the Company’s financial assets and liabilities required to be measured on a recurring basis were its deferred compensation liability, its interest rate swap agreements, and its contingent consideration liabilities. See Note 10 -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accordance with the requirements of the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of the FASB ASC, basic earnings per share is computed by dividing net income available to common shareholders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and Convertible Notes using the if-converted method prior to their payment in full in the first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The amendments in this update align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in this update are effective for public business entities for fiscal years beginning after December 15, 2019, and interim periods within those fiscal years, and should be applied either retrospectively or prospectively to all implementation costs incurred after the date of adoption. Early adoption is permitted for all entities, including adoption in an interim period. The Company is currently in the process of evaluating the potential impact the adoption of this standard may have and expects to adopt this standard in its first quarter of 2020.</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The amendments in this update modify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based on the concepts in the Concepts Statement, including the consideration of costs and benefits. The amendments in this update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entities for fiscal years, and interim periods within those fiscal years, beginning after December 15, 2019, and should be applied either prospectively or retrospectively depending on the nature of the disclosure. An entity is permitted to early adopt any removed or modified disclosures upon issuance of this update and delay adoption of the additional disclosures until their effective date. The Company is currently in the process of evaluating this standard and expects to adopt the full provisions in its first quarter of 2020.</w:t>
      </w:r>
    </w:p>
    <w:p>
      <w:pPr>
        <w:spacing w:after="0" w:line="18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The amendments in Part I of this Update change the classification analysis of certain equity-linked financial instruments (or embedded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and should be applied retrospectively to outstanding financial instruments with a down round feature by means of either a cumulative-effect adjustment or for each prior reporting period presented. Early adoption is permitted for all entities, including adoption in an interim period.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F- 16</w:t>
      </w:r>
    </w:p>
    <w:p>
      <w:pPr>
        <w:sectPr>
          <w:pgSz w:w="11900" w:h="16838" w:orient="portrait"/>
          <w:cols w:equalWidth="0" w:num="1">
            <w:col w:w="11420"/>
          </w:cols>
          <w:pgMar w:left="240" w:top="337"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expects to adopt this standard in its first quarter of 2019, and does not expect this guidance to have a material impact on its consolidated financial statements.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will require, among other items, lessees to recognize most leases as assets and liabilities on the balance sheet. Qualitative and quantitative disclosures will be enhanced to better understand the amount, timing and uncertainty of cash flows arising from leases. The FASB has issued several other subsequent updates including the following: 1) ASU No. 2018-10,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to Topic 842, Leases</w:t>
      </w:r>
      <w:r>
        <w:rPr>
          <w:rFonts w:ascii="Arial" w:cs="Arial" w:eastAsia="Arial" w:hAnsi="Arial"/>
          <w:sz w:val="17"/>
          <w:szCs w:val="17"/>
          <w:color w:val="auto"/>
        </w:rPr>
        <w:t>, which includes sixteen separate narrow-scope amendments to clarify the codification and to correct unintended application of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2)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entities with relief from the costs of implementing certain aspects of the new leasing standard by allowing them to elect not to recast the comparative periods presented when transitioning to ASC 842. The new lease standard, and the subsequent ASUs that modified Topic 842, are effective for fiscal years beginning after December 15, 2018, and interim periods within those fiscal years, with early adoption permitted.</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With respect to the adoption of the new standard, as of December 31, 2018, the Company had $34.6 million of undiscounted future lease payments, primarily related to real estate, that is expected to be included in its initial measurement of its lease liabilities and corresponding right of use asset, and $7.2 million of accrued rent that is expected to be reclassified from liability accounts to reduce its beginning right of use asset balance. The Company does not expect the adoption of ASU 2016-02 to have a material impact on its consolidated statements of operations and statements of cash flows.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determined that its revenues are generated from temporary staffing services and other services, as disaggregated in the following table. See Note 2 - Summary of Significant Accounting Policies.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Other Human</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Nurse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And Allied</w:t>
            </w:r>
          </w:p>
        </w:tc>
        <w:tc>
          <w:tcPr>
            <w:tcW w:w="1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1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Management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Staffing Segment</w:t>
            </w:r>
          </w:p>
        </w:tc>
        <w:tc>
          <w:tcPr>
            <w:tcW w:w="16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2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Services Segment</w:t>
            </w: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(amounts in thousands)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Temporary Staffing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705,435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76,979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782,414</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Services</w:t>
            </w:r>
          </w:p>
        </w:tc>
        <w:tc>
          <w:tcPr>
            <w:tcW w:w="1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14,867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5,326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13,877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34,070</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720,302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82,305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13,877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816,484</w:t>
            </w: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Personnel, Inc.</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December 1, 2018, the Company completed the acquisition of American Personnel, Inc. (AP Staffing) for a total purchase price of $2.0 million, subject to a net working capital adjustment. Based in Boston, AP Staffing offers a range of talent management solutions to its healthcare clients primarily in Massachusetts, including permanent placement, consultative staffing solutions, and traditional staffing.</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assigned a total of $0.4 million to definite life intangible assets with a weighted average estimated useful life of 10 years. The remaining excess purchase price over the fair value of net assets acquired of $0.7 million was recorded as goodwill, which is not deductible for tax purposes since this was a stock acquisition. Associated acquisition-related costs incurred were $0.2 million and have been included in acquisition and integration costs on the Company's consolidated statement of operations for the year ended December 31, 2018.</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acquisition was deemed immaterial and has been accounted for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 using the acquisition method of accounting. AP Staffing's results of operations are included in the consolidated statements of operations from December 1, 2018 and have been included in the Company's Nurse and Allied Staffing business segment. See Note 5 - Goodwill, Trade Names, and Other Intangible Assets.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 RN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Effective July 1, 2017, the Company acquired all of the assets of Advantage RN, LLC and its subsidiaries (collectively, Advantage) for cash consideration of $86.6 million, net of cash acquired. The total purchase price of $88.0 million was subject to a net working capital reduction of $0.6 million at the closing and an additional $0.8 million was received during the third quarter of 2017 as the final adjustment for net working capital. Additionally, $0.6 million of the purchase price was deferred as of the closing and is due the seller within 20 months, less any COBRA and healthcare payments incurred by the Company on behalf of the seller. As of December 31, 2018, approximately $0.5 million has been paid for claims and the remaining $0.1 million liability is included in other current liabilities on the Company’s balance sheets.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In the first quarter of 2019, $7.0 million related to the post-close liabilities was released from escrow, leaving a balance of $0.5 million to cover pending post-close liabilities.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financed the purchase using $19.9 million in available cash and $66.9 million in borrowing under its Credit Facility, including a $40.0 million incremental term loan, which was subsequently refinanced on August 1, 2017. See Note 8 - Debt for further information. The transaction was treated as a purchase of assets for income tax purposes.</w:t>
      </w:r>
    </w:p>
    <w:p>
      <w:pPr>
        <w:spacing w:after="0" w:line="18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Advantage is primarily a travel nurse staffing company that deploys many of its nurses through MSPs and Vendor Management Systems, and Advantage maintains direct relationships with many hospitals throughout the United States. This was a strategic acquisition to help the Company fill its recent MSP contract wins and for revenue growth.</w:t>
      </w:r>
    </w:p>
    <w:p>
      <w:pPr>
        <w:spacing w:after="0" w:line="18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The acquisition has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 using the acquisition method of accounting. As such, the amounts of revenue and contribution income included in the Company's consolidated income statement from the acquisition date to the period ended December 31, 2017 were $47.0 million and $3.8 million, respectively. The acquisition results have been substantially aggregated with the Company's Nurse and Allied Staffing business segment. See Note 17 - Segment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The following is the estimated fair value of the purchase price for Advantage on July 1, 2017:</w:t>
            </w: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78"/>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jc w:val="right"/>
              <w:ind w:right="430"/>
              <w:spacing w:after="0"/>
              <w:rPr>
                <w:sz w:val="20"/>
                <w:szCs w:val="20"/>
                <w:color w:val="auto"/>
              </w:rPr>
            </w:pPr>
            <w:r>
              <w:rPr>
                <w:rFonts w:ascii="Arial" w:cs="Arial" w:eastAsia="Arial" w:hAnsi="Arial"/>
                <w:sz w:val="18"/>
                <w:szCs w:val="18"/>
                <w:color w:val="auto"/>
                <w:w w:val="98"/>
              </w:rPr>
              <w:t>(amounts in thousands)</w:t>
            </w: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88,000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working capital adjustments</w:t>
            </w:r>
          </w:p>
        </w:tc>
        <w:tc>
          <w:tcPr>
            <w:tcW w:w="3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7"/>
        </w:trPr>
        <w:tc>
          <w:tcPr>
            <w:tcW w:w="8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86,562</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32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2,833</w:t>
            </w:r>
          </w:p>
        </w:tc>
      </w:tr>
      <w:tr>
        <w:trPr>
          <w:trHeight w:val="27"/>
        </w:trPr>
        <w:tc>
          <w:tcPr>
            <w:tcW w:w="8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89,395</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purchase price was allocated to the assets acquired and the liabilities assumed based on the estimated fair value at the date of acquisition. The Company used a third-party appraiser to assist with the determination of the fair value and estimated useful lives of certain acquired assets and liabilities.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33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858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CROSS COUNTRY HEALTHCARE, INC.</w:t>
            </w: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8580" w:type="dxa"/>
            <w:vAlign w:val="bottom"/>
          </w:tcPr>
          <w:p>
            <w:pPr>
              <w:jc w:val="center"/>
              <w:ind w:left="2770"/>
              <w:spacing w:after="0"/>
              <w:rPr>
                <w:sz w:val="20"/>
                <w:szCs w:val="20"/>
                <w:color w:val="auto"/>
              </w:rPr>
            </w:pPr>
            <w:r>
              <w:rPr>
                <w:rFonts w:ascii="Arial" w:cs="Arial" w:eastAsia="Arial" w:hAnsi="Arial"/>
                <w:sz w:val="18"/>
                <w:szCs w:val="18"/>
                <w:b w:val="1"/>
                <w:bCs w:val="1"/>
                <w:color w:val="auto"/>
              </w:rPr>
              <w:t>NOTES TO CONSOLIDATED FINANCIAL STATEMENTS</w:t>
            </w: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4"/>
        </w:trPr>
        <w:tc>
          <w:tcPr>
            <w:tcW w:w="8580" w:type="dxa"/>
            <w:vAlign w:val="bottom"/>
          </w:tcPr>
          <w:p>
            <w:pPr>
              <w:jc w:val="center"/>
              <w:ind w:left="2770"/>
              <w:spacing w:after="0"/>
              <w:rPr>
                <w:sz w:val="20"/>
                <w:szCs w:val="20"/>
                <w:color w:val="auto"/>
              </w:rPr>
            </w:pPr>
            <w:r>
              <w:rPr>
                <w:rFonts w:ascii="Arial" w:cs="Arial" w:eastAsia="Arial" w:hAnsi="Arial"/>
                <w:sz w:val="18"/>
                <w:szCs w:val="18"/>
                <w:b w:val="1"/>
                <w:bCs w:val="1"/>
                <w:color w:val="auto"/>
                <w:w w:val="96"/>
              </w:rPr>
              <w:t>DECEMBER 31, 2018</w:t>
            </w: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b w:val="1"/>
                <w:bCs w:val="1"/>
                <w:color w:val="auto"/>
              </w:rPr>
              <w:t>4. Acquisitions (continued)</w:t>
            </w: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59"/>
        </w:trPr>
        <w:tc>
          <w:tcPr>
            <w:tcW w:w="8580" w:type="dxa"/>
            <w:vAlign w:val="bottom"/>
          </w:tcPr>
          <w:p>
            <w:pPr>
              <w:spacing w:after="0"/>
              <w:rPr>
                <w:sz w:val="20"/>
                <w:szCs w:val="20"/>
                <w:color w:val="auto"/>
              </w:rPr>
            </w:pPr>
            <w:r>
              <w:rPr>
                <w:rFonts w:ascii="Arial" w:cs="Arial" w:eastAsia="Arial" w:hAnsi="Arial"/>
                <w:sz w:val="18"/>
                <w:szCs w:val="18"/>
                <w:color w:val="auto"/>
                <w:w w:val="95"/>
              </w:rPr>
              <w:t>The following table is an estimate of the fair value of the assets acquired and liabilities assumed on July 1, 2017.</w:t>
            </w: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78"/>
        </w:trPr>
        <w:tc>
          <w:tcPr>
            <w:tcW w:w="8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jc w:val="right"/>
              <w:ind w:right="490"/>
              <w:spacing w:after="0"/>
              <w:rPr>
                <w:sz w:val="20"/>
                <w:szCs w:val="20"/>
                <w:color w:val="auto"/>
              </w:rPr>
            </w:pPr>
            <w:r>
              <w:rPr>
                <w:rFonts w:ascii="Arial" w:cs="Arial" w:eastAsia="Arial" w:hAnsi="Arial"/>
                <w:sz w:val="18"/>
                <w:szCs w:val="18"/>
                <w:color w:val="auto"/>
              </w:rPr>
              <w:t>(amounts in thousands)</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14,396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29,900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91,450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89,395</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assigned the following values to other identifiable intangible assets: $4.5 million to trade names with a weighted average estimated useful life of 10 years, $13.8 million to customer relationships with a weighted average estimated useful life of 10 years, $11.3 million to a database, consisting of healthcare professionals, with a weighted average estimated useful life of 10 years, and $0.3 million to non-compete agreements with a weighted average estimated useful life of 5 years, for a total of $29.9 million in definite life intangible assets with a weighted average estimated useful life of 10 years.</w:t>
      </w:r>
    </w:p>
    <w:p>
      <w:pPr>
        <w:spacing w:after="0" w:line="15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remaining excess purchase price over the fair value of net assets acquired of $43.6 million was recorded as goodwill, which is deductible for tax purposes. Associated acquisition-related costs incurred were $2.0 million and have been included in acquisition and integration costs on the Company's consolidated statements of operations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unaudited pro forma financial information approximates the consolidated results of operations of the Company as if the Advantage acquisition had occurred as of January 1, 2016,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$2.0 million for the year ended December 31, 2017.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businesses, among other adjustments that could be made in the future but are not factually supportable on the date of the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337"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Year Ended December 31,</w:t>
            </w:r>
          </w:p>
        </w:tc>
        <w:tc>
          <w:tcPr>
            <w:tcW w:w="142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jc w:val="right"/>
              <w:ind w:right="91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6320" w:type="dxa"/>
            <w:vAlign w:val="bottom"/>
          </w:tcPr>
          <w:p>
            <w:pPr>
              <w:spacing w:after="0"/>
              <w:rPr>
                <w:sz w:val="2"/>
                <w:szCs w:val="2"/>
                <w:color w:val="auto"/>
              </w:rPr>
            </w:pPr>
          </w:p>
        </w:tc>
        <w:tc>
          <w:tcPr>
            <w:tcW w:w="4960" w:type="dxa"/>
            <w:vAlign w:val="bottom"/>
            <w:tcBorders>
              <w:bottom w:val="single" w:sz="8" w:color="auto"/>
            </w:tcBorders>
            <w:gridSpan w:val="4"/>
          </w:tcPr>
          <w:p>
            <w:pPr>
              <w:spacing w:after="0"/>
              <w:rPr>
                <w:sz w:val="2"/>
                <w:szCs w:val="2"/>
                <w:color w:val="auto"/>
              </w:rPr>
            </w:pPr>
          </w:p>
        </w:tc>
      </w:tr>
      <w:tr>
        <w:trPr>
          <w:trHeight w:val="217"/>
        </w:trPr>
        <w:tc>
          <w:tcPr>
            <w:tcW w:w="6320" w:type="dxa"/>
            <w:vAlign w:val="bottom"/>
          </w:tcPr>
          <w:p>
            <w:pPr>
              <w:spacing w:after="0"/>
              <w:rPr>
                <w:sz w:val="18"/>
                <w:szCs w:val="18"/>
                <w:color w:val="auto"/>
              </w:rPr>
            </w:pPr>
          </w:p>
        </w:tc>
        <w:tc>
          <w:tcPr>
            <w:tcW w:w="4960" w:type="dxa"/>
            <w:vAlign w:val="bottom"/>
            <w:gridSpan w:val="4"/>
          </w:tcPr>
          <w:p>
            <w:pPr>
              <w:jc w:val="right"/>
              <w:ind w:right="570"/>
              <w:spacing w:after="0"/>
              <w:rPr>
                <w:sz w:val="20"/>
                <w:szCs w:val="20"/>
                <w:color w:val="auto"/>
              </w:rPr>
            </w:pPr>
            <w:r>
              <w:rPr>
                <w:rFonts w:ascii="Arial" w:cs="Arial" w:eastAsia="Arial" w:hAnsi="Arial"/>
                <w:sz w:val="16"/>
                <w:szCs w:val="16"/>
                <w:color w:val="auto"/>
              </w:rPr>
              <w:t>(unaudited, amounts in thousands except per share data)</w:t>
            </w:r>
          </w:p>
        </w:tc>
      </w:tr>
      <w:tr>
        <w:trPr>
          <w:trHeight w:val="33"/>
        </w:trPr>
        <w:tc>
          <w:tcPr>
            <w:tcW w:w="6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Revenue from services</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916,149</w:t>
            </w:r>
          </w:p>
        </w:tc>
        <w:tc>
          <w:tcPr>
            <w:tcW w:w="11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934,904</w:t>
            </w:r>
          </w:p>
        </w:tc>
      </w:tr>
      <w:tr>
        <w:trPr>
          <w:trHeight w:val="324"/>
        </w:trPr>
        <w:tc>
          <w:tcPr>
            <w:tcW w:w="6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 attributable to common shareholders</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40,255</w:t>
            </w:r>
          </w:p>
        </w:tc>
        <w:tc>
          <w:tcPr>
            <w:tcW w:w="11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11,391</w:t>
            </w:r>
          </w:p>
        </w:tc>
      </w:tr>
      <w:tr>
        <w:trPr>
          <w:trHeight w:val="324"/>
        </w:trPr>
        <w:tc>
          <w:tcPr>
            <w:tcW w:w="6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 per common share attributable to common shareholders - basic</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11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r>
      <w:tr>
        <w:trPr>
          <w:trHeight w:val="324"/>
        </w:trPr>
        <w:tc>
          <w:tcPr>
            <w:tcW w:w="6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 per common share attributable to common shareholders - diluted</w:t>
            </w:r>
          </w:p>
        </w:tc>
        <w:tc>
          <w:tcPr>
            <w:tcW w:w="142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1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r>
      <w:tr>
        <w:trPr>
          <w:trHeight w:val="41"/>
        </w:trPr>
        <w:tc>
          <w:tcPr>
            <w:tcW w:w="63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Resources Healthcare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December 1, 2016, the Company completed the acquisition of a recruitment process outsourcing business, US Resources Healthcare, LLC (USR). This acquisition expands the Company's workforce solutions offerings to deliver financial and operating efficiencies through labor optimization services while enhancing the quality of care.</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agreement specified that the sellers were eligible to receive additional purchase price consideration of $4.5 million, with a maximum of $1.0 million for 2017, $2.0 million for 2018, and $1.5 million for 2019, based on attainment of specific performance criteria achieved in each of those years. In the fourth quarter of 2017, the Company recognized a decrease in the fair value of the liability of $1.3 million included as acquisition-related contingent consideration on its consolidated statements of operations. The adjustment was driven by the decrease in the projected USR 2018 and 2019 revenue and EBITDA amounts. The earnout for 2017 was not achieved. In the third quarter of 2018, the Company determined that the contingent consideration earnout related to the USR acquisition would not be achieved for 2018 and 2019 and, as a result, the entire liability was reversed. See Note 10 - Fair Value Measurements.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acquisition was deemed immaterial and has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 using the acquisition method of accounting. USR's results of operations are included in the consolidated statements of operations from December 1, 2016 and have been included in the Company's Nurse and Allied Staffing business segment. See Note 5 - Goodwill, Trade Names, and Other Intangible Assets and Note 10 - Fair Value Measurements.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Mediscan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30, 2015, the Company completed the acquisition of all of the membership interests of New Mediscan II, LLC, Mediscan Diagnostic Services, LLC, and Mediscan Nursing Staffing, LLC (collectively Mediscan) for a purchase price of $29.9 million in cash ($28.0 million plus working capital estimate) and $4.7 million in shares (or 349,871 shares) of the Company's Common Stock, and a net working capital adjustment of $0.3 million was settled in the first quarter of 2016. Additionally, an amount of $5.0 million of the purchase price that was held in escrow to cover any post-closing liabilities, was released to the sellers on May 3, 2017.</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agreement also specified that the sellers were eligible to receive additional purchase price consideration of $7.0 million, with $3.5 million per year based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attainment of specific performance criteria in 2016 and 2017. As of December 31, 2016, the Company determined that the first year earnout was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achieved for 2016 and, as of September 30, 2017,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that the second year earnout would not be achieved for 2017.</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connection with the Mediscan acquisition, the Company also assumed additional contingent purchase price liabilities for a previously acquired business that are payable annually based on specific performance criteria for the 2016 through 2019 years. Payments related to the 2016 through 2018 years are limited to $0.3 million per year and 2019 is uncapped. As of December 31, 2018, the fair value of the remaining obligations was estimated at $7.7 million and is included in other current liabilities and contingent consideration on the consolidated balance sheets. See Note 10 - Fair Value Measurements.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Staffing Network</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30, 2014, the Company acquired substantially all of the assets and certain liabilities of Medical Staffing Network Healthcare, LLC (MSN). Of the purchase price,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1"/>
              </w:rPr>
              <w:t>December 31, 2018</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December 31, 2017</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6"/>
                <w:szCs w:val="16"/>
                <w:color w:val="auto"/>
              </w:rPr>
              <w:t>(amounts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Intangible assets subject to</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Databases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49,758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23,296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55,524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25,912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29,612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89,487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55,182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60,976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Intangible assets not subject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87,678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fully amortized intangible assets, along with the related accumulated amortization, were removed from the table above. As of December 31, 2018, estimated annual amortization expense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5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1"/>
              <w:spacing w:after="0"/>
              <w:rPr>
                <w:sz w:val="20"/>
                <w:szCs w:val="20"/>
                <w:color w:val="auto"/>
              </w:rPr>
            </w:pPr>
            <w:r>
              <w:rPr>
                <w:rFonts w:ascii="Arial" w:cs="Arial" w:eastAsia="Arial" w:hAnsi="Arial"/>
                <w:sz w:val="16"/>
                <w:szCs w:val="16"/>
                <w:color w:val="auto"/>
                <w:w w:val="93"/>
              </w:rPr>
              <w:t>(amounts in thousands)</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2019</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7,535</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7,431</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2021</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7,131</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2023</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6,677</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5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19,628</w:t>
            </w:r>
          </w:p>
        </w:tc>
      </w:tr>
      <w:tr>
        <w:trPr>
          <w:trHeight w:val="237"/>
        </w:trPr>
        <w:tc>
          <w:tcPr>
            <w:tcW w:w="38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55,182</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5720" w:type="dxa"/>
            <w:vAlign w:val="bottom"/>
            <w:gridSpan w:val="2"/>
          </w:tcPr>
          <w:p>
            <w:pPr>
              <w:jc w:val="right"/>
              <w:ind w:right="3570"/>
              <w:spacing w:after="0"/>
              <w:rPr>
                <w:sz w:val="20"/>
                <w:szCs w:val="20"/>
                <w:color w:val="auto"/>
              </w:rPr>
            </w:pPr>
            <w:r>
              <w:rPr>
                <w:rFonts w:ascii="Arial" w:cs="Arial" w:eastAsia="Arial" w:hAnsi="Arial"/>
                <w:sz w:val="18"/>
                <w:szCs w:val="18"/>
                <w:color w:val="auto"/>
              </w:rPr>
              <w:t>F- 21</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Other Human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Capital</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Nurse and</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Physician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Management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Allied Staffing</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Staffing</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Segment</w:t>
            </w: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Segment</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Segment</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December 31, 2017</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Aggregate goodwill acquired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410,585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Sale of business</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impairment loss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(283,107)</w:t>
            </w:r>
          </w:p>
        </w:tc>
        <w:tc>
          <w:tcPr>
            <w:tcW w:w="0" w:type="dxa"/>
            <w:vAlign w:val="bottom"/>
          </w:tcPr>
          <w:p>
            <w:pPr>
              <w:spacing w:after="0"/>
              <w:rPr>
                <w:sz w:val="1"/>
                <w:szCs w:val="1"/>
                <w:color w:val="auto"/>
              </w:rPr>
            </w:pPr>
          </w:p>
        </w:tc>
      </w:tr>
      <w:tr>
        <w:trPr>
          <w:trHeight w:val="23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Goodwill, net of impairment loss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88,141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117,589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Changes to aggregate goodwill in 2018</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acquired (a)</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Impairment charge</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(17,223)</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December 31, 2018</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shd w:val="clear" w:color="auto" w:fill="CCEEFF"/>
              </w:rPr>
              <w:t>Aggregate goodwill acquired</w:t>
            </w:r>
          </w:p>
        </w:tc>
        <w:tc>
          <w:tcPr>
            <w:tcW w:w="1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348,567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411,279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Sale of business</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Accumulated impairment loss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(300,330)</w:t>
            </w:r>
          </w:p>
        </w:tc>
        <w:tc>
          <w:tcPr>
            <w:tcW w:w="0" w:type="dxa"/>
            <w:vAlign w:val="bottom"/>
          </w:tcPr>
          <w:p>
            <w:pPr>
              <w:spacing w:after="0"/>
              <w:rPr>
                <w:sz w:val="1"/>
                <w:szCs w:val="1"/>
                <w:color w:val="auto"/>
              </w:rPr>
            </w:pPr>
          </w:p>
        </w:tc>
      </w:tr>
      <w:tr>
        <w:trPr>
          <w:trHeight w:val="25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Goodwill, net of impairment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88,835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101,060</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9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Goodwill acquired from the acquisition of AP Staffing. See Note 4 -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and 2017 Impairment Charges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performed its annual quantitative impairment test of goodwill and other indefinite-lived intangible assets as of October 1, 2018 and 2017. Upon completion of the impairment testing for both years, it was determined that the estimated fair value of the Physician Staffing reporting unit’s trade name was less than its carrying amount resulting in impairment. For its goodwill impairment testing, with the exception of its Physician Staffing reporting unit, the estimated fair value of its reporting units exceeded their respective carrying values.</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Projections of revenue, operating costs, and expected cash flows of each reporting unit are inputs into the quantitative testing for goodwill and intangible assets. The Company reduced its long-term revenue forecast for the Physician Staffing business segment in the fourth quarter of 2018 and 2017. The lower than expected revenue was driven by lower booking volumes, partly due to the loss of customers. In addition, margins of the reporting unit were negatively impacted from continued investments in the business. As a result, during the fourth quarter of 2018 and 2017 the Company recorded non-cash impairment charges of $5.2 million and $8.7 million, respectively, related to its trade name and $17.2 million and $5.7 million, respectively, related to goodwill during the fourth quarter.</w:t>
      </w:r>
    </w:p>
    <w:p>
      <w:pPr>
        <w:spacing w:after="0" w:line="11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impairment testing as of October 1, 2018, the Company reassessed the Physician Staffing brand's indefinite-life classification and determined it had characteristics that indicated a definite-life assignment was more appropriate. Effective October 1, 2018, the trade name, with a carrying value of $1.1 million after impairment charges, that was previously assigned an indefinite life was assigned a finite life of 3 years. During the three months ended December 31, 2018, the amortization expense related to this trade name was approximately $0.1 million.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F- 22</w:t>
      </w:r>
    </w:p>
    <w:p>
      <w:pPr>
        <w:sectPr>
          <w:pgSz w:w="11900" w:h="16838" w:orient="portrait"/>
          <w:cols w:equalWidth="0" w:num="1">
            <w:col w:w="11420"/>
          </w:cols>
          <w:pgMar w:left="240" w:top="337" w:right="239" w:bottom="1440" w:gutter="0" w:footer="0" w:header="0"/>
          <w:type w:val="continuous"/>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Impairment Charges</w:t>
      </w:r>
    </w:p>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performed its annual impairment test as of October 1, 2016. Upon completion of the impairment testing, the Company determined that no impairment of goodwill, trade names, or other intangible assets was warranted.</w:t>
      </w:r>
    </w:p>
    <w:p>
      <w:pPr>
        <w:spacing w:after="0" w:line="8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an evaluation of goodwill, trade names, and other intangible assets at June 30, 2016, the Company determined that indicators were present in the Physician Staffing reporting unit which would suggest the fair value of the reporting unit may have declined below its carrying value. The Physician Staffing reporting unit was under-performing relative to management’s expectations. The lower than expected revenue was driven by lower booking volumes partly due to the loss of customers, and margins were negatively impacted from continued investments in the business all through the first half of 2016. The Company considered these factors to be impairment indicators that warranted impairment testing of goodwill, trade names, and other intangible assets. The interim impairment testing resulted in the carrying values of goodwill, trade names, and other intangible assets for Physician Staffing to exceed their estimated fair values. As a result, the interim impairment testing was performed which resulted in the carrying values of goodwill, trade names, and other intangible assets for Physician Staffing to exceed their estimated fair values. As a result, the Company recorded a non-cash impairment charge totaling $24.3 million: $17.7 million related to goodwill, $0.6 million related to trade names, and $6.0 million related to customer relationships.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Methods and Assumptions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Names</w:t>
      </w:r>
    </w:p>
    <w:p>
      <w:pPr>
        <w:spacing w:after="0" w:line="14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Relief From Royalty methodology was utilized to value the Physician Staffing trade names using projected cash flows of an estimated royalty fee. The royalty rate was determined by a blended rate using the Market Royalty Rate Method and the Apportionment of Profit Method.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discounted cash flows serve as the primary basis for the income approach and are based on the Company’s discrete financial forecast of revenue, gross profit margins, operating costs and cash flows. The forecast considers historical and estimated future results, general economic and market conditions, as well as the impact of planned business and operational strategies. For its 2018 testing, the assumptions used in the income approach included discount rates of</w:t>
      </w:r>
    </w:p>
    <w:p>
      <w:pPr>
        <w:spacing w:after="0" w:line="290" w:lineRule="auto"/>
        <w:rPr>
          <w:sz w:val="20"/>
          <w:szCs w:val="20"/>
          <w:color w:val="auto"/>
        </w:rPr>
      </w:pPr>
      <w:r>
        <w:rPr>
          <w:rFonts w:ascii="Arial" w:cs="Arial" w:eastAsia="Arial" w:hAnsi="Arial"/>
          <w:sz w:val="16"/>
          <w:szCs w:val="16"/>
          <w:color w:val="auto"/>
        </w:rPr>
        <w:t>12.0% to 15.0% and a terminal value growth rate of 1.0% to 3.0% for cash flows beyond the discrete forecast period of ten years. Assumptions used in the market approach testing included valuation multiples based on an analysis of multiples for comparable public companies. The Company utilized total enterprise value/Earnings Before Interest, Taxes, Depreciation, and Amortization (EBITDA) multiples ranging from 3.0 to 10.5. The concluded fair value was based on a weighting of 75% applied to the income approach and 25% to the market approach for its Physician Staffing and Search reporting units and a 50% weighting was applied to the components of each approach to estimate the total fair value of goodwill for its Nurse and Allied Staffing reporting unit. This weighting was an estimate by management and was developed based on the specific characteristics, risks and uncertainties of the reporting units.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14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Multi-Period Excess Earnings Method (MPEEM) methodology was utilized for valuing the Physician Staffing customer relationships in its interim impairment testing for the second quarter of 2016. The MPEEM estimates the fair value based on the present value of the allocated future economic benefits. The inputs include the projected revenue and associated expenses from the customers, an estimated attrition rate, and a discount rate of 13.5%.</w:t>
      </w:r>
    </w:p>
    <w:p>
      <w:pPr>
        <w:spacing w:after="0" w:line="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Although management believes that the Company's current estimates and assumptions are reasonable and supportable, there can be no assurance that the estimates and assumptions made for purposes of the impairment testing will prove to be accurate predictions of future performance.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00"/>
          </w:cols>
          <w:pgMar w:left="240" w:top="337"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300" w:type="dxa"/>
            <w:vAlign w:val="bottom"/>
          </w:tcPr>
          <w:p>
            <w:pPr>
              <w:spacing w:after="0"/>
              <w:rPr>
                <w:sz w:val="20"/>
                <w:szCs w:val="20"/>
                <w:color w:val="auto"/>
              </w:rPr>
            </w:pPr>
            <w:r>
              <w:rPr>
                <w:rFonts w:ascii="Arial" w:cs="Arial" w:eastAsia="Arial" w:hAnsi="Arial"/>
                <w:sz w:val="18"/>
                <w:szCs w:val="18"/>
                <w:color w:val="auto"/>
              </w:rPr>
              <w:t>The Company's property and equipment consists of the following:</w:t>
            </w: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Useful Lives</w:t>
            </w: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3-5 years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76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3-5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26,651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5-7 years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76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5-7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47,104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44,764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(33,476)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(30,678)</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13,628</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14,086</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00"/>
              <w:spacing w:after="0"/>
              <w:rPr>
                <w:sz w:val="20"/>
                <w:szCs w:val="20"/>
                <w:color w:val="auto"/>
              </w:rPr>
            </w:pPr>
            <w:r>
              <w:rPr>
                <w:rFonts w:ascii="Arial" w:cs="Arial" w:eastAsia="Arial" w:hAnsi="Arial"/>
                <w:sz w:val="18"/>
                <w:szCs w:val="18"/>
                <w:color w:val="auto"/>
                <w:w w:val="96"/>
              </w:rPr>
              <w:t>(a)  See Note 2 – Summary of Significant Accounting Policies.</w:t>
            </w: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300" w:type="dxa"/>
            <w:vAlign w:val="bottom"/>
          </w:tcPr>
          <w:p>
            <w:pPr>
              <w:spacing w:after="0"/>
              <w:rPr>
                <w:sz w:val="24"/>
                <w:szCs w:val="24"/>
                <w:color w:val="auto"/>
              </w:rPr>
            </w:pP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F- 24</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Balance Sheet Details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3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7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2"/>
              </w:rPr>
              <w:t>(amounts in thousands)</w:t>
            </w: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Insurance recovery receivable:</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 for workers’ compensation</w:t>
            </w: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Insurance recovery for professional liability</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1,874</w:t>
            </w:r>
          </w:p>
        </w:tc>
      </w:tr>
      <w:tr>
        <w:trPr>
          <w:trHeight w:val="27"/>
        </w:trPr>
        <w:tc>
          <w:tcPr>
            <w:tcW w:w="47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Insurance recovery for workers’ compensation claims</w:t>
            </w:r>
          </w:p>
        </w:tc>
        <w:tc>
          <w:tcPr>
            <w:tcW w:w="38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6,093</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 for professional liability claims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10,011</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Non-current security deposits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1,095</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income tax receivable</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Deferred compensation assets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 issuance costs</w:t>
            </w:r>
          </w:p>
        </w:tc>
        <w:tc>
          <w:tcPr>
            <w:tcW w:w="2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r>
      <w:tr>
        <w:trPr>
          <w:trHeight w:val="237"/>
        </w:trPr>
        <w:tc>
          <w:tcPr>
            <w:tcW w:w="4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18,076</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19,228</w:t>
            </w:r>
          </w:p>
        </w:tc>
      </w:tr>
      <w:tr>
        <w:trPr>
          <w:trHeight w:val="67"/>
        </w:trPr>
        <w:tc>
          <w:tcPr>
            <w:tcW w:w="478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7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payroll taxes</w:t>
            </w: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16,342</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Bonuses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2,067</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workers’ compensation claims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Accrual for professional liability claims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2,683</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healthcare benefits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5,105</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Accrual for vacation</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2,117</w:t>
            </w:r>
          </w:p>
        </w:tc>
      </w:tr>
      <w:tr>
        <w:trPr>
          <w:trHeight w:val="27"/>
        </w:trPr>
        <w:tc>
          <w:tcPr>
            <w:tcW w:w="47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34,271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accrued claims: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Accrual for workers’ compensation claims</w:t>
            </w:r>
          </w:p>
        </w:tc>
        <w:tc>
          <w:tcPr>
            <w:tcW w:w="38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12,997</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13,160</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professional liability claims</w:t>
            </w:r>
          </w:p>
        </w:tc>
        <w:tc>
          <w:tcPr>
            <w:tcW w:w="2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16,302</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15,597</w:t>
            </w:r>
          </w:p>
        </w:tc>
      </w:tr>
      <w:tr>
        <w:trPr>
          <w:trHeight w:val="237"/>
        </w:trPr>
        <w:tc>
          <w:tcPr>
            <w:tcW w:w="4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29,299</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28,757</w:t>
            </w:r>
          </w:p>
        </w:tc>
      </w:tr>
      <w:tr>
        <w:trPr>
          <w:trHeight w:val="67"/>
        </w:trPr>
        <w:tc>
          <w:tcPr>
            <w:tcW w:w="478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7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deferred tax liabilities</w:t>
            </w: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1,467</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Long-term unrecognized tax benefits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w:t>
            </w:r>
          </w:p>
        </w:tc>
        <w:tc>
          <w:tcPr>
            <w:tcW w:w="2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37"/>
        </w:trPr>
        <w:tc>
          <w:tcPr>
            <w:tcW w:w="4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8,767</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9,276</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56"/>
        </w:trPr>
        <w:tc>
          <w:tcPr>
            <w:tcW w:w="4780" w:type="dxa"/>
            <w:vAlign w:val="bottom"/>
          </w:tcPr>
          <w:p>
            <w:pPr>
              <w:spacing w:after="0"/>
              <w:rPr>
                <w:sz w:val="24"/>
                <w:szCs w:val="24"/>
                <w:color w:val="auto"/>
              </w:rPr>
            </w:pPr>
          </w:p>
        </w:tc>
        <w:tc>
          <w:tcPr>
            <w:tcW w:w="3860" w:type="dxa"/>
            <w:vAlign w:val="bottom"/>
            <w:gridSpan w:val="2"/>
          </w:tcPr>
          <w:p>
            <w:pPr>
              <w:jc w:val="right"/>
              <w:ind w:right="2650"/>
              <w:spacing w:after="0"/>
              <w:rPr>
                <w:sz w:val="20"/>
                <w:szCs w:val="20"/>
                <w:color w:val="auto"/>
              </w:rPr>
            </w:pPr>
            <w:r>
              <w:rPr>
                <w:rFonts w:ascii="Arial" w:cs="Arial" w:eastAsia="Arial" w:hAnsi="Arial"/>
                <w:sz w:val="18"/>
                <w:szCs w:val="18"/>
                <w:color w:val="auto"/>
              </w:rPr>
              <w:t>F- 25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4"/>
                <w:szCs w:val="24"/>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Debt Issuance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Debt Issuance</w:t>
            </w:r>
          </w:p>
        </w:tc>
      </w:tr>
      <w:tr>
        <w:trPr>
          <w:trHeight w:val="234"/>
        </w:trPr>
        <w:tc>
          <w:tcPr>
            <w:tcW w:w="5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Costs</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Costs</w:t>
            </w: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5"/>
            <w:shd w:val="clear" w:color="auto" w:fill="CCEEFF"/>
          </w:tcPr>
          <w:p>
            <w:pPr>
              <w:ind w:left="580"/>
              <w:spacing w:after="0"/>
              <w:rPr>
                <w:sz w:val="20"/>
                <w:szCs w:val="20"/>
                <w:color w:val="auto"/>
              </w:rPr>
            </w:pPr>
            <w:r>
              <w:rPr>
                <w:rFonts w:ascii="Arial" w:cs="Arial" w:eastAsia="Arial" w:hAnsi="Arial"/>
                <w:sz w:val="16"/>
                <w:szCs w:val="16"/>
                <w:color w:val="auto"/>
              </w:rPr>
              <w:t>(amounts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324"/>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Term Loan, interest of 4.80% and 3.61% at December 31, 2018 and 2017,</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78,641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93,125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Facility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1, 2017, the Company entered into an Amendment and Restatement of its Credit Agreement dated June 22, 2016 (Amended and Restated Credit Agreement), to refinance and increase the current aggregate committed size of the facility to $215.0 million, including a term loan of $100.0 million (Amended Term Loan) and a $115.0 million revolving credit facility (Amended Revolving Credit Facility) (together with the Amended Term Loan, the Amended Credit Facilities). The Amended Revolving Credit Facility includes a subfacility for swingline loans up to an amount not to exceed $15.0 million, and a $35.0 million sublimit for the issuance of standby letters of credit. The proceeds of $106.5 million from this refinancing included $6.5 million under the new revolving credit facility and were used to repay borrowings under the Company’s 2016 Senior Credit Facilities (defined below), as well as to pay related interest, fees, and expenses of the transaction.</w:t>
      </w:r>
    </w:p>
    <w:p>
      <w:pPr>
        <w:spacing w:after="0" w:line="18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In addition to increasing the size of the facilities, the maturity date was extended to August 1, 2022. The Amended and Restated Credit Agreement also includes an accordion feature permitting the Company, subject to certain conditions, to increase the aggregate amount of the commitments under the Amended Revolving Credit Facility or establish one or more additional term loans in an aggregate amount not to exceed $50.0 million with optional additional commitments from existing lenders or new commitments from additional lenders. Other terms and pricing are substantially similar to the 2016 Credit Agreement (defined below).</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Borrowings under the Amended Term Loan are payable in quarterly installments, which commenced January 2, 2018, provided that, to the extent not previously paid, the aggregate unpaid principal balance would be due and payable on the maturity date. In addition to its scheduled payments, in both the third and fourth quarters of 2018, the Company made optional prepayments of $5.0 million each as permitted by the Amended and Restated Credit Agreement. The Company has the right at any time and from time to time to prepay any borrowing, in whole or in part, without premium or penalty, by giving written notice (or telephonic notice promptly confirmed in writing). The Company is required to prepay the Amended Credit Facilities under certain circumstances including from net cash proceeds from asset sales or dispositions in excess of certain thresholds, as well as from net cash proceeds from the issuance of certain debt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aggregate scheduled maturities of debt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60" w:type="dxa"/>
            <w:vAlign w:val="bottom"/>
          </w:tcPr>
          <w:p>
            <w:pPr>
              <w:jc w:val="right"/>
              <w:ind w:right="851"/>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422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6"/>
                <w:szCs w:val="16"/>
                <w:color w:val="auto"/>
              </w:rPr>
              <w:t>(amounts in thousands)</w:t>
            </w:r>
          </w:p>
        </w:tc>
      </w:tr>
      <w:tr>
        <w:trPr>
          <w:trHeight w:val="243"/>
        </w:trPr>
        <w:tc>
          <w:tcPr>
            <w:tcW w:w="4220" w:type="dxa"/>
            <w:vAlign w:val="bottom"/>
          </w:tcPr>
          <w:p>
            <w:pPr>
              <w:jc w:val="right"/>
              <w:ind w:right="1230"/>
              <w:spacing w:after="0"/>
              <w:rPr>
                <w:sz w:val="20"/>
                <w:szCs w:val="20"/>
                <w:color w:val="auto"/>
              </w:rPr>
            </w:pPr>
            <w:r>
              <w:rPr>
                <w:rFonts w:ascii="Arial" w:cs="Arial" w:eastAsia="Arial" w:hAnsi="Arial"/>
                <w:sz w:val="18"/>
                <w:szCs w:val="18"/>
                <w:b w:val="1"/>
                <w:bCs w:val="1"/>
                <w:color w:val="auto"/>
                <w:w w:val="91"/>
              </w:rPr>
              <w:t>Through Years Ending December 31:</w:t>
            </w: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jc w:val="right"/>
              <w:ind w:right="3490"/>
              <w:spacing w:after="0"/>
              <w:rPr>
                <w:sz w:val="20"/>
                <w:szCs w:val="20"/>
                <w:color w:val="auto"/>
              </w:rPr>
            </w:pPr>
            <w:r>
              <w:rPr>
                <w:rFonts w:ascii="Arial" w:cs="Arial" w:eastAsia="Arial" w:hAnsi="Arial"/>
                <w:sz w:val="18"/>
                <w:szCs w:val="18"/>
                <w:color w:val="auto"/>
              </w:rPr>
              <w:t>2019</w:t>
            </w:r>
          </w:p>
        </w:tc>
        <w:tc>
          <w:tcPr>
            <w:tcW w:w="48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5,235</w:t>
            </w:r>
          </w:p>
        </w:tc>
      </w:tr>
      <w:tr>
        <w:trPr>
          <w:trHeight w:val="243"/>
        </w:trPr>
        <w:tc>
          <w:tcPr>
            <w:tcW w:w="4220" w:type="dxa"/>
            <w:vAlign w:val="bottom"/>
          </w:tcPr>
          <w:p>
            <w:pPr>
              <w:jc w:val="right"/>
              <w:ind w:right="3490"/>
              <w:spacing w:after="0"/>
              <w:rPr>
                <w:sz w:val="20"/>
                <w:szCs w:val="20"/>
                <w:color w:val="auto"/>
              </w:rPr>
            </w:pPr>
            <w:r>
              <w:rPr>
                <w:rFonts w:ascii="Arial" w:cs="Arial" w:eastAsia="Arial" w:hAnsi="Arial"/>
                <w:sz w:val="18"/>
                <w:szCs w:val="18"/>
                <w:color w:val="auto"/>
              </w:rPr>
              <w:t>2020</w:t>
            </w: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tcPr>
          <w:p>
            <w:pPr>
              <w:jc w:val="right"/>
              <w:ind w:right="11"/>
              <w:spacing w:after="0"/>
              <w:rPr>
                <w:sz w:val="20"/>
                <w:szCs w:val="20"/>
                <w:color w:val="auto"/>
              </w:rPr>
            </w:pPr>
            <w:r>
              <w:rPr>
                <w:rFonts w:ascii="Arial" w:cs="Arial" w:eastAsia="Arial" w:hAnsi="Arial"/>
                <w:sz w:val="18"/>
                <w:szCs w:val="18"/>
                <w:color w:val="auto"/>
              </w:rPr>
              <w:t>5,671</w:t>
            </w:r>
          </w:p>
        </w:tc>
      </w:tr>
      <w:tr>
        <w:trPr>
          <w:trHeight w:val="27"/>
        </w:trPr>
        <w:tc>
          <w:tcPr>
            <w:tcW w:w="4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jc w:val="right"/>
              <w:ind w:right="3490"/>
              <w:spacing w:after="0"/>
              <w:rPr>
                <w:sz w:val="20"/>
                <w:szCs w:val="20"/>
                <w:color w:val="auto"/>
              </w:rPr>
            </w:pPr>
            <w:r>
              <w:rPr>
                <w:rFonts w:ascii="Arial" w:cs="Arial" w:eastAsia="Arial" w:hAnsi="Arial"/>
                <w:sz w:val="18"/>
                <w:szCs w:val="18"/>
                <w:color w:val="auto"/>
              </w:rPr>
              <w:t>2021</w:t>
            </w:r>
          </w:p>
        </w:tc>
        <w:tc>
          <w:tcPr>
            <w:tcW w:w="4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6,980</w:t>
            </w:r>
          </w:p>
        </w:tc>
      </w:tr>
      <w:tr>
        <w:trPr>
          <w:trHeight w:val="243"/>
        </w:trPr>
        <w:tc>
          <w:tcPr>
            <w:tcW w:w="4220" w:type="dxa"/>
            <w:vAlign w:val="bottom"/>
          </w:tcPr>
          <w:p>
            <w:pPr>
              <w:jc w:val="right"/>
              <w:ind w:right="3490"/>
              <w:spacing w:after="0"/>
              <w:rPr>
                <w:sz w:val="20"/>
                <w:szCs w:val="20"/>
                <w:color w:val="auto"/>
              </w:rPr>
            </w:pPr>
            <w:r>
              <w:rPr>
                <w:rFonts w:ascii="Arial" w:cs="Arial" w:eastAsia="Arial" w:hAnsi="Arial"/>
                <w:sz w:val="18"/>
                <w:szCs w:val="18"/>
                <w:color w:val="auto"/>
              </w:rPr>
              <w:t>2022</w:t>
            </w: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tcPr>
          <w:p>
            <w:pPr>
              <w:jc w:val="right"/>
              <w:ind w:right="11"/>
              <w:spacing w:after="0"/>
              <w:rPr>
                <w:sz w:val="20"/>
                <w:szCs w:val="20"/>
                <w:color w:val="auto"/>
              </w:rPr>
            </w:pPr>
            <w:r>
              <w:rPr>
                <w:rFonts w:ascii="Arial" w:cs="Arial" w:eastAsia="Arial" w:hAnsi="Arial"/>
                <w:sz w:val="18"/>
                <w:szCs w:val="18"/>
                <w:color w:val="auto"/>
              </w:rPr>
              <w:t>65,990</w:t>
            </w:r>
          </w:p>
        </w:tc>
      </w:tr>
      <w:tr>
        <w:trPr>
          <w:trHeight w:val="27"/>
        </w:trPr>
        <w:tc>
          <w:tcPr>
            <w:tcW w:w="4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jc w:val="right"/>
              <w:ind w:right="3490"/>
              <w:spacing w:after="0"/>
              <w:rPr>
                <w:sz w:val="20"/>
                <w:szCs w:val="20"/>
                <w:color w:val="auto"/>
              </w:rPr>
            </w:pPr>
            <w:r>
              <w:rPr>
                <w:rFonts w:ascii="Arial" w:cs="Arial" w:eastAsia="Arial" w:hAnsi="Arial"/>
                <w:sz w:val="18"/>
                <w:szCs w:val="18"/>
                <w:color w:val="auto"/>
              </w:rPr>
              <w:t>2023</w:t>
            </w:r>
          </w:p>
        </w:tc>
        <w:tc>
          <w:tcPr>
            <w:tcW w:w="44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220" w:type="dxa"/>
            <w:vAlign w:val="bottom"/>
          </w:tcPr>
          <w:p>
            <w:pPr>
              <w:jc w:val="right"/>
              <w:ind w:right="3270"/>
              <w:spacing w:after="0"/>
              <w:rPr>
                <w:sz w:val="20"/>
                <w:szCs w:val="20"/>
                <w:color w:val="auto"/>
              </w:rPr>
            </w:pPr>
            <w:r>
              <w:rPr>
                <w:rFonts w:ascii="Arial" w:cs="Arial" w:eastAsia="Arial" w:hAnsi="Arial"/>
                <w:sz w:val="18"/>
                <w:szCs w:val="18"/>
                <w:color w:val="auto"/>
              </w:rPr>
              <w:t>Total</w:t>
            </w:r>
          </w:p>
        </w:tc>
        <w:tc>
          <w:tcPr>
            <w:tcW w:w="44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83,876</w:t>
            </w:r>
          </w:p>
        </w:tc>
      </w:tr>
      <w:tr>
        <w:trPr>
          <w:trHeight w:val="20"/>
        </w:trPr>
        <w:tc>
          <w:tcPr>
            <w:tcW w:w="4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446"/>
        </w:trPr>
        <w:tc>
          <w:tcPr>
            <w:tcW w:w="4220" w:type="dxa"/>
            <w:vAlign w:val="bottom"/>
          </w:tcPr>
          <w:p>
            <w:pPr>
              <w:spacing w:after="0"/>
              <w:rPr>
                <w:sz w:val="24"/>
                <w:szCs w:val="24"/>
                <w:color w:val="auto"/>
              </w:rPr>
            </w:pPr>
          </w:p>
        </w:tc>
        <w:tc>
          <w:tcPr>
            <w:tcW w:w="4840" w:type="dxa"/>
            <w:vAlign w:val="bottom"/>
            <w:gridSpan w:val="2"/>
          </w:tcPr>
          <w:p>
            <w:pPr>
              <w:jc w:val="right"/>
              <w:ind w:right="3070"/>
              <w:spacing w:after="0"/>
              <w:rPr>
                <w:sz w:val="20"/>
                <w:szCs w:val="20"/>
                <w:color w:val="auto"/>
              </w:rPr>
            </w:pPr>
            <w:r>
              <w:rPr>
                <w:rFonts w:ascii="Arial" w:cs="Arial" w:eastAsia="Arial" w:hAnsi="Arial"/>
                <w:sz w:val="18"/>
                <w:szCs w:val="18"/>
                <w:color w:val="auto"/>
              </w:rPr>
              <w:t>F- 26</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Subject to the Amended and Restated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287" w:lineRule="exact"/>
        <w:rPr>
          <w:sz w:val="20"/>
          <w:szCs w:val="20"/>
          <w:color w:val="auto"/>
        </w:rPr>
      </w:pPr>
    </w:p>
    <w:tbl>
      <w:tblPr>
        <w:tblLayout w:type="fixed"/>
        <w:tblInd w:w="310" w:type="dxa"/>
        <w:tblCellMar>
          <w:top w:w="0" w:type="dxa"/>
          <w:left w:w="0" w:type="dxa"/>
          <w:bottom w:w="0" w:type="dxa"/>
          <w:right w:w="0" w:type="dxa"/>
        </w:tblCellMar>
      </w:tblPr>
      <w:tr>
        <w:trPr>
          <w:trHeight w:val="238"/>
        </w:trPr>
        <w:tc>
          <w:tcPr>
            <w:tcW w:w="1120" w:type="dxa"/>
            <w:vAlign w:val="bottom"/>
            <w:tcBorders>
              <w:top w:val="single" w:sz="8" w:color="auto"/>
              <w:left w:val="single" w:sz="8" w:color="auto"/>
              <w:right w:val="single" w:sz="8" w:color="auto"/>
            </w:tcBorders>
          </w:tcPr>
          <w:p>
            <w:pPr>
              <w:spacing w:after="0"/>
              <w:rPr>
                <w:sz w:val="20"/>
                <w:szCs w:val="20"/>
                <w:color w:val="auto"/>
              </w:rPr>
            </w:pPr>
          </w:p>
        </w:tc>
        <w:tc>
          <w:tcPr>
            <w:tcW w:w="358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Eurodollar Loans, LIBOR</w:t>
            </w:r>
          </w:p>
        </w:tc>
        <w:tc>
          <w:tcPr>
            <w:tcW w:w="194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spacing w:after="0"/>
              <w:rPr>
                <w:sz w:val="20"/>
                <w:szCs w:val="20"/>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Index Rate Loans and</w:t>
            </w:r>
          </w:p>
        </w:tc>
        <w:tc>
          <w:tcPr>
            <w:tcW w:w="19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Consolidated Net Leverage Ratio</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Letter of Credit Fee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Less than 1.50:1.00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112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1.50:1.00</w:t>
            </w:r>
          </w:p>
        </w:tc>
        <w:tc>
          <w:tcPr>
            <w:tcW w:w="21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r>
      <w:tr>
        <w:trPr>
          <w:trHeight w:val="230"/>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2.00:1.00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112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2.00:1.00</w:t>
            </w:r>
          </w:p>
        </w:tc>
        <w:tc>
          <w:tcPr>
            <w:tcW w:w="21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r>
      <w:tr>
        <w:trPr>
          <w:trHeight w:val="230"/>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2.50:1.00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2.25%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112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2.50:1.00</w:t>
            </w:r>
          </w:p>
        </w:tc>
        <w:tc>
          <w:tcPr>
            <w:tcW w:w="21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r>
      <w:tr>
        <w:trPr>
          <w:trHeight w:val="230"/>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3.00:1.00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3.00:1.00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0.40%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2018, the Amended Term Loan and Amended Revolving Credit Facility bore interest at a rate equal to One Month LIBOR plus 2.50%. The interest rate is subject to an increase of 2.00% if an event of default exists under the Amended and Restated Credit Agreement. The Company is required to pay a commitment fee on the average daily unused portion of the Amended Revolving Credit Facility, based on the Applicable Margin which is 0.35% as of December 31, 2018. During the three months ended March 31, 2018, the Company entered into an interest rate swap to reduce its exposure to fluctuations in the interest rates associated with its debt, which was effective April 2, 2018. See Note 9 - Derivatives.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Amended and Restated Credit Agreement contains customary representations, warranties, and affirmative covenants. The Amended and Restated Credit Agreement also contains customary negative covenants, subject to some exceptions, on: (i) indebtedness and preferred equity; (ii) liens; (iii) fundamental changes; (iv) investments; (v) restricted payments; and (vi) sale of assets and certain other restrictive agreements. The Amended and Restated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Amended and Restated Credit Agreement also includes two financial covenants: (i) a maximum Consolidated Total Leverage ratio (as defined therein); and (ii) a minimum Consolidated Fixed Charge Coverage ratio (as defined therein) as of the end of each fiscal quarter of 1.50:1.00. As of December 31, 2018, the Company was in compliance with the financial covenants and other covenants contained in the Credit Agreement.</w:t>
      </w:r>
    </w:p>
    <w:p>
      <w:pPr>
        <w:spacing w:after="0" w:line="166"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On October 30, 2018, the Company entered into a First Amendment (First Amendment) to its Amended and Restated Credit Agreement that, among other administrative and clarifying changes, modified the following: (1) the definition utilized in its financial covenants of Consolidated EBITDA to allow for exclusion of charges related to the Company’s initiative to replace its front-end system supporting its legacy travel nurse operations, subject to a basket of addbacks, of which the basket dollar amount was also increased; (2) increased the maximum Consolidated Total Leverage Ratio to 3.75:1.00 from 3.25:1:00 for the periods of September 30, 2018 through June 30, 2019, to 3.50:1:00 from 3.00:1.00 for the period ended September 30, 2019, to 3.25:1.00 from</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3.00:1:00 for the period ended December 31, 2019, and maintained 3.00:1:00 for the periods thereafter and as adjusted pursuant to a Qualified Permitted Acquisition (as defined therein); and (3) increased the pro forma Consolidated Total Leverage Ratio threshold for allowing restricted payments. In connection with the First Amendment, the Company paid $0.3 million in fees to its lenders, of which a portion has been included in other noncurrent assets as deferred issuance costs related to the revolving credit facility and a portion has been treated as a deduction to long-term debt related to its Term Loan.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00"/>
          </w:cols>
          <w:pgMar w:left="240" w:top="337"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full terms and provisions of the Amended and Restated Credit Agreement.</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obligations under the Amended and Restated Credit Agreement are guaranteed by all of the Company’s domestic wholly-owned subsidiaries and are secured by a first-priority security interest in the Collateral (as defined therein).</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December 31, 2018, the Company has $20.6 million letters of credit outstanding, which relate to the Company’s workers’ compensation and professional liability insurance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Senior Credit Facilities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June 22, 2016, the Company entered into a senior credit agreement (2016 Credit Agreement), which provided for an initial term loan of $40.0 million (Term Loan) and a revolving credit facility of up to $100.0 million (Revolving Credit Facility) (together with the Term Loan, the 2016 Senior Credit Facilities) both of which would have matured on June 22, 2021. The Revolving Credit Facility included a subfacility for swingline loans up to an amount not to exceed $15.0 million, and a $35.0 million sublimit for the issuance of standby letters of credit. Proceeds of the Senior Credit Facilities were used primarily to refinance the Company’s prior senior secured asset-based credit facility and $30.0 million Second Lien Term Loan and to pay related transaction fees and expenses, including a redemption premium of $0.6 million. The repayment of the Second Lien Term Loan was treated as extinguishment of debt and, as a result, the Company recognized a loss on extinguishment of debt of approximately $1.6 million in the second quarter of 2016, related to the write-off of unamortized net debt discount and issuance costs as well as transaction fees and expenses.</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July 5, 2017, the Company entered into a Second Amendment to its 2016 Credit Agreement primarily to allow for the acquisition of Advantage including a reset of the Applicable Margin to Level III, based on the incremental borrowings and consistent with the prior pricing grid (or 2.25% for Eurodollar Loans and LIBOR Index Rate Loans, 1.25% for Base Rate Loans and a 0.30% commitment fee). Also, on July 5, 2017, the Company entered into an Incremental Term Loan Agreement for $40.0 million with SunTrust as Lender and Administrative Agent to pay for part of the consideration of the acquisition of Advantage. The Incremental Term Loan maturity date was June 22, 2021 and was prepayable at any time without penalty.</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Borrowings under the Incremental Term Loan were payable in quarterly installments, commencing September 30, 2017, with each such installment being in the aggregate principal amount (subject to adjustment as a result of prepayments) for the first eight installments equal to 1.875% and 2.5% of the principal amount of the Incremental Term Loan for the remaining installments; provided that, to the extent not previously paid, the aggregate unpaid principal balance would be due and payable on the maturity date. As of July 5, 2017 the Applicable Margin for Eurodollar Loans and LIBOR Index Rate Loans was 2.25% and the Applicable Margin for Base Rate Loans was 1.25%.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and certain of its domestic subsidiaries entered into a Convertible Note Purchase Agreement (the Note Purchase Agreement), with certain note holders (collectively, the Noteholders) on June 30, 2014. Pursuant to the Note Purchase Agreement, the Company sold to the Noteholders an aggregate of $25.0 million of convertible notes (the Convertible Notes). On March 17, 2017, the Company paid in full the Convertible Notes. In connection with the repayment, the Company issued to the Noteholders an aggregate of 3,175,584 shares of Common Stock, par value $0.0001, and cash in the aggregate amount of $5.6 million (of which $5.0 million is included in repayment of debt and $0.6 million is presented as extinguishment fees, both within financing activities on the consolidated statements of cash flows). Upon derecognition of the net carrying amounts of the Convertible Notes (the remaining $20.0 million after the $5.0 million cash payment) and derivative liability ($26.0 million), the Company recognized a non-cash charge of $5.0 million as loss on early extinguishment and a non-cash addition to additional paid-in capital of $46.0 million for the fair value of the shares, which is not presented on the consolidated statements of cash flows. The loss on early extinguishment of debt includes the write-off of unamortized loan fees and remaining interest due through the Forced Conversion date (defined below) of June 30, 2017.</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Convertible Notes were convertible at the option of the holders thereof at any time into shares of the Common Stock at a conversion price of $7.10 per share, or 3,521,126 shares of Common Stock. After three years from the issuance date, the Company had the right to force a conversion of the Convertible Notes if the volume-weighted average price (VWAP) per share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00"/>
          </w:cols>
          <w:pgMar w:left="240" w:top="337"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of its Common Stock exceeded 125% of the then conversion price for 20 days of a 30 day trading period (Forced Conversion date).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 Subject to certain exceptions, the Company was not permitted to redeem the Convertible Notes until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March 2018, the Company entered into an interest rate swap agreement, with an effective date of April 2, 2018 and termination date of August 1, 2022. No initial investments were made to enter into the agreement. The interest rate swap agreement requires the Company to pay a fixed rate to the respective counterparty of 2.627% per annum on an amortizing notional amount beginning at $48.8 million (corresponding with the initial term loan payment schedule), and to receive from the respective counterparty, interest payments based on the applicable notional amounts and 1 month USD LIBOR, with no exchanges of notional amounts. At initiation, the interest rate swap effectively fixed the interest rate on 50% of the amortizing balance of the Company’s term debt, exclusive of the credit spread on the debt. As of December 31, 2018, the interest rate swap is treated as a cash flow hedge and its fair value of a $0.2 million liability is included in current and noncurrent liabilities on the consolidated balance sheets. See Note 2 - Summary of Significant Accounting Policies and Note 10 - Fair Value Measurements.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Derivative Liability</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Company issued Convertible Notes with features that were either (i) not afforded equity classification, (ii) embody risks not clearly and closely related to host contracts, or (iii) may be net-cash settled by the counterparty. As required by the </w:t>
      </w:r>
      <w:r>
        <w:rPr>
          <w:rFonts w:ascii="Arial" w:cs="Arial" w:eastAsia="Arial" w:hAnsi="Arial"/>
          <w:sz w:val="16"/>
          <w:szCs w:val="16"/>
          <w:i w:val="1"/>
          <w:iCs w:val="1"/>
          <w:color w:val="auto"/>
        </w:rPr>
        <w:t>Accounting for Derivative Financial Instruments and Hedging Activities</w:t>
      </w:r>
      <w:r>
        <w:rPr>
          <w:rFonts w:ascii="Arial" w:cs="Arial" w:eastAsia="Arial" w:hAnsi="Arial"/>
          <w:sz w:val="16"/>
          <w:szCs w:val="16"/>
          <w:color w:val="auto"/>
        </w:rPr>
        <w:t xml:space="preserve"> Topic of the FASB ASC, in certain instances, these instruments were required to be carried as derivative liabilities, at fair value, in the financial statements. On March 17, 2017, the Company paid in full its Convertible Notes and, as a result, derecognized the derivative liability. See Note 8 - Debt.</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fair value of the derivative liability was primarily determined by fluctuations in the Company's stock price. In addition, changes in the Company's credit risk profile impacted the fair value determination. These fluctuations resulted in a current period gain that was presented on the Company's consolidated statements of operations as gain on derivative liability in 2017 and 2016 related to its Convertible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400"/>
          </w:cols>
          <w:pgMar w:left="240" w:top="337"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Company’s financial assets/liabilities required to be measured on a recurring basis were its: deferred compensation liability included in other long-term liabilities, interest rate swap agreement included in other current and noncurrent liabilities, Convertible Notes derivative liability included in long-term debt and capital lease obligations, and contingent consideration liabilities.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liability. The Company’s deferred compensation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measured using publicly available indices that define the liability amounts, as per the plan documents.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 agreement</w:t>
      </w:r>
      <w:r>
        <w:rPr>
          <w:rFonts w:ascii="Arial" w:cs="Arial" w:eastAsia="Arial" w:hAnsi="Arial"/>
          <w:sz w:val="16"/>
          <w:szCs w:val="16"/>
          <w:color w:val="auto"/>
        </w:rPr>
        <w:t>—The Company utilized Level 2 inputs to value its interest rate swap agreement. See Note 8 - Debt and Note 9 - Derivatives.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Convertible notes derivative liability</w:t>
      </w:r>
      <w:r>
        <w:rPr>
          <w:rFonts w:ascii="Arial" w:cs="Arial" w:eastAsia="Arial" w:hAnsi="Arial"/>
          <w:sz w:val="18"/>
          <w:szCs w:val="18"/>
          <w:color w:val="auto"/>
        </w:rPr>
        <w:t>—The Company utilized Level 3 inputs to value its Convertible Notes derivative liability. On March 17,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paid in full its Convertible Notes and, as a result, derecognized the derivative liability.</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Contingent consideration liabilities</w:t>
      </w:r>
      <w:r>
        <w:rPr>
          <w:rFonts w:ascii="Arial" w:cs="Arial" w:eastAsia="Arial" w:hAnsi="Arial"/>
          <w:sz w:val="17"/>
          <w:szCs w:val="17"/>
          <w:color w:val="auto"/>
        </w:rPr>
        <w:t>—Potential earnout payments related to the acquisition of Mediscan and USR are contingent upon meeting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requirements through 2019. The long-term portion of these liabilities has been included in contingent consideration, and the short-term portion is included in other current liabilities on the consolidated balance sheets. The Company utilized Level 3 inputs to value these contingent consideration liabilities as significant unobservable inputs were used in the calculation of their fair value. Both of the Mediscan contingent consideration liabilities have been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In the third quarter of 2017, the Company determined that one of the contingent consideration earnouts related to the Mediscan acquisition would not be achieved for 2017 and, as a result, the entire earnout was reversed. The contingent consideration related to the Company's acquisition of USR was recorded as a liability and measured at fair value using a discounted cash flow model utilizing significant unobservable inputs, including the probability of achieving each of the potential milestones and an estimated discount rate commensurate with the risks of the expected cash flows attributable to the milestones. In the third quarter of 2018, the Company determined that the contingent consideration earnout related to the USR acquisition would not be achieved for 2018 and 2019 and, as a result, the entire liability was reversed. See Note 4 - Acquisitions.</w:t>
      </w:r>
    </w:p>
    <w:p>
      <w:pPr>
        <w:spacing w:after="0" w:line="1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Fair Value Measurements</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4"/>
            <w:shd w:val="clear" w:color="auto" w:fill="CCEEFF"/>
          </w:tcPr>
          <w:p>
            <w:pPr>
              <w:jc w:val="right"/>
              <w:ind w:right="153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3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(Level 2)</w:t>
            </w: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vMerge w:val="continue"/>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3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(Level 3)</w:t>
            </w: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vMerge w:val="continue"/>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Contingent consideration liabilities</w:t>
            </w:r>
          </w:p>
        </w:tc>
        <w:tc>
          <w:tcPr>
            <w:tcW w:w="3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7,689</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60" w:type="dxa"/>
            <w:vAlign w:val="bottom"/>
          </w:tcPr>
          <w:p>
            <w:pPr>
              <w:spacing w:after="0"/>
              <w:rPr>
                <w:sz w:val="24"/>
                <w:szCs w:val="24"/>
                <w:color w:val="auto"/>
              </w:rPr>
            </w:pPr>
          </w:p>
        </w:tc>
        <w:tc>
          <w:tcPr>
            <w:tcW w:w="3140" w:type="dxa"/>
            <w:vAlign w:val="bottom"/>
            <w:gridSpan w:val="2"/>
          </w:tcPr>
          <w:p>
            <w:pPr>
              <w:jc w:val="right"/>
              <w:ind w:right="1000"/>
              <w:spacing w:after="0"/>
              <w:rPr>
                <w:sz w:val="20"/>
                <w:szCs w:val="20"/>
                <w:color w:val="auto"/>
              </w:rPr>
            </w:pPr>
            <w:r>
              <w:rPr>
                <w:rFonts w:ascii="Arial" w:cs="Arial" w:eastAsia="Arial" w:hAnsi="Arial"/>
                <w:sz w:val="18"/>
                <w:szCs w:val="18"/>
                <w:color w:val="auto"/>
              </w:rPr>
              <w:t>F- 30</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5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opening balances of contingent consideration and Convertible Notes derivative liabilities are reconciled to the closing balances for fair value measurements of these liabilities categorized within Level 3 of the fair value hierarchy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Contingent Consideration</w:t>
            </w:r>
          </w:p>
        </w:tc>
        <w:tc>
          <w:tcPr>
            <w:tcW w:w="28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b w:val="1"/>
                <w:bCs w:val="1"/>
                <w:color w:val="auto"/>
              </w:rPr>
              <w:t>Convertible Notes</w:t>
            </w:r>
          </w:p>
        </w:tc>
      </w:tr>
      <w:tr>
        <w:trPr>
          <w:trHeight w:val="270"/>
        </w:trPr>
        <w:tc>
          <w:tcPr>
            <w:tcW w:w="6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Liabilities</w:t>
            </w:r>
          </w:p>
        </w:tc>
        <w:tc>
          <w:tcPr>
            <w:tcW w:w="280" w:type="dxa"/>
            <w:vAlign w:val="bottom"/>
          </w:tcPr>
          <w:p>
            <w:pPr>
              <w:spacing w:after="0"/>
              <w:rPr>
                <w:sz w:val="23"/>
                <w:szCs w:val="23"/>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b w:val="1"/>
                <w:bCs w:val="1"/>
                <w:color w:val="auto"/>
              </w:rPr>
              <w:t>Derivative Liability</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4"/>
            <w:shd w:val="clear" w:color="auto" w:fill="CCEEFF"/>
          </w:tcPr>
          <w:p>
            <w:pPr>
              <w:jc w:val="right"/>
              <w:ind w:right="1770"/>
              <w:spacing w:after="0"/>
              <w:rPr>
                <w:sz w:val="20"/>
                <w:szCs w:val="20"/>
                <w:color w:val="auto"/>
              </w:rPr>
            </w:pPr>
            <w:r>
              <w:rPr>
                <w:rFonts w:ascii="Arial" w:cs="Arial" w:eastAsia="Arial" w:hAnsi="Arial"/>
                <w:sz w:val="16"/>
                <w:szCs w:val="16"/>
                <w:color w:val="auto"/>
              </w:rPr>
              <w:t>(amounts in thousands)</w:t>
            </w:r>
          </w:p>
        </w:tc>
      </w:tr>
      <w:tr>
        <w:trPr>
          <w:trHeight w:val="189"/>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27,532</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Payments/Settlements</w:t>
            </w:r>
          </w:p>
        </w:tc>
        <w:tc>
          <w:tcPr>
            <w:tcW w:w="22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(25,951)</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Valuation gain for the period</w:t>
            </w:r>
          </w:p>
        </w:tc>
        <w:tc>
          <w:tcPr>
            <w:tcW w:w="22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Valuation loss for the period</w:t>
            </w:r>
          </w:p>
        </w:tc>
        <w:tc>
          <w:tcPr>
            <w:tcW w:w="220" w:type="dxa"/>
            <w:vAlign w:val="bottom"/>
          </w:tcPr>
          <w:p>
            <w:pPr>
              <w:spacing w:after="0"/>
              <w:rPr>
                <w:sz w:val="21"/>
                <w:szCs w:val="21"/>
                <w:color w:val="auto"/>
              </w:rPr>
            </w:pPr>
          </w:p>
        </w:tc>
        <w:tc>
          <w:tcPr>
            <w:tcW w:w="2420" w:type="dxa"/>
            <w:vAlign w:val="bottom"/>
          </w:tcPr>
          <w:p>
            <w:pPr>
              <w:jc w:val="right"/>
              <w:ind w:right="31"/>
              <w:spacing w:after="0"/>
              <w:rPr>
                <w:sz w:val="20"/>
                <w:szCs w:val="20"/>
                <w:color w:val="auto"/>
              </w:rPr>
            </w:pPr>
            <w:r>
              <w:rPr>
                <w:rFonts w:ascii="Arial" w:cs="Arial" w:eastAsia="Arial" w:hAnsi="Arial"/>
                <w:sz w:val="18"/>
                <w:szCs w:val="18"/>
                <w:color w:val="auto"/>
              </w:rPr>
              <w:t>1,698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7,689</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During an evaluation of goodwill, trade names, and other intangible assets during the years ended December 31, 2018, 2017, and 2016, the carrying value of goodwill, trade names, and other intangible assets in the Physician Staffing reporting unit exceeded their fair values. As a result, the Company recorded impairment charges that incorporates fair value measurements based on Level 3 inputs. For further discussion on measuring the Company's non-financial assets, specifically goodwill, trade names, and customer relationships, see Note 5 - Goodwill, Trade Names, and Other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Financial instruments not measured or recorded at fair value in the accompanying consolidated balance sheets consist of cash and cash equivalents, accounts receivable, accounts payable and accrued expenses, and short and long-term debt. The estimated fair value of accounts receivable, accounts payable,</w:t>
      </w:r>
    </w:p>
    <w:p>
      <w:pPr>
        <w:ind w:right="260"/>
        <w:spacing w:after="0" w:line="323" w:lineRule="auto"/>
        <w:rPr>
          <w:sz w:val="20"/>
          <w:szCs w:val="20"/>
          <w:color w:val="auto"/>
        </w:rPr>
      </w:pPr>
      <w:r>
        <w:rPr>
          <w:rFonts w:ascii="Arial" w:cs="Arial" w:eastAsia="Arial" w:hAnsi="Arial"/>
          <w:sz w:val="16"/>
          <w:szCs w:val="16"/>
          <w:color w:val="auto"/>
        </w:rPr>
        <w:t>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72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Pr>
          <w:p>
            <w:pPr>
              <w:spacing w:after="0"/>
              <w:rPr>
                <w:sz w:val="20"/>
                <w:szCs w:val="20"/>
                <w:color w:val="auto"/>
              </w:rPr>
            </w:pPr>
          </w:p>
        </w:tc>
        <w:tc>
          <w:tcPr>
            <w:tcW w:w="3120" w:type="dxa"/>
            <w:vAlign w:val="bottom"/>
            <w:gridSpan w:val="4"/>
          </w:tcPr>
          <w:p>
            <w:pPr>
              <w:ind w:left="70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36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6"/>
              </w:rPr>
              <w:t>Fair</w:t>
            </w:r>
          </w:p>
        </w:tc>
        <w:tc>
          <w:tcPr>
            <w:tcW w:w="2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360" w:type="dxa"/>
            <w:vAlign w:val="bottom"/>
          </w:tcPr>
          <w:p>
            <w:pPr>
              <w:spacing w:after="0"/>
              <w:rPr>
                <w:sz w:val="18"/>
                <w:szCs w:val="18"/>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Pr>
          <w:p>
            <w:pPr>
              <w:spacing w:after="0"/>
              <w:rPr>
                <w:sz w:val="20"/>
                <w:szCs w:val="20"/>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5"/>
            <w:shd w:val="clear" w:color="auto" w:fill="CCEEFF"/>
          </w:tcPr>
          <w:p>
            <w:pPr>
              <w:ind w:left="580"/>
              <w:spacing w:after="0"/>
              <w:rPr>
                <w:sz w:val="20"/>
                <w:szCs w:val="20"/>
                <w:color w:val="auto"/>
              </w:rPr>
            </w:pPr>
            <w:r>
              <w:rPr>
                <w:rFonts w:ascii="Arial" w:cs="Arial" w:eastAsia="Arial" w:hAnsi="Arial"/>
                <w:sz w:val="16"/>
                <w:szCs w:val="16"/>
                <w:color w:val="auto"/>
              </w:rPr>
              <w:t>(amounts in thousands)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64"/>
        </w:trPr>
        <w:tc>
          <w:tcPr>
            <w:tcW w:w="4360" w:type="dxa"/>
            <w:vAlign w:val="bottom"/>
          </w:tcPr>
          <w:p>
            <w:pPr>
              <w:ind w:left="280"/>
              <w:spacing w:after="0"/>
              <w:rPr>
                <w:sz w:val="20"/>
                <w:szCs w:val="20"/>
                <w:color w:val="auto"/>
              </w:rPr>
            </w:pPr>
            <w:r>
              <w:rPr>
                <w:rFonts w:ascii="Arial" w:cs="Arial" w:eastAsia="Arial" w:hAnsi="Arial"/>
                <w:sz w:val="18"/>
                <w:szCs w:val="18"/>
                <w:color w:val="auto"/>
              </w:rPr>
              <w:t>Term Loan,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83,179</w:t>
            </w:r>
          </w:p>
        </w:tc>
        <w:tc>
          <w:tcPr>
            <w:tcW w:w="2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81,800</w:t>
            </w:r>
          </w:p>
        </w:tc>
        <w:tc>
          <w:tcPr>
            <w:tcW w:w="2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99,134</w:t>
            </w:r>
          </w:p>
        </w:tc>
        <w:tc>
          <w:tcPr>
            <w:tcW w:w="2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100,500</w:t>
            </w: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has invested its excess cash in highly-rated overnight funds and other highly-rated liquid accounts. The Company is exposed to credit risk associated with these investments, as the cash balances typically exceed the current Federal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ectPr>
          <w:pgSz w:w="11900" w:h="16838" w:orient="portrait"/>
          <w:cols w:equalWidth="0" w:num="1">
            <w:col w:w="11420"/>
          </w:cols>
          <w:pgMar w:left="240" w:top="24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Deposit Insurance Corporation (FDIC) limit of $250,000.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of invoice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Contributions by the Company, net of forfeitures, under this plan amounted to $0.8 million, $0.7 million, and $0.8 million for the years ended December 31, 2018, 2017, and 2016, respectively. Eligible employees who elect to participate in the plan are generally vested in any existing matching contribution after three years of service with the Company.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offers a non-qualified deferred compensation program to certain key employees whereby they may defer a portion of annual compensation for payment upon retirement. The program is unfunded for tax purposes and for purposes of Title I of the Employee Retirement Income Security Act of 1974. The liability for the deferred compensation is included in other long-term liabilities on the consolidated balance sheets and amounted to $1.7 million and $1.5 million at December 31, 2018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December 31, 2018, associated with these agreements with terms of one year or more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Arial" w:cs="Arial" w:eastAsia="Arial" w:hAnsi="Arial"/>
                <w:sz w:val="16"/>
                <w:szCs w:val="16"/>
                <w:color w:val="auto"/>
                <w:w w:val="95"/>
              </w:rPr>
              <w:t>(amounts in thousands)</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7,451</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6,287</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5,407</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4,857</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4,700</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5,893</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34,595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operating lease expense included in selling, general, and administrative expenses was approximately $9.3 million, $9.4 million, and $8.4 million for the years ending December 31, 2018,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243"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Non-income tax expense is included in selling, general and administrative expenses on its consolidated statements of operations and the liability is reflected in sales tax payable within other current liabilities as of December 31, 2018 and 2017, on its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its profitability. Adverse developments in existing litigation claims or legal proceedings involving the Company or new claims could require it to establish or increase litigation reserves or enter into unfavorable settlements or satisfy judgments for monetary damages for amounts in excess of current reserves, which could adversely affect its financial results. With regard to the outstanding contingencies as of December 31, 2018, the Company believes the outcome of these matters will not have a material adverse effect on its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00"/>
          </w:cols>
          <w:pgMar w:left="240" w:top="243"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w w:val="94"/>
              </w:rPr>
              <w:t>The components of the Company's (loss) income before income taxes are as follows: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9"/>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The components of the Company’s income tax benefit are as follows:</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9"/>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24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 of assets and liabilities for financial reporting purposes and the amounts used for income tax purposes.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Arial" w:cs="Arial" w:eastAsia="Arial" w:hAnsi="Arial"/>
                <w:sz w:val="16"/>
                <w:szCs w:val="16"/>
                <w:color w:val="auto"/>
              </w:rPr>
              <w:t>(amounts in thousands)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other and prepaid expenses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15,717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14,718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professional liability claims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workers’ compensation claims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Credit carryforwards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Gross deferred tax assets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36,415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31,661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Valuation allowance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7"/>
        </w:trPr>
        <w:tc>
          <w:tcPr>
            <w:tcW w:w="79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35,226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30,585</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 intangibles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Tax on unrepatriated earnings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23,655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20,114</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22, 2017, the 2017 Tax Act was signed into legislation which, among other changes, reduced the corporate federal income tax rate from 35% to 21% effective for the Company's year ended December 31, 2018. The Company recorded income tax expense of $8.0 million, primarily due to a re-measurement of its deferred tax assets and liabilities in the fourth quarter of 2017. The impact of the Global Intangible Low-Taxed Income provision, the transition tax on the deemed repatriation of deferred foreign income, and any future tax impact associated with basis differences on foreign subsidiaries were immaterial.</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December 2017, the Securities and Exchange Commission (SEC) staff issued Staff Accounting Bulletin No. 118 (SAB 118), which provided guidance on accounting for the tax effects of the 2017 Tax Act. SAB 118 provided a measurement period that should not extend beyond one year from the enactment date for companies to complete the accounting required under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In accordance with SAB 118, the Company provided a provisional amount with regard to certain foreign tax provisions in 2017. In 2018, the Company revised its estimate with regard to the 2017 Tax Act and recorded $0.1 million of tax expense.</w:t>
      </w:r>
    </w:p>
    <w:p>
      <w:pPr>
        <w:spacing w:after="0" w:line="188"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As of December 31, 2016, the Company determined that it could not sustain a conclusion that it was more likely than not that it would realize any of its deferred tax assets resulting from recent losses, the difficulty of forecasting future taxable income, and other factors, and as a result, the Company had a valuation allowance on its deferred tax assets, exclusive of indefinite-lived intangible deferred tax liabilities.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year ended December 31, 2017, predominantly on the basis of a reassessment of the amount of its deferred tax assets that are more likely than not to be realized, the Company reduced its valuation allowance by $45.4 million (comprised of $15.7 million related to U.S. net operating losses, $4.4 million related to state net operating losses, and $25.3 million related to other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420"/>
          </w:cols>
          <w:pgMar w:left="240" w:top="24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deferred tax assets). The valuation allowance on a portion of state net operating losses not more likely than not realizable was not released after analysis of respective expiration periods and specific state taxable income projections.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2018, the Company continues to maintain a valuation allowance of $1.2 million on a portion of state net operating losses not more likely than not realizable.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31, 2018 and 2017, respectively, the Company had approximately $185.1 million and $166.1 million of federal, state, and foreign net operating loss carryforwards. The carryforwards will expire as follows: federal between 2032 and 2037, state between 2019 and 2038, and foreign between 2019 and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U.S. federal statutory rate to income tax benefit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Tax at U.S. statutory rate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(3,821)</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items (a)</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tax expense</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to provision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Federal rate change</w:t>
            </w:r>
          </w:p>
        </w:tc>
        <w:tc>
          <w:tcPr>
            <w:tcW w:w="10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(2,478)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Includes non-deductible meals and incidentals, miscellaneous non-deductible items, and beginning in 2018, non-deductible stock-based compensation.</w:t>
      </w:r>
    </w:p>
    <w:p>
      <w:pPr>
        <w:spacing w:after="0" w:line="2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tax years 2008 and 2010 through 2017 remain open to examination by certain taxing jurisdictions to which the Company is subject to tax. During 2018, the Company accrued $0.1 million of India tax on earnings of approximately $0.5 million. India withholding taxes on a dividend of India earnings are not affected by the calculation of U.S. taxes due and continue to be accrued.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3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6"/>
                <w:szCs w:val="16"/>
                <w:color w:val="auto"/>
                <w:w w:val="94"/>
              </w:rPr>
              <w:t>(amounts in thousands)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Balance at January 1</w:t>
            </w:r>
          </w:p>
        </w:tc>
        <w:tc>
          <w:tcPr>
            <w:tcW w:w="24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3,807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4,071</w:t>
            </w:r>
          </w:p>
        </w:tc>
      </w:tr>
      <w:tr>
        <w:trPr>
          <w:trHeight w:val="27"/>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1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prior years</w:t>
            </w:r>
          </w:p>
        </w:tc>
        <w:tc>
          <w:tcPr>
            <w:tcW w:w="1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Reductions based on settlements of tax positions related to prior years</w:t>
            </w:r>
          </w:p>
        </w:tc>
        <w:tc>
          <w:tcPr>
            <w:tcW w:w="1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2017 Tax Act federal tax rate change</w:t>
            </w:r>
          </w:p>
        </w:tc>
        <w:tc>
          <w:tcPr>
            <w:tcW w:w="1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4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5,412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5,180</w:t>
            </w:r>
          </w:p>
        </w:tc>
      </w:tr>
      <w:tr>
        <w:trPr>
          <w:trHeight w:val="20"/>
        </w:trPr>
        <w:tc>
          <w:tcPr>
            <w:tcW w:w="5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5300" w:type="dxa"/>
            <w:vAlign w:val="bottom"/>
          </w:tcPr>
          <w:p>
            <w:pPr>
              <w:spacing w:after="0"/>
              <w:rPr>
                <w:sz w:val="24"/>
                <w:szCs w:val="24"/>
                <w:color w:val="auto"/>
              </w:rPr>
            </w:pPr>
          </w:p>
        </w:tc>
        <w:tc>
          <w:tcPr>
            <w:tcW w:w="2400" w:type="dxa"/>
            <w:vAlign w:val="bottom"/>
            <w:gridSpan w:val="2"/>
          </w:tcPr>
          <w:p>
            <w:pPr>
              <w:jc w:val="right"/>
              <w:ind w:right="1710"/>
              <w:spacing w:after="0"/>
              <w:rPr>
                <w:sz w:val="20"/>
                <w:szCs w:val="20"/>
                <w:color w:val="auto"/>
              </w:rPr>
            </w:pPr>
            <w:r>
              <w:rPr>
                <w:rFonts w:ascii="Arial" w:cs="Arial" w:eastAsia="Arial" w:hAnsi="Arial"/>
                <w:sz w:val="18"/>
                <w:szCs w:val="18"/>
                <w:color w:val="auto"/>
              </w:rPr>
              <w:t>F- 36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243"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Short-term unrecognized tax benefits are included in other current liabilities on the consolidated balance sheets and were $0.1 million as of December 31, 2018, 2017, and 2016. Long-term unrecognized tax benefits are included in other long-term liabilities on the consolidated balance sheets and were $0.6 million, $0.5 million, and $0.9 million as of December 31, 2018, 2017, and 2016, respectively. See Note 7 - Balance Sheet Details. As of December 31, 2018, 2017, and 2016, the Company had unrecognized tax benefits, which would affect the effective tax rate if recognized, of $5.6 million, $4.0 million, and $4.9 million, respectively. During 2018, the Company had gross increases of $1.6 million to its current year unrecognized tax benefits, related to federal and state tax positions.</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recognizes interest and penalties related to unrecognized tax benefits in the provision for income taxes. During the year ended December 31, 2017, the Company recognized a decrease in interest and penalties of $0.2 million, related to statute expirations. The Company has accrued $0.3 million, $0.2 million, and $0.5 million for the payment of interest and penalties at December 31, 2018, 2017, and 2016,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an authorized share repurchase program, during the year ended December 31, 2018, the Company repurchased and retired 432,439 shares of its Common Stock for $5.0 million, at an average market price of $11.54 per share. During the years ended December 31, 2017 and 2016, the Company did not repurchase any shares of its Common Stock under this program.</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2018, the Company has 510,004 shares of Common Stock under the current share repurchase program available to repurchase, subject to certain conditions in the Company's Amended and Restated Credit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17, 2017, the Company issued 3,175,584 shares to its prior Convertible Notes noteholders. See Note 8 -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Omnibus Incentive Plan</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2014 Omnibus Incentive Plan (2014 Plan) provides for the issuance of stock options, stock appreciation rights, restricted stock, performance shares, and performance-based cash awards that may be granted with the intent to comply with the “performance-based compensation” exception under Section 162(m) of the Internal Revenue Code, and other stock-based awards, all as defined by the 2014 Plan, to eligible employees, consultants and non-employee Directors. On May 23, 2017, the Company's shareholders approved an amendment and restatement of its 2014 Plan (2017 Plan) which, among others, included the following modifications: (i) a 2,000,000 share increase of the aggregate share reserve to 6,100,000 shares, (2) extension of the 2014 Plan until May 23, 2027, and (3) re-approval of the Section 162(m) performance goals so that certain incentive awards granted to certain executive officers of the Company may qualify as exempt performance-based compensation.</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2017 Plan, the Compensation Committee of the Company’s Board of Directors (the Committee), has the discretion to determine the terms of the awards at the time of the grant provided, however, that in the case of stock options and stock appreciation rights (share options): 1) the exercise price per share of the award is not less than 100% (or, in the case of 10% or more stockholders, the exercise price of the incentive stock options (ISOs) granted may not be less than 110%) of the fair market value of the common stock at the time of the grant; and 2) the term of the award will be no more than 10 years after the date the option is granted (or, shall not exceed five years, in the case of a 10% or more stockholder). In the case of restricted stock, the purchase price may be zero to the extent permitted by applicable law.</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Restricted stock awards granted under the Company’s 2017 Plan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2017 Plan, the number of target shares that are issued for performance-based stock awards are determined based on the level of attainment of the targets.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F- 37</w:t>
      </w:r>
    </w:p>
    <w:p>
      <w:pPr>
        <w:sectPr>
          <w:pgSz w:w="11900" w:h="16838" w:orient="portrait"/>
          <w:cols w:equalWidth="0" w:num="1">
            <w:col w:w="11400"/>
          </w:cols>
          <w:pgMar w:left="240" w:top="243"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for the year ended December 31, 2018:</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200" w:type="dxa"/>
            <w:vAlign w:val="bottom"/>
            <w:gridSpan w:val="5"/>
          </w:tcPr>
          <w:p>
            <w:pPr>
              <w:ind w:left="600"/>
              <w:spacing w:after="0"/>
              <w:rPr>
                <w:sz w:val="20"/>
                <w:szCs w:val="20"/>
                <w:color w:val="auto"/>
              </w:rPr>
            </w:pPr>
            <w:r>
              <w:rPr>
                <w:rFonts w:ascii="Arial" w:cs="Arial" w:eastAsia="Arial" w:hAnsi="Arial"/>
                <w:sz w:val="18"/>
                <w:szCs w:val="18"/>
                <w:b w:val="1"/>
                <w:bCs w:val="1"/>
                <w:color w:val="auto"/>
              </w:rPr>
              <w:t>Restricted Stock Awards</w:t>
            </w:r>
          </w:p>
        </w:tc>
        <w:tc>
          <w:tcPr>
            <w:tcW w:w="30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Target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512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2018</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515,601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257,575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391,108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238,328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11.11</w:t>
            </w: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(219,881)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(97,708)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(64,062)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13.03</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December 31, 2018</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589,120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365,149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r>
      <w:tr>
        <w:trPr>
          <w:trHeight w:val="20"/>
        </w:trPr>
        <w:tc>
          <w:tcPr>
            <w:tcW w:w="5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March 31, 2018 and 2017, the Company awarded performance stock awards totaling 238,328 and 181,067, respectively. If the minimum level of performance is attained for the 2018 and 2017 awards, restricted stock will be issued with a vesting date of March 31, 2021 and 2020, respectively. The level of attainment will be certified within 30 days of the vest date. During the first quarter of 2017, the Company's Compensation Committee of the Board of Directors approved a 48% level of attainment for the 2016 performance-based share awards, resulting in the issuance of 66,692 performance shares that vested on December 31, 2018.</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2018, the Company had approximately $3.8 million pre-tax of total unrecognized compensation cost related to non-vested restricted stock awards which may be adjusted for future changes in forfeitures. The Company expects to recognize such cost over a weighted average period of 1.45 years. The fair value of shares vested was approximately $2.5 million, $3.7 million, and $4.3 million for the years ended December 31, 2018, 2017, and 2016,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the Company had approximately $0.3 million pre-tax of total unrecognized compensation cost related to performance stock awards which may be adjusted for future changes in forfeitures. The Company expects to recognize such cost over a weighted average period of 1.87 years, the remaining service period. The fair value of shares vested was approximately $0.5 million, $1.6 million, and $1.2 million for the years ended December 31, 2018, 2017, and 2016,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2018, 2017, and 2016, the Company did not issue stock options or stock appreciation rights. The following table represents information about stock options and stock appreciation rights exercised in each year.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2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color w:val="auto"/>
                <w:w w:val="90"/>
              </w:rPr>
              <w:t>(amounts 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intrinsic value of options exercised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stock appreciation rights can only be settled with stock or cash, at the discretion of the Committee. The stock appreciation rights vest 25% per year over a 4 year period and expire after 7 years. The Company’s policy is to issue new shares from its authorized but unissued balance of common stock outstanding or shares of common stock reacquired by the Company if stock appreciation rights are settled with stock.</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recorded compensation expense for stock options based on the estimated fair value of the options on the date of grant using the Black-Scholes option-pricing model. Due to the adoption of the 2014 Plan (previously titled the 2007 Stock Incentive Plan), no further grants have been issued under the Company’s 1999 Plans referred to below.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20"/>
          </w:cols>
          <w:pgMar w:left="240" w:top="24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Option Plan and Equity Participation Plan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16, 1999, the Company’s Board of Directors approved the 1999 Stock Option Plan and Equity Participation Plan (collectively, the 1999 Plans), which was amended and restated on October 25, 2001 and provided for the issuance of ISOs and non-qualified stock options to eligible employees and non-employee directors for the purchase of up to 4,398,001 shares of common stock.</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Company’s activities with respect to all of its share option plans (issued under the 2014 Plan and the 1999 Plan) for the year ended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Value (amounts</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Option Price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 (in years)</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in thousands)</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options outstanding, January 1, 2018</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94,500</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$4.16-$7.44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$4.16-$7.44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(2,500)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$7.44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$7.44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Share options outstanding and exercisable, December 31,</w:t>
            </w: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51,500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$4.35-$5.21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$4.87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December 31, 2018, the Company had 51,500 share options outstanding, all of which were vested at a weighted average exercise price of $4.87, intrinsic value of $0.1 million, and a weighted average contractual life of 1.02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24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1"/>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gridSpan w:val="7"/>
            <w:shd w:val="clear" w:color="auto" w:fill="CCEEFF"/>
          </w:tcPr>
          <w:p>
            <w:pPr>
              <w:jc w:val="center"/>
              <w:ind w:right="210"/>
              <w:spacing w:after="0"/>
              <w:rPr>
                <w:sz w:val="20"/>
                <w:szCs w:val="20"/>
                <w:color w:val="auto"/>
              </w:rPr>
            </w:pPr>
            <w:r>
              <w:rPr>
                <w:rFonts w:ascii="Arial" w:cs="Arial" w:eastAsia="Arial" w:hAnsi="Arial"/>
                <w:sz w:val="16"/>
                <w:szCs w:val="16"/>
                <w:color w:val="auto"/>
                <w:w w:val="89"/>
              </w:rPr>
              <w:t>(amounts in thousands, except per share data)</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common shareholders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on Convertible Notes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3,383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 attributable to common shareholders - Diluted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36,626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5,545</w:t>
            </w:r>
          </w:p>
        </w:tc>
      </w:tr>
      <w:tr>
        <w:trPr>
          <w:trHeight w:val="31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Basic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32,132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Effective of diluted shares: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awards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Convertible Notes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3,521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35,657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36,246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 attributable to common shareholders - 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 attributable to common shareholders -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years 2018, 2017, and 2016, no tax benefits were assumed in the weighted average share calculation due to the Company's net operating loss position.</w:t>
      </w:r>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represents the securities that could potentially dilute net income per share attributable to common shareholders in the future that were not included in the computation of diluted net income per share attributable to common shareholders because to do so would have been anti-dilutive for the periods presented.</w:t>
      </w:r>
    </w:p>
    <w:p>
      <w:pPr>
        <w:spacing w:after="0" w:line="14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37465</wp:posOffset>
            </wp:positionV>
            <wp:extent cx="3001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6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7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(amounts in thousands)</w:t>
            </w:r>
          </w:p>
        </w:tc>
        <w:tc>
          <w:tcPr>
            <w:tcW w:w="1420" w:type="dxa"/>
            <w:vAlign w:val="bottom"/>
            <w:tcBorders>
              <w:bottom w:val="single" w:sz="8" w:color="CCEEFF"/>
            </w:tcBorders>
            <w:shd w:val="clear" w:color="auto" w:fill="CCEEFF"/>
          </w:tcPr>
          <w:p>
            <w:pPr>
              <w:spacing w:after="0"/>
              <w:rPr>
                <w:sz w:val="20"/>
                <w:szCs w:val="20"/>
                <w:color w:val="auto"/>
              </w:rPr>
            </w:pPr>
          </w:p>
        </w:tc>
      </w:tr>
      <w:tr>
        <w:trPr>
          <w:trHeight w:val="264"/>
        </w:trPr>
        <w:tc>
          <w:tcPr>
            <w:tcW w:w="7240" w:type="dxa"/>
            <w:vAlign w:val="bottom"/>
            <w:gridSpan w:val="2"/>
          </w:tcPr>
          <w:p>
            <w:pPr>
              <w:jc w:val="right"/>
              <w:ind w:right="5780"/>
              <w:spacing w:after="0"/>
              <w:rPr>
                <w:sz w:val="20"/>
                <w:szCs w:val="20"/>
                <w:color w:val="auto"/>
              </w:rPr>
            </w:pPr>
            <w:r>
              <w:rPr>
                <w:rFonts w:ascii="Arial" w:cs="Arial" w:eastAsia="Arial" w:hAnsi="Arial"/>
                <w:sz w:val="18"/>
                <w:szCs w:val="18"/>
                <w:color w:val="auto"/>
                <w:w w:val="86"/>
              </w:rPr>
              <w:t>Share-based awards</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6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$0.1 million, $4.9 million, and $5.0 million in 2018, 2017, and 2016, respectively. Accounts receivable due from these hospitals at December 31, 2018 and 2017 were less than $0.1 million and approximately $0.4 million, respectively.</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acquisition of MSN, the Company acquired a 68% ownership interest in Cross Country Talent Acquisition Group, LLC (formerly InteliStaf of Oklahoma, LLC), a joint venture between the Company and a hospital system. The Company generated revenue providing staffing services to the hospital system of $19.4 million, $17.9 million, and $12.6 million in 2018, 2017, and 2016, respectively. At December 31, 2018 and 2017, the Company had a receivable balance of $2.8 million and $0.8 million, respectively, and a payable balance of $0.3 million at both periods.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420"/>
          </w:cols>
          <w:pgMar w:left="240" w:top="243"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$0.3 million in 2018, $0.4 million in 2017, and 2016 for rent for these premises. In the fourth quarter of 2018, the Company vacated the premises.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Data</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20" w:hanging="328"/>
        <w:spacing w:after="0" w:line="273" w:lineRule="auto"/>
        <w:tabs>
          <w:tab w:leader="none" w:pos="66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Nurse and Allied Staffing - </w:t>
      </w:r>
      <w:r>
        <w:rPr>
          <w:rFonts w:ascii="Arial" w:cs="Arial" w:eastAsia="Arial" w:hAnsi="Arial"/>
          <w:sz w:val="17"/>
          <w:szCs w:val="17"/>
          <w:color w:val="auto"/>
        </w:rPr>
        <w:t>Nurse and Allied Staffing provides traditional staffing, recruiting, and value-added workforce solutions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temporary and permanent placement of travel and local branch-based nurse and allied professionals, MSP services, education healthcare services, and outsourcing services. Its clients include: public and private acute care and non-acute care hospitals, government facilities, public schools and charter schools, outpatient clinics, ambulatory care facilities, physician practice groups, retailers, and many other healthcare providers throughout the United States. Substantially all of the results of the Advantage and AP Staffing acquisitions have been aggregated with the Company's Nurse and Allied Staffing business segment. See Note 4 - Acquisitions.</w:t>
      </w:r>
    </w:p>
    <w:p>
      <w:pPr>
        <w:spacing w:after="0" w:line="178" w:lineRule="exact"/>
        <w:rPr>
          <w:rFonts w:ascii="Arial" w:cs="Arial" w:eastAsia="Arial" w:hAnsi="Arial"/>
          <w:sz w:val="17"/>
          <w:szCs w:val="17"/>
          <w:i w:val="1"/>
          <w:iCs w:val="1"/>
          <w:color w:val="auto"/>
        </w:rPr>
      </w:pPr>
    </w:p>
    <w:p>
      <w:pPr>
        <w:ind w:left="660" w:right="120" w:hanging="328"/>
        <w:spacing w:after="0" w:line="312" w:lineRule="auto"/>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Physician Staffing - </w:t>
      </w:r>
      <w:r>
        <w:rPr>
          <w:rFonts w:ascii="Arial" w:cs="Arial" w:eastAsia="Arial" w:hAnsi="Arial"/>
          <w:sz w:val="16"/>
          <w:szCs w:val="16"/>
          <w:color w:val="auto"/>
        </w:rPr>
        <w:t>Physician Staffing provides physicians in many specialties, as well as certified registered nurse anesthetists,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46" w:lineRule="exact"/>
        <w:rPr>
          <w:rFonts w:ascii="Arial" w:cs="Arial" w:eastAsia="Arial" w:hAnsi="Arial"/>
          <w:sz w:val="16"/>
          <w:szCs w:val="16"/>
          <w:i w:val="1"/>
          <w:iCs w:val="1"/>
          <w:color w:val="auto"/>
        </w:rPr>
      </w:pPr>
    </w:p>
    <w:p>
      <w:pPr>
        <w:ind w:left="660" w:right="46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Human Capital Management Services - </w:t>
      </w:r>
      <w:r>
        <w:rPr>
          <w:rFonts w:ascii="Arial" w:cs="Arial" w:eastAsia="Arial" w:hAnsi="Arial"/>
          <w:sz w:val="18"/>
          <w:szCs w:val="18"/>
          <w:color w:val="auto"/>
        </w:rPr>
        <w:t>Other Human Capital Management Services includes retained and contingent search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healthcare executives, and other healthcare professionals within the United States.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Company’s management evaluates performance of each segment primarily based on revenue and contribution income. The Company defines contribution income as income or loss from operations before depreciation and amortization, acquisition and integration costs, acquisition-related contingent consideration, restructuring costs, impairment charges, applicant tracking system costs,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8"/>
          <w:szCs w:val="18"/>
          <w:i w:val="1"/>
          <w:iCs w:val="1"/>
          <w:color w:val="auto"/>
        </w:rPr>
        <w:t xml:space="preserve">Segment Reporting </w:t>
      </w:r>
      <w:r>
        <w:rPr>
          <w:rFonts w:ascii="Arial" w:cs="Arial" w:eastAsia="Arial" w:hAnsi="Arial"/>
          <w:sz w:val="18"/>
          <w:szCs w:val="18"/>
          <w:color w:val="auto"/>
        </w:rPr>
        <w:t>Topic of the FASB ASC. The Company’s management does not evaluate, manage, or measure performance of segments using asset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1420"/>
          </w:cols>
          <w:pgMar w:left="240" w:top="24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Data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89"/>
              </w:rPr>
              <w:t>(amounts in thousands)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Nurse and Allied Staffing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720,302</w:t>
            </w:r>
          </w:p>
        </w:tc>
        <w:tc>
          <w:tcPr>
            <w:tcW w:w="560" w:type="dxa"/>
            <w:vAlign w:val="bottom"/>
            <w:tcBorders>
              <w:bottom w:val="single" w:sz="8" w:color="CCEEFF"/>
            </w:tcBorders>
            <w:gridSpan w:val="3"/>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758,267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721,486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Physician Staffing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93,610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98,283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13,768</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816,484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865,048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833,537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66,365</w:t>
            </w:r>
          </w:p>
        </w:tc>
        <w:tc>
          <w:tcPr>
            <w:tcW w:w="560" w:type="dxa"/>
            <w:vAlign w:val="bottom"/>
            <w:gridSpan w:val="3"/>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73,614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71,992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79,722</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overhead (a)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Impairment charges (b)</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14,356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24,311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560" w:type="dxa"/>
            <w:vAlign w:val="bottom"/>
            <w:gridSpan w:val="3"/>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11,748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140" w:hanging="330"/>
        <w:spacing w:after="0" w:line="286"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been centralizing administrative functions to gain efficiencies, which have been recorded in unallocated corporate overhead, which includes corporate compensation and benefits, and general and administrative expenses including rent and utilities, computer supplies and expenses, insurance, professional expenses, corporate-wide projects (initiatives), and public company expenses.</w:t>
      </w:r>
    </w:p>
    <w:p>
      <w:pPr>
        <w:spacing w:after="0" w:line="165" w:lineRule="exact"/>
        <w:rPr>
          <w:rFonts w:ascii="Arial" w:cs="Arial" w:eastAsia="Arial" w:hAnsi="Arial"/>
          <w:sz w:val="17"/>
          <w:szCs w:val="17"/>
          <w:color w:val="auto"/>
        </w:rPr>
      </w:pPr>
    </w:p>
    <w:p>
      <w:pPr>
        <w:ind w:left="500" w:hanging="316"/>
        <w:spacing w:after="0"/>
        <w:tabs>
          <w:tab w:leader="none" w:pos="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See Note 5 - Goodwill, Trade Names,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F- 42</w:t>
      </w:r>
    </w:p>
    <w:p>
      <w:pPr>
        <w:sectPr>
          <w:pgSz w:w="11900" w:h="16838" w:orient="portrait"/>
          <w:cols w:equalWidth="0" w:num="1">
            <w:col w:w="11420"/>
          </w:cols>
          <w:pgMar w:left="240" w:top="24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Data (Unaudited)</w:t>
      </w:r>
    </w:p>
    <w:p>
      <w:pPr>
        <w:spacing w:after="0" w:line="25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tables contain selected unaudited statements of operations information for each quarter of 2018 and 2017.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First</w:t>
            </w:r>
          </w:p>
        </w:tc>
        <w:tc>
          <w:tcPr>
            <w:tcW w:w="30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Second</w:t>
            </w:r>
          </w:p>
        </w:tc>
        <w:tc>
          <w:tcPr>
            <w:tcW w:w="30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Third</w:t>
            </w:r>
          </w:p>
        </w:tc>
        <w:tc>
          <w:tcPr>
            <w:tcW w:w="28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Fourth</w:t>
            </w: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Quarter</w:t>
            </w:r>
          </w:p>
        </w:tc>
        <w:tc>
          <w:tcPr>
            <w:tcW w:w="3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Quarter</w:t>
            </w:r>
          </w:p>
        </w:tc>
        <w:tc>
          <w:tcPr>
            <w:tcW w:w="3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Quarter</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(amounts in thousands, except per share data)</w:t>
            </w: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210,288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204,572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200,717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200,907</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 (a)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53,753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53,689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51,562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50,559</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Consolidated net (loss) income</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1,920</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1,824</w:t>
            </w:r>
          </w:p>
        </w:tc>
        <w:tc>
          <w:tcPr>
            <w:tcW w:w="3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(19,343)</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(19,691)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 per share attributable to common shareholders - Basic (b)</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0.05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(0.55)</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share attributable to common shareholders - Diluted (b)</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0.05</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r>
      <w:tr>
        <w:trPr>
          <w:trHeight w:val="33"/>
        </w:trPr>
        <w:tc>
          <w:tcPr>
            <w:tcW w:w="6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First</w:t>
            </w:r>
          </w:p>
        </w:tc>
        <w:tc>
          <w:tcPr>
            <w:tcW w:w="28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Second</w:t>
            </w:r>
          </w:p>
        </w:tc>
        <w:tc>
          <w:tcPr>
            <w:tcW w:w="300" w:type="dxa"/>
            <w:vAlign w:val="bottom"/>
          </w:tcPr>
          <w:p>
            <w:pPr>
              <w:spacing w:after="0"/>
              <w:rPr>
                <w:sz w:val="17"/>
                <w:szCs w:val="17"/>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Third</w:t>
            </w:r>
          </w:p>
        </w:tc>
        <w:tc>
          <w:tcPr>
            <w:tcW w:w="32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Fourth</w:t>
            </w: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Quarter</w:t>
            </w:r>
          </w:p>
        </w:tc>
        <w:tc>
          <w:tcPr>
            <w:tcW w:w="30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Quarter</w:t>
            </w:r>
          </w:p>
        </w:tc>
        <w:tc>
          <w:tcPr>
            <w:tcW w:w="32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Quarter</w:t>
            </w:r>
          </w:p>
        </w:tc>
      </w:tr>
      <w:tr>
        <w:trPr>
          <w:trHeight w:val="33"/>
        </w:trPr>
        <w:tc>
          <w:tcPr>
            <w:tcW w:w="6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800" w:type="dxa"/>
            <w:vAlign w:val="bottom"/>
            <w:gridSpan w:val="6"/>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3800" w:type="dxa"/>
            <w:vAlign w:val="bottom"/>
            <w:tcBorders>
              <w:top w:val="single" w:sz="8" w:color="auto"/>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(amounts in thousands, except per share data)</w:t>
            </w: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Revenue from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207,573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209,313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228,488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219,674</w:t>
            </w: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 (a)</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53,275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56,528</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60,480</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58,303</w:t>
            </w:r>
          </w:p>
        </w:tc>
      </w:tr>
      <w:tr>
        <w:trPr>
          <w:trHeight w:val="237"/>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Consolidated net (loss) income</w:t>
            </w:r>
          </w:p>
        </w:tc>
        <w:tc>
          <w:tcPr>
            <w:tcW w:w="2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(1,718)</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5,220</w:t>
            </w: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7,044</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28,256</w:t>
            </w: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6,723</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27,950</w:t>
            </w:r>
          </w:p>
        </w:tc>
      </w:tr>
      <w:tr>
        <w:trPr>
          <w:trHeight w:val="237"/>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common shareholders - Basic (b)</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0.78</w:t>
            </w: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 attributable to common shareholders - 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________________</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87"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depreciation and amortization.</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the quarterly per share amounts may not equal amounts reported for year-to-date due to the effects of rounding and changes in the number of weighted average shares outstanding used in the calculation.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are the most significant items that impact the comparability and presentation of our consolidated data:</w:t>
      </w:r>
    </w:p>
    <w:p>
      <w:pPr>
        <w:spacing w:after="0" w:line="225" w:lineRule="exact"/>
        <w:rPr>
          <w:sz w:val="20"/>
          <w:szCs w:val="20"/>
          <w:color w:val="auto"/>
        </w:rPr>
      </w:pPr>
    </w:p>
    <w:p>
      <w:pPr>
        <w:ind w:left="820" w:right="60" w:hanging="326"/>
        <w:spacing w:after="0" w:line="291"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fourth quarter of 2018 and 2017, the Company recorded non-cash impairment charges of $22.4 million and $14.4 million, respectively, related to the goodwill and trade names of Physician Staffing. See Note 5 - Goodwill, Trade Names, and Other Intangible Assets.</w:t>
      </w:r>
    </w:p>
    <w:p>
      <w:pPr>
        <w:ind w:left="820" w:right="200" w:hanging="326"/>
        <w:spacing w:after="0" w:line="250"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first quarter of 2017, the Company settled its Convertible Notes and recognized a loss on extinguishment of debt of $5.0 million. See Note 8 - Debt.</w:t>
      </w:r>
    </w:p>
    <w:p>
      <w:pPr>
        <w:ind w:left="820" w:right="100" w:hanging="326"/>
        <w:spacing w:after="0" w:line="250"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On December 1, 2018, the Company acquired AP Staffing and on July 1, 2017, the Company acquired all of the assets of Advantage. The acquisitions have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w:t>
      </w:r>
      <w:r>
        <w:rPr>
          <w:rFonts w:ascii="Arial" w:cs="Arial" w:eastAsia="Arial" w:hAnsi="Arial"/>
          <w:sz w:val="18"/>
          <w:szCs w:val="18"/>
          <w:i w:val="1"/>
          <w:iCs w:val="1"/>
          <w:color w:val="auto"/>
        </w:rPr>
        <w:t>,</w:t>
      </w:r>
      <w:r>
        <w:rPr>
          <w:rFonts w:ascii="Arial" w:cs="Arial" w:eastAsia="Arial" w:hAnsi="Arial"/>
          <w:sz w:val="18"/>
          <w:szCs w:val="18"/>
          <w:color w:val="auto"/>
        </w:rPr>
        <w:t xml:space="preserve"> using the acquisition method. The results of the acquisitions' operations have been included in the consolidated statements of operations from their dates of acquisition. See Note 4 - Acquisitions.</w:t>
      </w:r>
    </w:p>
    <w:p>
      <w:pPr>
        <w:spacing w:after="0" w:line="1" w:lineRule="exact"/>
        <w:rPr>
          <w:rFonts w:ascii="Arial" w:cs="Arial" w:eastAsia="Arial" w:hAnsi="Arial"/>
          <w:sz w:val="18"/>
          <w:szCs w:val="18"/>
          <w:color w:val="auto"/>
        </w:rPr>
      </w:pPr>
    </w:p>
    <w:p>
      <w:pPr>
        <w:ind w:left="820" w:right="60" w:hanging="326"/>
        <w:spacing w:after="0" w:line="250"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fourth quarter of 2017, the Company benefited from a $43.3 million reversal of valuation allowance on its net deferred tax assets, offset by additional income tax expense of $8.0 million related to the remeasurement of its deferred tax assets as a result of the 2017 Tax Act. See Note 13 - Income Taxes.</w:t>
      </w:r>
    </w:p>
    <w:p>
      <w:pPr>
        <w:spacing w:after="0" w:line="1" w:lineRule="exact"/>
        <w:rPr>
          <w:rFonts w:ascii="Arial" w:cs="Arial" w:eastAsia="Arial" w:hAnsi="Arial"/>
          <w:sz w:val="18"/>
          <w:szCs w:val="18"/>
          <w:color w:val="auto"/>
        </w:rPr>
      </w:pPr>
    </w:p>
    <w:p>
      <w:pPr>
        <w:ind w:left="820" w:right="440" w:hanging="326"/>
        <w:spacing w:after="0" w:line="261"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recorded changes in the fair value of Convertible Notes derivative liability, recording a gain in the first quarter of 2017 of $1.6 million. See Note 9 - Derivatives.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243"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299"/>
              <w:spacing w:after="0"/>
              <w:rPr>
                <w:sz w:val="20"/>
                <w:szCs w:val="20"/>
                <w:color w:val="auto"/>
              </w:rPr>
            </w:pPr>
            <w:r>
              <w:rPr>
                <w:rFonts w:ascii="Arial" w:cs="Arial" w:eastAsia="Arial" w:hAnsi="Arial"/>
                <w:sz w:val="16"/>
                <w:szCs w:val="16"/>
                <w:b w:val="1"/>
                <w:bCs w:val="1"/>
                <w:color w:val="auto"/>
                <w:w w:val="89"/>
              </w:rPr>
              <w:t>Balance at</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Beginning</w:t>
            </w:r>
          </w:p>
        </w:tc>
        <w:tc>
          <w:tcPr>
            <w:tcW w:w="46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Charged to</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Write-Offs, net</w:t>
            </w:r>
          </w:p>
        </w:tc>
        <w:tc>
          <w:tcPr>
            <w:tcW w:w="460" w:type="dxa"/>
            <w:vAlign w:val="bottom"/>
          </w:tcPr>
          <w:p>
            <w:pPr>
              <w:spacing w:after="0"/>
              <w:rPr>
                <w:sz w:val="17"/>
                <w:szCs w:val="17"/>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End</w:t>
            </w:r>
          </w:p>
        </w:tc>
      </w:tr>
      <w:tr>
        <w:trPr>
          <w:trHeight w:val="210"/>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99"/>
              <w:spacing w:after="0"/>
              <w:rPr>
                <w:sz w:val="20"/>
                <w:szCs w:val="20"/>
                <w:color w:val="auto"/>
              </w:rPr>
            </w:pPr>
            <w:r>
              <w:rPr>
                <w:rFonts w:ascii="Arial" w:cs="Arial" w:eastAsia="Arial" w:hAnsi="Arial"/>
                <w:sz w:val="16"/>
                <w:szCs w:val="16"/>
                <w:b w:val="1"/>
                <w:bCs w:val="1"/>
                <w:color w:val="auto"/>
                <w:w w:val="92"/>
              </w:rPr>
              <w:t>of Period</w:t>
            </w:r>
          </w:p>
        </w:tc>
        <w:tc>
          <w:tcPr>
            <w:tcW w:w="460" w:type="dxa"/>
            <w:vAlign w:val="bottom"/>
          </w:tcPr>
          <w:p>
            <w:pPr>
              <w:spacing w:after="0"/>
              <w:rPr>
                <w:sz w:val="18"/>
                <w:szCs w:val="18"/>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Operations</w:t>
            </w:r>
          </w:p>
        </w:tc>
        <w:tc>
          <w:tcPr>
            <w:tcW w:w="400" w:type="dxa"/>
            <w:vAlign w:val="bottom"/>
          </w:tcPr>
          <w:p>
            <w:pPr>
              <w:spacing w:after="0"/>
              <w:rPr>
                <w:sz w:val="18"/>
                <w:szCs w:val="18"/>
                <w:color w:val="auto"/>
              </w:rPr>
            </w:pPr>
          </w:p>
        </w:tc>
        <w:tc>
          <w:tcPr>
            <w:tcW w:w="130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of recoveries</w:t>
            </w:r>
          </w:p>
        </w:tc>
        <w:tc>
          <w:tcPr>
            <w:tcW w:w="46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of Period</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(amounts in thousands)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6"/>
        </w:trPr>
        <w:tc>
          <w:tcPr>
            <w:tcW w:w="3440" w:type="dxa"/>
            <w:vAlign w:val="bottom"/>
            <w:gridSpan w:val="4"/>
          </w:tcPr>
          <w:p>
            <w:pPr>
              <w:ind w:left="40"/>
              <w:spacing w:after="0"/>
              <w:rPr>
                <w:sz w:val="20"/>
                <w:szCs w:val="20"/>
                <w:color w:val="auto"/>
              </w:rPr>
            </w:pPr>
            <w:r>
              <w:rPr>
                <w:rFonts w:ascii="Arial" w:cs="Arial" w:eastAsia="Arial" w:hAnsi="Arial"/>
                <w:sz w:val="16"/>
                <w:szCs w:val="16"/>
                <w:b w:val="1"/>
                <w:bCs w:val="1"/>
                <w:color w:val="auto"/>
              </w:rPr>
              <w:t>Allowances for Accounts Receivable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
        </w:trPr>
        <w:tc>
          <w:tcPr>
            <w:tcW w:w="4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2018</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3,688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5,974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(5,957)</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(a)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3,705</w:t>
            </w:r>
          </w:p>
        </w:tc>
      </w:tr>
      <w:tr>
        <w:trPr>
          <w:trHeight w:val="237"/>
        </w:trPr>
        <w:tc>
          <w:tcPr>
            <w:tcW w:w="34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3,245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4,705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(4,262)</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(a) $</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3,688</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4,045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4,034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(4,834)</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(a)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3,245</w:t>
            </w:r>
          </w:p>
        </w:tc>
      </w:tr>
      <w:tr>
        <w:trPr>
          <w:trHeight w:val="324"/>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9"/>
              </w:rPr>
              <w:t>Valuation Allowance for Deferred Tax Assets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37"/>
        </w:trPr>
        <w:tc>
          <w:tcPr>
            <w:tcW w:w="34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1,076</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113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1,189</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2017</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46,454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(3,007)</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(43,333)</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(b)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w:t>
            </w:r>
          </w:p>
        </w:tc>
      </w:tr>
      <w:tr>
        <w:trPr>
          <w:trHeight w:val="237"/>
        </w:trPr>
        <w:tc>
          <w:tcPr>
            <w:tcW w:w="34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55,336</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(8,894)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46,454</w:t>
            </w:r>
          </w:p>
        </w:tc>
      </w:tr>
      <w:tr>
        <w:trPr>
          <w:trHeight w:val="249"/>
        </w:trPr>
        <w:tc>
          <w:tcPr>
            <w:tcW w:w="254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2" w:lineRule="exact"/>
        <w:rPr>
          <w:sz w:val="20"/>
          <w:szCs w:val="20"/>
          <w:color w:val="auto"/>
        </w:rPr>
      </w:pPr>
    </w:p>
    <w:p>
      <w:pPr>
        <w:ind w:left="840" w:hanging="332"/>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Uncollectible accounts written off, net of recoveries.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 of valuation allowances on the Company’s deferred tax assets.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Valuation allowance on deferred tax asset related to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II- 1</w:t>
      </w:r>
    </w:p>
    <w:p>
      <w:pPr>
        <w:sectPr>
          <w:pgSz w:w="11900" w:h="16838" w:orient="portrait"/>
          <w:cols w:equalWidth="0" w:num="1">
            <w:col w:w="11420"/>
          </w:cols>
          <w:pgMar w:left="240" w:top="796"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240" w:type="dxa"/>
            <w:vAlign w:val="bottom"/>
          </w:tcPr>
          <w:p>
            <w:pPr>
              <w:ind w:left="520"/>
              <w:spacing w:after="0"/>
              <w:rPr>
                <w:sz w:val="20"/>
                <w:szCs w:val="20"/>
                <w:color w:val="auto"/>
              </w:rPr>
            </w:pPr>
            <w:r>
              <w:rPr>
                <w:rFonts w:ascii="Arial" w:cs="Arial" w:eastAsia="Arial" w:hAnsi="Arial"/>
                <w:sz w:val="18"/>
                <w:szCs w:val="18"/>
                <w:b w:val="1"/>
                <w:bCs w:val="1"/>
                <w:color w:val="auto"/>
              </w:rPr>
              <w:t>LIST OF SUBSIDIARIES</w:t>
            </w:r>
          </w:p>
        </w:tc>
      </w:tr>
      <w:tr>
        <w:trPr>
          <w:trHeight w:val="594"/>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color w:val="auto"/>
              </w:rPr>
              <w:t>Subsidiary</w:t>
            </w:r>
          </w:p>
        </w:tc>
        <w:tc>
          <w:tcPr>
            <w:tcW w:w="7240" w:type="dxa"/>
            <w:vAlign w:val="bottom"/>
          </w:tcPr>
          <w:p>
            <w:pPr>
              <w:ind w:left="3740"/>
              <w:spacing w:after="0"/>
              <w:rPr>
                <w:sz w:val="20"/>
                <w:szCs w:val="20"/>
                <w:color w:val="auto"/>
              </w:rPr>
            </w:pPr>
            <w:r>
              <w:rPr>
                <w:rFonts w:ascii="Arial" w:cs="Arial" w:eastAsia="Arial" w:hAnsi="Arial"/>
                <w:sz w:val="18"/>
                <w:szCs w:val="18"/>
                <w:b w:val="1"/>
                <w:bCs w:val="1"/>
                <w:color w:val="auto"/>
              </w:rPr>
              <w:t>Place of Incorporation</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Advantage RN,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Advantage RN Local Staffing, LLC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American Personnel, Inc.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Massachusetts</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Assignment America, LLC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Cejka Search, Inc.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Credent Verification and Licensing Services, LLC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Cross Country Holdco (Cyprus) Limited</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Cyprus</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Cross Country Infotech, Pvt. Ltd.</w:t>
            </w:r>
          </w:p>
        </w:tc>
        <w:tc>
          <w:tcPr>
            <w:tcW w:w="7240" w:type="dxa"/>
            <w:vAlign w:val="bottom"/>
          </w:tcPr>
          <w:p>
            <w:pPr>
              <w:ind w:left="3740"/>
              <w:spacing w:after="0"/>
              <w:rPr>
                <w:sz w:val="20"/>
                <w:szCs w:val="20"/>
                <w:color w:val="auto"/>
              </w:rPr>
            </w:pPr>
            <w:r>
              <w:rPr>
                <w:rFonts w:ascii="Arial" w:cs="Arial" w:eastAsia="Arial" w:hAnsi="Arial"/>
                <w:sz w:val="18"/>
                <w:szCs w:val="18"/>
                <w:color w:val="auto"/>
              </w:rPr>
              <w:t>India</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Cross Country Staffing, Inc.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Cross Country Support Services, LLC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Intelistaf of Oklahoma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Local Staff, LLC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MDA Holdings, Inc.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Medical Doctor Associates, LLC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Mediscan Diagnostic Services,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California</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Mediscan Nursing Services, LLC</w:t>
            </w:r>
          </w:p>
        </w:tc>
        <w:tc>
          <w:tcPr>
            <w:tcW w:w="7240" w:type="dxa"/>
            <w:vAlign w:val="bottom"/>
          </w:tcPr>
          <w:p>
            <w:pPr>
              <w:ind w:left="3740"/>
              <w:spacing w:after="0"/>
              <w:rPr>
                <w:sz w:val="20"/>
                <w:szCs w:val="20"/>
                <w:color w:val="auto"/>
              </w:rPr>
            </w:pPr>
            <w:r>
              <w:rPr>
                <w:rFonts w:ascii="Arial" w:cs="Arial" w:eastAsia="Arial" w:hAnsi="Arial"/>
                <w:sz w:val="18"/>
                <w:szCs w:val="18"/>
                <w:color w:val="auto"/>
              </w:rPr>
              <w:t>California</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Mediscan II,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California</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OWS, LLC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Travel Staff,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176"/>
        </w:trPr>
        <w:tc>
          <w:tcPr>
            <w:tcW w:w="1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7240" w:type="dxa"/>
            <w:vAlign w:val="bottom"/>
          </w:tcPr>
          <w:p>
            <w:pPr>
              <w:spacing w:after="0"/>
              <w:rPr>
                <w:sz w:val="15"/>
                <w:szCs w:val="15"/>
                <w:color w:val="auto"/>
              </w:rPr>
            </w:pPr>
          </w:p>
        </w:tc>
      </w:tr>
      <w:tr>
        <w:trPr>
          <w:trHeight w:val="237"/>
        </w:trPr>
        <w:tc>
          <w:tcPr>
            <w:tcW w:w="4180" w:type="dxa"/>
            <w:vAlign w:val="bottom"/>
            <w:gridSpan w:val="3"/>
          </w:tcPr>
          <w:p>
            <w:pPr>
              <w:ind w:left="500"/>
              <w:spacing w:after="0"/>
              <w:rPr>
                <w:sz w:val="20"/>
                <w:szCs w:val="20"/>
                <w:color w:val="auto"/>
              </w:rPr>
            </w:pPr>
            <w:r>
              <w:rPr>
                <w:rFonts w:ascii="Arial" w:cs="Arial" w:eastAsia="Arial" w:hAnsi="Arial"/>
                <w:sz w:val="18"/>
                <w:szCs w:val="18"/>
                <w:color w:val="auto"/>
              </w:rPr>
              <w:t>*   Majority-owned joint venture</w:t>
            </w:r>
          </w:p>
        </w:tc>
        <w:tc>
          <w:tcPr>
            <w:tcW w:w="724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333-145484, 333-188519, 333-196639, and 333-218557 on Form S-8 of our reports dated February 28, 2019, relating to the consolidated financial statements of Cross Country Healthcare, Inc. and subsidiaries, and the effectiveness of Cross Country Healthcare, Inc. and subsidiaries' internal control over financial reporting, appearing in this Annual Report on Form 10-K of Cross Country Healthcare, Inc. for the year ended December 31, 2018.</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9"/>
          <w:szCs w:val="19"/>
          <w:color w:val="auto"/>
        </w:rPr>
        <w:t>DELOITTE &amp; TOUCHE LLP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2019</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33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2019</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Annual Report on Form 10-K of Cross Country Healthcare, Inc. (the Company) for the year ended December 31, 2018, (the "Periodic Report"), I, Kevin C. Clark, President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2019</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6">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Annual Report on Form 10-K of Cross Country Healthcare, Inc. (the "Company") for the year ended December 31, 2018, (the "Periodic Report"), I, William J. Burns,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2019</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Accounting and Financial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lowerRoman"/>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lvl w:ilvl="1">
      <w:lvlJc w:val="left"/>
      <w:lvlText w:val="(%2)"/>
      <w:numFmt w:val="decimal"/>
      <w:start w:val="1"/>
    </w:lvl>
  </w:abstractNum>
  <w:abstractNum w:abstractNumId="7">
    <w:nsid w:val="431BD7B7"/>
    <w:multiLevelType w:val="hybridMultilevel"/>
    <w:lvl w:ilvl="0">
      <w:lvlJc w:val="left"/>
      <w:lvlText w:val="(%1)"/>
      <w:numFmt w:val="decimal"/>
      <w:start w:val="2"/>
    </w:lvl>
    <w:lvl w:ilvl="1">
      <w:lvlJc w:val="left"/>
      <w:lvlText w:val="%2"/>
      <w:numFmt w:val="decimal"/>
      <w:start w:val="1"/>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lowerLetter"/>
      <w:start w:val="1"/>
    </w:lvl>
    <w:lvl w:ilvl="1">
      <w:lvlJc w:val="left"/>
      <w:lvlText w:val="(%2)"/>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lvl w:ilvl="1">
      <w:lvlJc w:val="left"/>
      <w:lvlText w:val="(%2)"/>
      <w:numFmt w:val="lowerLetter"/>
      <w:start w:val="2"/>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33" Type="http://schemas.openxmlformats.org/officeDocument/2006/relationships/image" Target="media/image6.png"/><Relationship Id="rId82" Type="http://schemas.openxmlformats.org/officeDocument/2006/relationships/image" Target="media/image7.png"/><Relationship Id="rId83" Type="http://schemas.openxmlformats.org/officeDocument/2006/relationships/image" Target="media/image8.png"/><Relationship Id="rId84" Type="http://schemas.openxmlformats.org/officeDocument/2006/relationships/image" Target="media/image9.png"/><Relationship Id="rId85" Type="http://schemas.openxmlformats.org/officeDocument/2006/relationships/image" Target="media/image10.png"/><Relationship Id="rId86" Type="http://schemas.openxmlformats.org/officeDocument/2006/relationships/image" Target="media/image11.png"/><Relationship Id="rId87" Type="http://schemas.openxmlformats.org/officeDocument/2006/relationships/image" Target="media/image12.png"/><Relationship Id="rId13" Type="http://schemas.openxmlformats.org/officeDocument/2006/relationships/hyperlink" Target="http://www.sec.gov/Archives/edgar/data/1141103/000091205701530091/a2057156zex-3_1.txt" TargetMode="External"/><Relationship Id="rId14" Type="http://schemas.openxmlformats.org/officeDocument/2006/relationships/hyperlink" Target="http://www.sec.gov/Archives/edgar/data/1141103/000162828018002702/ccrn20171231-10kex3x2.htm" TargetMode="External"/><Relationship Id="rId15" Type="http://schemas.openxmlformats.org/officeDocument/2006/relationships/hyperlink" Target="http://www.sec.gov/Archives/edgar/data/1141103/000162828018010300/ccrn20180630-10qex3x1.htm" TargetMode="External"/><Relationship Id="rId16" Type="http://schemas.openxmlformats.org/officeDocument/2006/relationships/hyperlink" Target="http://www.sec.gov/Archives/edgar/data/1141103/000091205701536175/a2061600zex-4_1.txt" TargetMode="External"/><Relationship Id="rId17" Type="http://schemas.openxmlformats.org/officeDocument/2006/relationships/hyperlink" Target="http://www.sec.gov/Archives/edgar/data/1141103/000144530514003563/ccrn20140630-10qex41rsaform.htm" TargetMode="External"/><Relationship Id="rId18" Type="http://schemas.openxmlformats.org/officeDocument/2006/relationships/hyperlink" Target="http://www.sec.gov/Archives/edgar/data/1141103/000144530514003563/ccrn20140630-10qex42psaform.htm" TargetMode="External"/><Relationship Id="rId19" Type="http://schemas.openxmlformats.org/officeDocument/2006/relationships/hyperlink" Target="http://www.sec.gov/Archives/edgar/data/1141103/000144530514002739/exhibit104063014.htm" TargetMode="External"/><Relationship Id="rId20" Type="http://schemas.openxmlformats.org/officeDocument/2006/relationships/hyperlink" Target="http://www.sec.gov/Archives/edgar/data/1141103/000115752313001523/a50595935ex10_1.htm" TargetMode="External"/><Relationship Id="rId21" Type="http://schemas.openxmlformats.org/officeDocument/2006/relationships/hyperlink" Target="http://www.sec.gov/Archives/edgar/data/1141103/000104746903010584/a2106509zex-10_19.htm" TargetMode="External"/><Relationship Id="rId22" Type="http://schemas.openxmlformats.org/officeDocument/2006/relationships/hyperlink" Target="http://www.sec.gov/Archives/edgar/data/1141103/000111650207000527/cejkalease1043.htm" TargetMode="External"/><Relationship Id="rId23" Type="http://schemas.openxmlformats.org/officeDocument/2006/relationships/hyperlink" Target="http://www.sec.gov/Archives/edgar/data/1141103/000111650207000527/exhibit1045.htm" TargetMode="External"/><Relationship Id="rId24" Type="http://schemas.openxmlformats.org/officeDocument/2006/relationships/hyperlink" Target="http://www.sec.gov/Archives/edgar/data/1141103/000111650208001825/exhibit105.htm" TargetMode="External"/><Relationship Id="rId25" Type="http://schemas.openxmlformats.org/officeDocument/2006/relationships/hyperlink" Target="http://www.sec.gov/Archives/edgar/data/1141103/000111650207000972/exhibit102.htm" TargetMode="External"/><Relationship Id="rId26" Type="http://schemas.openxmlformats.org/officeDocument/2006/relationships/hyperlink" Target="http://www.sec.gov/Archives/edgar/data/1141103/000119312507218382/dex101.htm" TargetMode="External"/><Relationship Id="rId27" Type="http://schemas.openxmlformats.org/officeDocument/2006/relationships/hyperlink" Target="http://www.sec.gov/Archives/edgar/data/1141103/000135448810002373/ccrn_ex101.htm" TargetMode="External"/><Relationship Id="rId28" Type="http://schemas.openxmlformats.org/officeDocument/2006/relationships/hyperlink" Target="http://www.sec.gov/Archives/edgar/data/1141103/000144530513001944/exhibit101.htm" TargetMode="External"/><Relationship Id="rId29" Type="http://schemas.openxmlformats.org/officeDocument/2006/relationships/hyperlink" Target="http://www.sec.gov/Archives/edgar/data/1141103/000095013010001422/dex101.htm" TargetMode="External"/><Relationship Id="rId30" Type="http://schemas.openxmlformats.org/officeDocument/2006/relationships/hyperlink" Target="http://www.sec.gov/Archives/edgar/data/1141103/000135448813000135/ccrn_ex101.htm" TargetMode="External"/><Relationship Id="rId31" Type="http://schemas.openxmlformats.org/officeDocument/2006/relationships/hyperlink" Target="http://www.sec.gov/Archives/edgar/data/1141103/000144530514002739/exhibit101063014.htm" TargetMode="External"/><Relationship Id="rId32" Type="http://schemas.openxmlformats.org/officeDocument/2006/relationships/hyperlink" Target="http://www.sec.gov/Archives/edgar/data/1141103/000135448813000435/ccrn_ex101.htm" TargetMode="External"/><Relationship Id="rId34" Type="http://schemas.openxmlformats.org/officeDocument/2006/relationships/hyperlink" Target="http://www.sec.gov/Archives/edgar/data/1141103/000115752313005678/a50761154ex1_01.htm" TargetMode="External"/><Relationship Id="rId35" Type="http://schemas.openxmlformats.org/officeDocument/2006/relationships/hyperlink" Target="http://www.sec.gov/Archives/edgar/data/1141103/000144530514001083/exhibit1037.htm" TargetMode="External"/><Relationship Id="rId36" Type="http://schemas.openxmlformats.org/officeDocument/2006/relationships/hyperlink" Target="http://www.sec.gov/Archives/edgar/data/1141103/000144530514002462/assetpurchaseagreement.htm" TargetMode="External"/><Relationship Id="rId37" Type="http://schemas.openxmlformats.org/officeDocument/2006/relationships/hyperlink" Target="http://www.sec.gov/Archives/edgar/data/1141103/000144530514002739/exhibit102063014.htm" TargetMode="External"/><Relationship Id="rId38" Type="http://schemas.openxmlformats.org/officeDocument/2006/relationships/hyperlink" Target="http://www.sec.gov/Archives/edgar/data/1141103/000144530514002739/exhibit103063014.htm" TargetMode="External"/><Relationship Id="rId39" Type="http://schemas.openxmlformats.org/officeDocument/2006/relationships/hyperlink" Target="http://www.sec.gov/Archives/edgar/data/1141103/000144530514004846/ccrn20140930-10qex10x1four.htm" TargetMode="External"/><Relationship Id="rId40" Type="http://schemas.openxmlformats.org/officeDocument/2006/relationships/hyperlink" Target="http://www.sec.gov/Archives/edgar/data/1141103/000144530514001083/exhibit1038.htm" TargetMode="External"/><Relationship Id="rId41" Type="http://schemas.openxmlformats.org/officeDocument/2006/relationships/hyperlink" Target="http://www.sec.gov/Archives/edgar/data/1141103/000162828015001592/a901lease.htm" TargetMode="External"/><Relationship Id="rId42" Type="http://schemas.openxmlformats.org/officeDocument/2006/relationships/hyperlink" Target="http://www.sec.gov/Archives/edgar/data/1141103/000162828015001592/amendment1.htm" TargetMode="External"/><Relationship Id="rId43" Type="http://schemas.openxmlformats.org/officeDocument/2006/relationships/hyperlink" Target="http://www.sec.gov/Archives/edgar/data/1141103/000162828015001592/amendment2.htm" TargetMode="External"/><Relationship Id="rId44" Type="http://schemas.openxmlformats.org/officeDocument/2006/relationships/hyperlink" Target="http://www.sec.gov/Archives/edgar/data/1141103/000162828015001592/amendment3.htm" TargetMode="External"/><Relationship Id="rId45" Type="http://schemas.openxmlformats.org/officeDocument/2006/relationships/hyperlink" Target="http://www.sec.gov/Archives/edgar/data/1141103/000162828015001592/amendment4.htm" TargetMode="External"/><Relationship Id="rId46" Type="http://schemas.openxmlformats.org/officeDocument/2006/relationships/hyperlink" Target="http://www.sec.gov/Archives/edgar/data/1141103/000162828015001592/amendment5.htm" TargetMode="External"/><Relationship Id="rId47" Type="http://schemas.openxmlformats.org/officeDocument/2006/relationships/hyperlink" Target="http://www.sec.gov/Archives/edgar/data/1141103/000162828015001592/amendment6.htm" TargetMode="External"/><Relationship Id="rId48" Type="http://schemas.openxmlformats.org/officeDocument/2006/relationships/hyperlink" Target="http://www.sec.gov/Archives/edgar/data/1141103/000162828015001592/amendment7.htm" TargetMode="External"/><Relationship Id="rId49" Type="http://schemas.openxmlformats.org/officeDocument/2006/relationships/hyperlink" Target="http://www.sec.gov/Archives/edgar/data/1141103/000162828015001592/amendment8.htm" TargetMode="External"/><Relationship Id="rId50" Type="http://schemas.openxmlformats.org/officeDocument/2006/relationships/hyperlink" Target="http://www.sec.gov/Archives/edgar/data/1141103/000115752315002448/a51147331ex101.htm" TargetMode="External"/><Relationship Id="rId51" Type="http://schemas.openxmlformats.org/officeDocument/2006/relationships/hyperlink" Target="http://www.sec.gov/Archives/edgar/data/1141103/000115752315002608/a51151557ex10_1.htm" TargetMode="External"/><Relationship Id="rId52" Type="http://schemas.openxmlformats.org/officeDocument/2006/relationships/hyperlink" Target="http://www.sec.gov/Archives/edgar/data/1141103/000135448815004495/ccrn_ex101.htm" TargetMode="External"/><Relationship Id="rId53" Type="http://schemas.openxmlformats.org/officeDocument/2006/relationships/hyperlink" Target="http://www.sec.gov/Archives/edgar/data/1141103/000135448815004495/ccrn_ex102.htm" TargetMode="External"/><Relationship Id="rId54" Type="http://schemas.openxmlformats.org/officeDocument/2006/relationships/hyperlink" Target="http://www.sec.gov/Archives/edgar/data/1141103/000135448815004495/ccrn_ex103.htm" TargetMode="External"/><Relationship Id="rId55" Type="http://schemas.openxmlformats.org/officeDocument/2006/relationships/hyperlink" Target="http://www.sec.gov/Archives/edgar/data/1141103/000115752315003338/a51204669ex1_1.htm" TargetMode="External"/><Relationship Id="rId56" Type="http://schemas.openxmlformats.org/officeDocument/2006/relationships/hyperlink" Target="http://www.sec.gov/Archives/edgar/data/1141103/000115752315003645/a51213647ex10_1.htm" TargetMode="External"/><Relationship Id="rId57" Type="http://schemas.openxmlformats.org/officeDocument/2006/relationships/hyperlink" Target="http://www.sec.gov/Archives/edgar/data/1141103/000115752315003645/a51213647ex10_2.htm" TargetMode="External"/><Relationship Id="rId58" Type="http://schemas.openxmlformats.org/officeDocument/2006/relationships/hyperlink" Target="http://www.sec.gov/Archives/edgar/data/1141103/000115752315003645/a51213647ex10_3.htm" TargetMode="External"/><Relationship Id="rId59" Type="http://schemas.openxmlformats.org/officeDocument/2006/relationships/hyperlink" Target="http://www.sec.gov/Archives/edgar/data/1141103/000115752315003645/a51213647ex10_4.htm" TargetMode="External"/><Relationship Id="rId60" Type="http://schemas.openxmlformats.org/officeDocument/2006/relationships/hyperlink" Target="http://www.sec.gov/Archives/edgar/data/1141103/000115752315003645/a51213647ex10_5.htm" TargetMode="External"/><Relationship Id="rId61" Type="http://schemas.openxmlformats.org/officeDocument/2006/relationships/hyperlink" Target="http://www.sec.gov/Archives/edgar/data/1141103/000115752315003645/a51213647ex10_6.htm" TargetMode="External"/><Relationship Id="rId62" Type="http://schemas.openxmlformats.org/officeDocument/2006/relationships/hyperlink" Target="http://www.sec.gov/Archives/edgar/data/1141103/000162828016012724/exhibit1043.htm" TargetMode="External"/><Relationship Id="rId63" Type="http://schemas.openxmlformats.org/officeDocument/2006/relationships/hyperlink" Target="http://www.sec.gov/Archives/edgar/data/1141103/000162828016012617/ccrn20151231-10kex10x44.htm" TargetMode="External"/><Relationship Id="rId64" Type="http://schemas.openxmlformats.org/officeDocument/2006/relationships/hyperlink" Target="http://www.sec.gov/Archives/edgar/data/1141103/000165495416000542/ccrn_ex101.htm" TargetMode="External"/><Relationship Id="rId65" Type="http://schemas.openxmlformats.org/officeDocument/2006/relationships/hyperlink" Target="http://www.sec.gov/Archives/edgar/data/1141103/000162828016020835/ccrn2016-09x30x10qex10x1.htm" TargetMode="External"/><Relationship Id="rId66" Type="http://schemas.openxmlformats.org/officeDocument/2006/relationships/hyperlink" Target="http://www.sec.gov/Archives/edgar/data/1141103/000162828016020835/ccrn2016-09x30x10qex10x2.htm" TargetMode="External"/><Relationship Id="rId67" Type="http://schemas.openxmlformats.org/officeDocument/2006/relationships/hyperlink" Target="http://www.sec.gov/Archives/edgar/data/1141103/000162828016020835/ccrn2016-09x30x10qex10x3.htm" TargetMode="External"/><Relationship Id="rId68" Type="http://schemas.openxmlformats.org/officeDocument/2006/relationships/hyperlink" Target="http://www.sec.gov/Archives/edgar/data/1141103/000162828017002153/ccrn20161231-10kex10x49.htm" TargetMode="External"/><Relationship Id="rId69" Type="http://schemas.openxmlformats.org/officeDocument/2006/relationships/hyperlink" Target="http://www.sec.gov/Archives/edgar/data/1141103/000165495417005530/ccrn_ex101.htm" TargetMode="External"/><Relationship Id="rId70" Type="http://schemas.openxmlformats.org/officeDocument/2006/relationships/hyperlink" Target="http://www.sec.gov/Archives/edgar/data/1141103/000115752317001917/a51584424ex10_2.htm" TargetMode="External"/><Relationship Id="rId71" Type="http://schemas.openxmlformats.org/officeDocument/2006/relationships/hyperlink" Target="http://www.sec.gov/Archives/edgar/data/1141103/000115752317001917/a51584424ex10_1.htm" TargetMode="External"/><Relationship Id="rId72" Type="http://schemas.openxmlformats.org/officeDocument/2006/relationships/hyperlink" Target="http://www.sec.gov/Archives/edgar/data/1141103/000165495417006891/ccrn_ex101.htm" TargetMode="External"/><Relationship Id="rId73" Type="http://schemas.openxmlformats.org/officeDocument/2006/relationships/hyperlink" Target="http://www.sec.gov/Archives/edgar/data/1141103/000162828017010809/ccrn2017-09x30x10qex10x1.htm" TargetMode="External"/><Relationship Id="rId74" Type="http://schemas.openxmlformats.org/officeDocument/2006/relationships/hyperlink" Target="http://www.sec.gov/Archives/edgar/data/1141103/000114420418003854/tv484120_ex10-1.htm" TargetMode="External"/><Relationship Id="rId75" Type="http://schemas.openxmlformats.org/officeDocument/2006/relationships/hyperlink" Target="http://www.sec.gov/Archives/edgar/data/1141103/000162828018002702/ccrn20171231-10kex10x55.htm" TargetMode="External"/><Relationship Id="rId76" Type="http://schemas.openxmlformats.org/officeDocument/2006/relationships/hyperlink" Target="http://www.sec.gov/Archives/edgar/data/1141103/000162828018002702/ccrn20171231-10kex10x56.htm" TargetMode="External"/><Relationship Id="rId77" Type="http://schemas.openxmlformats.org/officeDocument/2006/relationships/hyperlink" Target="http://www.sec.gov/Archives/edgar/data/1141103/000162828018013356/ccrn20180930-10qex10x1.htm" TargetMode="External"/><Relationship Id="rId78" Type="http://schemas.openxmlformats.org/officeDocument/2006/relationships/hyperlink" Target="http://www.sec.gov/Archives/edgar/data/1141103/000114420418048862/tv502647_ex10-1.htm" TargetMode="External"/><Relationship Id="rId79" Type="http://schemas.openxmlformats.org/officeDocument/2006/relationships/hyperlink" Target="http://www.sec.gov/Archives/edgar/data/1141103/000115752319000077/a51926439ex10_1.htm" TargetMode="External"/><Relationship Id="rId80" Type="http://schemas.openxmlformats.org/officeDocument/2006/relationships/hyperlink" Target="http://www.sec.gov/Archives/edgar/data/1141103/000115752319000203/a51933754ex10_1.htm" TargetMode="External"/><Relationship Id="rId81" Type="http://schemas.openxmlformats.org/officeDocument/2006/relationships/hyperlink" Target="http://www.sec.gov/Archives/edgar/data/1141103/000162828018005923/ccrn2018-03x31x10qex14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2019-12-28T15:02:27Z</dcterms:created>
  <dcterms:modified xsi:type="dcterms:W3CDTF">2019-12-28T15:02:27Z</dcterms:modified>
</cp:coreProperties>
</file>