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9689_8k.htm"/>
      <w:bookmarkStart w:id="1" w:name="ksdp249689_8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60706__20"/>
      <w:bookmarkEnd w:id="2"/>
      <w:r>
        <w:rPr>
          <w:rFonts w:ascii="Times New Roman;Times;Serif" w:hAnsi="Times New Roman;Times;Serif"/>
          <w:b/>
          <w:i w:val="false"/>
          <w:caps w:val="false"/>
          <w:smallCaps w:val="false"/>
          <w:sz w:val="28"/>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r>
      <w:r>
        <w:rPr>
          <w:rFonts w:ascii="Times New Roman;Times;Serif" w:hAnsi="Times New Roman;Times;Serif"/>
          <w:b/>
          <w:i w:val="false"/>
          <w:caps w:val="false"/>
          <w:smallCaps w:val="false"/>
          <w:sz w:val="20"/>
        </w:rPr>
        <w:t>Pursuant to Section 13 or 15(d) of The Securities Exchange Act of 1934</w:t>
        <w:b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6, 2026</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A_edei--EntityRegistrantName_c2026"/>
      <w:bookmarkEnd w:id="4"/>
      <w:r>
        <w:rPr>
          <w:rFonts w:ascii="Times New Roman;Times;Serif" w:hAnsi="Times New Roman;Times;Serif"/>
          <w:b/>
          <w:i w:val="false"/>
          <w:caps w:val="false"/>
          <w:smallCaps w:val="false"/>
          <w:sz w:val="36"/>
        </w:rPr>
        <w:t>Cross Country Healthcare, Inc.</w:t>
        <w:br/>
      </w:r>
      <w:r>
        <w:rPr>
          <w:rFonts w:ascii="Times New Roman;Times;Serif" w:hAnsi="Times New Roman;Times;Serif"/>
          <w:b/>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1145" w:type="dxa"/>
            <w:tcBorders/>
            <w:vAlign w:val="center"/>
          </w:tcPr>
          <w:p>
            <w:pPr>
              <w:pStyle w:val="TableContents"/>
              <w:bidi w:val="0"/>
              <w:spacing w:before="0" w:after="283"/>
              <w:jc w:val="center"/>
              <w:rPr>
                <w:b/>
                <w:sz w:val="20"/>
              </w:rPr>
            </w:pPr>
            <w:bookmarkStart w:id="6" w:name="xdx_902_edei--EntityFileNumber_c20260706"/>
            <w:bookmarkEnd w:id="6"/>
            <w:r>
              <w:rPr>
                <w:b/>
                <w:sz w:val="20"/>
              </w:rPr>
              <w:t>0-33169</w:t>
            </w:r>
          </w:p>
        </w:tc>
        <w:tc>
          <w:tcPr>
            <w:tcW w:w="1565" w:type="dxa"/>
            <w:tcBorders/>
            <w:vAlign w:val="center"/>
          </w:tcPr>
          <w:p>
            <w:pPr>
              <w:pStyle w:val="TableContents"/>
              <w:bidi w:val="0"/>
              <w:spacing w:before="0" w:after="283"/>
              <w:jc w:val="center"/>
              <w:rPr>
                <w:b/>
                <w:sz w:val="20"/>
              </w:rPr>
            </w:pPr>
            <w:bookmarkStart w:id="7" w:name="xdx_903_edei--EntityTaxIdentificationNum"/>
            <w:bookmarkEnd w:id="7"/>
            <w:r>
              <w:rPr>
                <w:b/>
                <w:sz w:val="20"/>
              </w:rPr>
              <w:t>13-4066229</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5201 Congress Avenue, </w:t>
      </w:r>
      <w:bookmarkStart w:id="9" w:name="xdx_90D_edei--EntityAddressAddressLine2_"/>
      <w:bookmarkEnd w:id="9"/>
      <w:r>
        <w:rPr>
          <w:rFonts w:ascii="Times New Roman;Times;Serif" w:hAnsi="Times New Roman;Times;Serif"/>
          <w:b/>
          <w:i w:val="false"/>
          <w:caps w:val="false"/>
          <w:smallCaps w:val="false"/>
          <w:sz w:val="20"/>
        </w:rPr>
        <w:t xml:space="preserve">Suite 160, </w:t>
      </w:r>
      <w:bookmarkStart w:id="10" w:name="xdx_90C_edei--EntityAddressCityOrTown_c2"/>
      <w:bookmarkEnd w:id="10"/>
      <w:r>
        <w:rPr>
          <w:rFonts w:ascii="Times New Roman;Times;Serif" w:hAnsi="Times New Roman;Times;Serif"/>
          <w:b/>
          <w:i w:val="false"/>
          <w:caps w:val="false"/>
          <w:smallCaps w:val="false"/>
          <w:sz w:val="20"/>
        </w:rPr>
        <w:t xml:space="preserve">Boca Raton, </w:t>
      </w:r>
      <w:bookmarkStart w:id="11" w:name="xdx_90C_edei--EntityAddressStateOrProvin"/>
      <w:bookmarkEnd w:id="11"/>
      <w:r>
        <w:rPr>
          <w:rFonts w:ascii="Times New Roman;Times;Serif" w:hAnsi="Times New Roman;Times;Serif"/>
          <w:b/>
          <w:i w:val="false"/>
          <w:caps w:val="false"/>
          <w:smallCaps w:val="false"/>
          <w:sz w:val="20"/>
        </w:rPr>
        <w:t xml:space="preserve">FL </w:t>
      </w:r>
      <w:bookmarkStart w:id="12" w:name="xdx_90B_edei--EntityAddressPostalZipCode"/>
      <w:bookmarkEnd w:id="12"/>
      <w:r>
        <w:rPr>
          <w:rFonts w:ascii="Times New Roman;Times;Serif" w:hAnsi="Times New Roman;Times;Serif"/>
          <w:b/>
          <w:i w:val="false"/>
          <w:caps w:val="false"/>
          <w:smallCaps w:val="false"/>
          <w:sz w:val="20"/>
        </w:rPr>
        <w:t>33487</w:t>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706__20"/>
      <w:bookmarkEnd w:id="13"/>
      <w:r>
        <w:rPr>
          <w:rFonts w:ascii="Times New Roman;Times;Serif" w:hAnsi="Times New Roman;Times;Serif"/>
          <w:b/>
          <w:i w:val="false"/>
          <w:caps w:val="false"/>
          <w:smallCaps w:val="false"/>
          <w:sz w:val="20"/>
        </w:rPr>
        <w:t xml:space="preserve">561) </w:t>
      </w:r>
      <w:bookmarkStart w:id="14" w:name="xdx_90F_edei--LocalPhoneNumber_c20260706"/>
      <w:bookmarkEnd w:id="14"/>
      <w:r>
        <w:rPr>
          <w:rFonts w:ascii="Times New Roman;Times;Serif" w:hAnsi="Times New Roman;Times;Serif"/>
          <w:b/>
          <w:i w:val="false"/>
          <w:caps w:val="false"/>
          <w:smallCaps w:val="false"/>
          <w:sz w:val="20"/>
        </w:rPr>
        <w:t>998-2232</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SolicitingMaterial_c202607"/>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firstLine="320"/>
        <w:jc w:val="both"/>
        <w:rPr>
          <w:caps w:val="false"/>
          <w:smallCaps w:val="false"/>
        </w:rPr>
      </w:pPr>
      <w:r>
        <w:rPr>
          <w:caps w:val="false"/>
          <w:smallCaps w:val="false"/>
        </w:rPr>
        <w:t> </w:t>
      </w:r>
    </w:p>
    <w:p>
      <w:pPr>
        <w:pStyle w:val="TextBody"/>
        <w:bidi w:val="0"/>
        <w:spacing w:before="0" w:after="0"/>
        <w:ind w:left="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20"/>
        <w:jc w:val="both"/>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20"/>
        <w:gridCol w:w="1415"/>
        <w:gridCol w:w="3710"/>
      </w:tblGrid>
      <w:tr>
        <w:trPr/>
        <w:tc>
          <w:tcPr>
            <w:tcW w:w="3620" w:type="dxa"/>
            <w:tcBorders/>
            <w:vAlign w:val="center"/>
          </w:tcPr>
          <w:p>
            <w:pPr>
              <w:pStyle w:val="TableContents"/>
              <w:bidi w:val="0"/>
              <w:spacing w:before="0" w:after="283"/>
              <w:jc w:val="center"/>
              <w:rPr>
                <w:b/>
                <w:sz w:val="20"/>
              </w:rPr>
            </w:pPr>
            <w:r>
              <w:rPr>
                <w:b/>
                <w:sz w:val="20"/>
              </w:rPr>
              <w:t>Title of each class</w:t>
            </w:r>
          </w:p>
        </w:tc>
        <w:tc>
          <w:tcPr>
            <w:tcW w:w="1415" w:type="dxa"/>
            <w:tcBorders/>
            <w:vAlign w:val="center"/>
          </w:tcPr>
          <w:p>
            <w:pPr>
              <w:pStyle w:val="TableContents"/>
              <w:bidi w:val="0"/>
              <w:spacing w:before="0" w:after="283"/>
              <w:jc w:val="center"/>
              <w:rPr>
                <w:b/>
                <w:sz w:val="20"/>
              </w:rPr>
            </w:pPr>
            <w:r>
              <w:rPr>
                <w:b/>
                <w:sz w:val="20"/>
              </w:rPr>
              <w:t>Trading Symbol</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vAlign w:val="center"/>
          </w:tcPr>
          <w:p>
            <w:pPr>
              <w:pStyle w:val="TableContents"/>
              <w:bidi w:val="0"/>
              <w:spacing w:before="0" w:after="283"/>
              <w:jc w:val="center"/>
              <w:rPr>
                <w:sz w:val="20"/>
              </w:rPr>
            </w:pPr>
            <w:bookmarkStart w:id="19" w:name="xdx_90B_edei--Security12bTitle_c20260706"/>
            <w:bookmarkEnd w:id="19"/>
            <w:r>
              <w:rPr>
                <w:sz w:val="20"/>
              </w:rPr>
              <w:t>Common Stock, par value $0.0001 per share</w:t>
            </w:r>
          </w:p>
        </w:tc>
        <w:tc>
          <w:tcPr>
            <w:tcW w:w="1415" w:type="dxa"/>
            <w:tcBorders/>
            <w:vAlign w:val="center"/>
          </w:tcPr>
          <w:p>
            <w:pPr>
              <w:pStyle w:val="TableContents"/>
              <w:bidi w:val="0"/>
              <w:spacing w:before="0" w:after="283"/>
              <w:jc w:val="center"/>
              <w:rPr>
                <w:sz w:val="20"/>
              </w:rPr>
            </w:pPr>
            <w:bookmarkStart w:id="20" w:name="xdx_903_edei--TradingSymbol_c20260706__2"/>
            <w:bookmarkEnd w:id="20"/>
            <w:r>
              <w:rPr>
                <w:sz w:val="20"/>
              </w:rPr>
              <w:t>CCRN</w:t>
            </w:r>
          </w:p>
        </w:tc>
        <w:tc>
          <w:tcPr>
            <w:tcW w:w="3710" w:type="dxa"/>
            <w:tcBorders/>
            <w:vAlign w:val="center"/>
          </w:tcPr>
          <w:p>
            <w:pPr>
              <w:pStyle w:val="TableContents"/>
              <w:bidi w:val="0"/>
              <w:spacing w:before="0" w:after="283"/>
              <w:jc w:val="center"/>
              <w:rPr>
                <w:sz w:val="20"/>
              </w:rPr>
            </w:pPr>
            <w:bookmarkStart w:id="21" w:name="xdx_90D_edei--SecurityExchangeName_c2026"/>
            <w:bookmarkEnd w:id="21"/>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Cross Country Healthcare,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a definitive proxy statement (as such may be supplemented from time to time,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the Company’s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in connection with transactions contemplated by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KL Criss Cross Intermediate, LLC,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KL Criss Cross Merger Sub, Inc., a Delaware corporation and a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wholly-owned subsidiary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of the Company’s stockholders to approve the Merger is scheduled for July 16, 2026, beginning at 12:00 p.m. Eastern Time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The Company’s stockholders of record as of the close of business on June 12, 2026 will be eligible to vote at the Special Meeting. Subject to the satisfaction of the remaining conditions to closing of the Merger under the Merger Agreement, including that the Company’s stockholders vote to approve the Merger at the Special Meeting, the Company expects to complete the Merger in the third quarter of 2026. The information contained in this Current Report on Form 8-K (this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should be read in conjunction with the Proxy Statement, which should be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 Relating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attorneys representing multiple purported stockholders of the Company have delivered demand letters to the Company (collectively,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alleging that the disclosures contained in the Proxy Statement are deficient and requesting that the Company supplement such disclosures prior to the Special Meeting. The Demand Letters threaten the Company with lawsuits in the event that the purported deficiencies in the Proxy Statement are not addressed but, to date, none of these stockholders have filed suit challenging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two lawsuits relating to the Merger (collectively, the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have been filed: (i) </w:t>
      </w:r>
      <w:r>
        <w:rPr>
          <w:rFonts w:ascii="Times New Roman;Times;Serif" w:hAnsi="Times New Roman;Times;Serif"/>
          <w:b w:val="false"/>
          <w:i/>
          <w:caps w:val="false"/>
          <w:smallCaps w:val="false"/>
          <w:sz w:val="20"/>
        </w:rPr>
        <w:t>Malone v. Cross Country Healthcare, Inc., et al. Index No. Unassigned,</w:t>
      </w:r>
      <w:r>
        <w:rPr>
          <w:rFonts w:ascii="Times New Roman;Times;Serif" w:hAnsi="Times New Roman;Times;Serif"/>
          <w:b w:val="false"/>
          <w:i w:val="false"/>
          <w:caps w:val="false"/>
          <w:smallCaps w:val="false"/>
          <w:sz w:val="20"/>
        </w:rPr>
        <w:t xml:space="preserve"> which was filed in the Supreme Court of the State of New York, County of New York on June 23, 2026 (the “</w:t>
      </w:r>
      <w:r>
        <w:rPr>
          <w:rFonts w:ascii="Times New Roman;Times;Serif" w:hAnsi="Times New Roman;Times;Serif"/>
          <w:b w:val="false"/>
          <w:i/>
          <w:caps w:val="false"/>
          <w:smallCaps w:val="false"/>
          <w:sz w:val="20"/>
          <w:u w:val="single"/>
        </w:rPr>
        <w:t>Malone</w:t>
      </w:r>
      <w:r>
        <w:rPr>
          <w:rFonts w:ascii="Times New Roman;Times;Serif" w:hAnsi="Times New Roman;Times;Serif"/>
          <w:b w:val="false"/>
          <w:i w:val="false"/>
          <w:caps w:val="false"/>
          <w:smallCaps w:val="false"/>
          <w:sz w:val="20"/>
          <w:u w:val="single"/>
        </w:rPr>
        <w:t xml:space="preserve"> Action</w:t>
      </w:r>
      <w:r>
        <w:rPr>
          <w:rFonts w:ascii="Times New Roman;Times;Serif" w:hAnsi="Times New Roman;Times;Serif"/>
          <w:b w:val="false"/>
          <w:i w:val="false"/>
          <w:caps w:val="false"/>
          <w:smallCaps w:val="false"/>
          <w:sz w:val="20"/>
        </w:rPr>
        <w:t xml:space="preserve">”) and (ii) </w:t>
      </w:r>
      <w:r>
        <w:rPr>
          <w:rFonts w:ascii="Times New Roman;Times;Serif" w:hAnsi="Times New Roman;Times;Serif"/>
          <w:b w:val="false"/>
          <w:i/>
          <w:caps w:val="false"/>
          <w:smallCaps w:val="false"/>
          <w:sz w:val="20"/>
        </w:rPr>
        <w:t>Walsh v. Cross Country Healthcare, Inc., et al. Index No. Unassigned,</w:t>
      </w:r>
      <w:r>
        <w:rPr>
          <w:rFonts w:ascii="Times New Roman;Times;Serif" w:hAnsi="Times New Roman;Times;Serif"/>
          <w:b w:val="false"/>
          <w:i w:val="false"/>
          <w:caps w:val="false"/>
          <w:smallCaps w:val="false"/>
          <w:sz w:val="20"/>
        </w:rPr>
        <w:t xml:space="preserve"> which was filed in the Supreme Court of the State of New York, County of New York on June 24, 2026 (the “</w:t>
      </w:r>
      <w:r>
        <w:rPr>
          <w:rFonts w:ascii="Times New Roman;Times;Serif" w:hAnsi="Times New Roman;Times;Serif"/>
          <w:b w:val="false"/>
          <w:i/>
          <w:caps w:val="false"/>
          <w:smallCaps w:val="false"/>
          <w:sz w:val="20"/>
          <w:u w:val="single"/>
        </w:rPr>
        <w:t>Walsh</w:t>
      </w:r>
      <w:r>
        <w:rPr>
          <w:rFonts w:ascii="Times New Roman;Times;Serif" w:hAnsi="Times New Roman;Times;Serif"/>
          <w:b w:val="false"/>
          <w:i w:val="false"/>
          <w:caps w:val="false"/>
          <w:smallCaps w:val="false"/>
          <w:sz w:val="20"/>
          <w:u w:val="single"/>
        </w:rPr>
        <w:t xml:space="preserve"> Action</w:t>
      </w:r>
      <w:r>
        <w:rPr>
          <w:rFonts w:ascii="Times New Roman;Times;Serif" w:hAnsi="Times New Roman;Times;Serif"/>
          <w:b w:val="false"/>
          <w:i w:val="false"/>
          <w:caps w:val="false"/>
          <w:smallCaps w:val="false"/>
          <w:sz w:val="20"/>
        </w:rPr>
        <w:t>”). The Lawsuits were each filed by a purported stockholder of the Company as an individual action and allege, among other things, that the Proxy Statement was materially incomplete due to certain misrepresentations and omissions in violation of New York common law. The Lawsuits name as defendants the Company and its directors and seek, among other relief, an order enjoining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that the Lawsuits described above may be amended, or that additional demand letters will be received by the Company. If this occurs, the Company does not intend to announce the filing or receipt of each additional, similar complaint or demand letter or any amended complaint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that the claims asserted in the Lawsuits and the Demand Letters are without merit. However, in order to alleviate the costs, risks and uncertainties arising from the </w:t>
      </w:r>
      <w:r>
        <w:rPr>
          <w:rFonts w:ascii="Times New Roman;Times;Serif" w:hAnsi="Times New Roman;Times;Serif"/>
          <w:b w:val="false"/>
          <w:i/>
          <w:caps w:val="false"/>
          <w:smallCaps w:val="false"/>
          <w:sz w:val="20"/>
        </w:rPr>
        <w:t xml:space="preserve">Malone </w:t>
      </w:r>
      <w:r>
        <w:rPr>
          <w:rFonts w:ascii="Times New Roman;Times;Serif" w:hAnsi="Times New Roman;Times;Serif"/>
          <w:b w:val="false"/>
          <w:i w:val="false"/>
          <w:caps w:val="false"/>
          <w:smallCaps w:val="false"/>
          <w:sz w:val="20"/>
        </w:rPr>
        <w:t xml:space="preserve">Action and the </w:t>
      </w:r>
      <w:r>
        <w:rPr>
          <w:rFonts w:ascii="Times New Roman;Times;Serif" w:hAnsi="Times New Roman;Times;Serif"/>
          <w:b w:val="false"/>
          <w:i/>
          <w:caps w:val="false"/>
          <w:smallCaps w:val="false"/>
          <w:sz w:val="20"/>
        </w:rPr>
        <w:t>Walsh</w:t>
      </w:r>
      <w:r>
        <w:rPr>
          <w:rFonts w:ascii="Times New Roman;Times;Serif" w:hAnsi="Times New Roman;Times;Serif"/>
          <w:b w:val="false"/>
          <w:i w:val="false"/>
          <w:caps w:val="false"/>
          <w:smallCaps w:val="false"/>
          <w:sz w:val="20"/>
        </w:rPr>
        <w:t xml:space="preserve"> Action, the Company has determined to voluntarily supplement the Proxy Statement as described in this Form 8-K. Nothing in this Form 8-K shall be deemed an admission of the legal necessity or materiality under applicable laws of any of the disclosures set forth herein. To the contrary, the Company specifically denies all allegations set forth in the </w:t>
      </w:r>
      <w:r>
        <w:rPr>
          <w:rFonts w:ascii="Times New Roman;Times;Serif" w:hAnsi="Times New Roman;Times;Serif"/>
          <w:b w:val="false"/>
          <w:i/>
          <w:caps w:val="false"/>
          <w:smallCaps w:val="false"/>
          <w:sz w:val="20"/>
        </w:rPr>
        <w:t xml:space="preserve">Malone </w:t>
      </w:r>
      <w:r>
        <w:rPr>
          <w:rFonts w:ascii="Times New Roman;Times;Serif" w:hAnsi="Times New Roman;Times;Serif"/>
          <w:b w:val="false"/>
          <w:i w:val="false"/>
          <w:caps w:val="false"/>
          <w:smallCaps w:val="false"/>
          <w:sz w:val="20"/>
        </w:rPr>
        <w:t xml:space="preserve">Action and the </w:t>
      </w:r>
      <w:r>
        <w:rPr>
          <w:rFonts w:ascii="Times New Roman;Times;Serif" w:hAnsi="Times New Roman;Times;Serif"/>
          <w:b w:val="false"/>
          <w:i/>
          <w:caps w:val="false"/>
          <w:smallCaps w:val="false"/>
          <w:sz w:val="20"/>
        </w:rPr>
        <w:t>Walsh</w:t>
      </w:r>
      <w:r>
        <w:rPr>
          <w:rFonts w:ascii="Times New Roman;Times;Serif" w:hAnsi="Times New Roman;Times;Serif"/>
          <w:b w:val="false"/>
          <w:i w:val="false"/>
          <w:caps w:val="false"/>
          <w:smallCaps w:val="false"/>
          <w:sz w:val="20"/>
        </w:rPr>
        <w:t xml:space="preserve"> Action, as well as the Demand Letters, and denies that any additional disclosure in the Proxy Statement was or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disclosures (the “</w:t>
      </w:r>
      <w:r>
        <w:rPr>
          <w:rFonts w:ascii="Times New Roman;Times;Serif" w:hAnsi="Times New Roman;Times;Serif"/>
          <w:b w:val="false"/>
          <w:i w:val="false"/>
          <w:caps w:val="false"/>
          <w:smallCaps w:val="false"/>
          <w:sz w:val="20"/>
          <w:u w:val="single"/>
        </w:rPr>
        <w:t>Supplemental Disclosures</w:t>
      </w:r>
      <w:r>
        <w:rPr>
          <w:rFonts w:ascii="Times New Roman;Times;Serif" w:hAnsi="Times New Roman;Times;Serif"/>
          <w:b w:val="false"/>
          <w:i w:val="false"/>
          <w:caps w:val="false"/>
          <w:smallCaps w:val="false"/>
          <w:sz w:val="20"/>
        </w:rPr>
        <w:t xml:space="preserve">”) supplement the disclosures contained in the Proxy Statement and should be read in conjunction with the disclosures contained in the Proxy Statement, which should be read in its entirety. To the extent the information set forth herein differs from or updates information contained in the Proxy Statement, the information set forth herein shall supersede or supplement the information in the Proxy Statement. All page references are to pages in the Proxy Statement, and terms used below, unless otherwise defined, have the meanings set forth in the Proxy Statement. Except as otherwise described in the below Supplemental Disclosures or the documents referred to, contained in or incorporated by reference herein, the Proxy Statement and the documents referred to, contained in or incorporated by reference in the Proxy Statement are not otherwise modified, supplemented or amended. For clarity, new text within restated paragraphs from the Proxy Statement is highlighted with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while deleted text is </w:t>
      </w:r>
      <w:r>
        <w:rPr>
          <w:rFonts w:ascii="Times New Roman;Times;Serif" w:hAnsi="Times New Roman;Times;Serif"/>
          <w:b/>
          <w:i w:val="false"/>
          <w:caps w:val="false"/>
          <w:smallCaps w:val="false"/>
          <w:strike/>
          <w:sz w:val="20"/>
        </w:rPr>
        <w:t>bold and stricken-through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i/>
              </w:rPr>
            </w:pPr>
            <w:r>
              <w:rPr>
                <w:i/>
              </w:rPr>
              <w:t>(a)</w:t>
            </w:r>
          </w:p>
        </w:tc>
        <w:tc>
          <w:tcPr>
            <w:tcW w:w="9930" w:type="dxa"/>
            <w:tcBorders/>
            <w:vAlign w:val="center"/>
          </w:tcPr>
          <w:p>
            <w:pPr>
              <w:pStyle w:val="TableContents"/>
              <w:bidi w:val="0"/>
              <w:spacing w:before="0" w:after="283"/>
              <w:jc w:val="both"/>
              <w:rPr>
                <w:i/>
              </w:rPr>
            </w:pPr>
            <w:r>
              <w:rPr>
                <w:i/>
              </w:rPr>
              <w:t>In the section of the Proxy Statement titled “Summary—The Merger and Merger Agreement—Interests of Cross Country’s Directors and Executive Officers in the Merger” the disclosure in the sixth full paragraph on page 11 and the first paragraph on page 12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Country’s directors and executive officers have interests in the merger that may be different from, or in addition to, those of Cross Country stockholders generally. These interests include, among others, vesting of certain Cross Country equity awards, potential severance payments and benefits under the applicable severance arrangements and rights to ongoing indemnification and insurance coverage.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As of the date of this proxy statement, Cross Country’s executive officers have not entered into any new individualized compensation arrangements</w:t>
      </w:r>
      <w:r>
        <w:rPr>
          <w:rFonts w:ascii="Times New Roman;Times;Serif" w:hAnsi="Times New Roman;Times;Serif"/>
          <w:b/>
          <w:i w:val="false"/>
          <w:caps w:val="false"/>
          <w:smallCaps w:val="false"/>
          <w:strike/>
          <w:sz w:val="20"/>
        </w:rPr>
        <w:t>,</w:t>
      </w:r>
      <w:r>
        <w:rPr>
          <w:rFonts w:ascii="Times New Roman;Times;Serif" w:hAnsi="Times New Roman;Times;Serif"/>
          <w:b/>
          <w:i w:val="false"/>
          <w:caps w:val="false"/>
          <w:smallCaps w:val="false"/>
          <w:sz w:val="20"/>
          <w:u w:val="single"/>
        </w:rPr>
        <w:t>. There was no discussion of post-closing employment or retention prior to signing,</w:t>
      </w:r>
      <w:r>
        <w:rPr>
          <w:rFonts w:ascii="Times New Roman;Times;Serif" w:hAnsi="Times New Roman;Times;Serif"/>
          <w:b w:val="false"/>
          <w:i w:val="false"/>
          <w:caps w:val="false"/>
          <w:smallCaps w:val="false"/>
          <w:sz w:val="20"/>
        </w:rPr>
        <w:t xml:space="preserve">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For additional information, see the section titled “The Merger (Proposal 1)—Interests of Cross Country’s Directors and Executive Officers in the Merger.”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i/>
              </w:rPr>
            </w:pPr>
            <w:r>
              <w:rPr>
                <w:i/>
              </w:rPr>
              <w:t>(b)</w:t>
            </w:r>
          </w:p>
        </w:tc>
        <w:tc>
          <w:tcPr>
            <w:tcW w:w="9910" w:type="dxa"/>
            <w:tcBorders/>
            <w:vAlign w:val="center"/>
          </w:tcPr>
          <w:p>
            <w:pPr>
              <w:pStyle w:val="TableContents"/>
              <w:bidi w:val="0"/>
              <w:spacing w:before="0" w:after="283"/>
              <w:jc w:val="both"/>
              <w:rPr>
                <w:i/>
              </w:rPr>
            </w:pPr>
            <w:r>
              <w:rPr>
                <w:i/>
              </w:rPr>
              <w:t>In the section of the Proxy Statement titled “Questions and Answers” the disclosure in the fifth paragraph on page 15 is amended by replacing the paragraph with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sz w:val="20"/>
              </w:rPr>
            </w:pPr>
            <w:r>
              <w:rPr>
                <w:sz w:val="20"/>
              </w:rPr>
              <w:t>A:</w:t>
            </w:r>
          </w:p>
        </w:tc>
        <w:tc>
          <w:tcPr>
            <w:tcW w:w="10031" w:type="dxa"/>
            <w:tcBorders/>
            <w:vAlign w:val="center"/>
          </w:tcPr>
          <w:p>
            <w:pPr>
              <w:pStyle w:val="TableContents"/>
              <w:bidi w:val="0"/>
              <w:spacing w:before="0" w:after="283"/>
              <w:jc w:val="both"/>
              <w:rPr>
                <w:sz w:val="20"/>
              </w:rPr>
            </w:pPr>
            <w:r>
              <w:rPr>
                <w:sz w:val="20"/>
              </w:rPr>
              <w:t>In considering the recommendation of the Cross Country board of directors with respect to the merger agreement proposal, you should be aware that Cross Country’s directors and executive officers have certain interests in the merger that may be different from, or in addition to, the interests of Cross Country stockholders generally. The Cross Country board of directors was aware of and considered these interests, among other matters, in evaluating and negotiating the merger agreement and the merger, and in recommending that the merger agreement be approved by the Cross Country stockholders. As of the date of this proxy statement, Cross Country’s executive officers have not entered into any new individualized compensation arrangements</w:t>
            </w:r>
            <w:r>
              <w:rPr>
                <w:b/>
                <w:strike/>
                <w:sz w:val="20"/>
              </w:rPr>
              <w:t>,</w:t>
            </w:r>
            <w:r>
              <w:rPr>
                <w:b/>
                <w:sz w:val="20"/>
                <w:u w:val="single"/>
              </w:rPr>
              <w:t>. There was no discussion of post-closing employment or retention prior to signing,</w:t>
            </w:r>
            <w:r>
              <w:rPr>
                <w:sz w:val="20"/>
              </w:rPr>
              <w:t xml:space="preserve">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See the sections titled “The Merger (Proposal 1)—Interests of Cross Country’s Directors and Executive Officers in the Merger,” “Advisory Vote on Named Executive Officer Merger-Related Compensation Arrangements (Proposal 2)” and “The Merger Agreement—Interests of Cross Country’s Directors and Executive Officers in the Merger.”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i/>
              </w:rPr>
            </w:pPr>
            <w:r>
              <w:rPr>
                <w:i/>
              </w:rPr>
              <w:t>(c)</w:t>
            </w:r>
          </w:p>
        </w:tc>
        <w:tc>
          <w:tcPr>
            <w:tcW w:w="9943"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Analyses—Selected Publicly Traded Companies Analysis” the disclosure in the third paragraph on page 43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BofA Securities’ review of the enterprise value to adjusted EBITDA multiples observed for AMN, the current and historical enterprise value to NTM EBITDA multiples for AMN and Cross Country, respectively, and on its professional judgment and experience, BofA Securities applied an enterprise value to EBITDA multiple reference range of 4.8x to 7.5x to Cross Country’s estimated adjusted EBITDA for 2026, based on the Cross Country Forecasts, to calculate ranges of implied enterprise values for Cross Country. BofA Securities then calculated implied ranges of equity values per share for Cross Country (rounded to the nearest $0.05) by adding to the ranges of implied enterprise values an estimate of the net cash of Cross Country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of approximately 33.006 million</w:t>
      </w:r>
      <w:r>
        <w:rPr>
          <w:rFonts w:ascii="Times New Roman;Times;Serif" w:hAnsi="Times New Roman;Times;Serif"/>
          <w:b w:val="false"/>
          <w:i w:val="false"/>
          <w:caps w:val="false"/>
          <w:smallCaps w:val="false"/>
          <w:sz w:val="20"/>
        </w:rPr>
        <w:t xml:space="preserve"> 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i/>
              </w:rPr>
            </w:pPr>
            <w:r>
              <w:rPr>
                <w:i/>
              </w:rPr>
              <w:t>(d)</w:t>
            </w:r>
          </w:p>
        </w:tc>
        <w:tc>
          <w:tcPr>
            <w:tcW w:w="9931"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Analyses—Selected Precedent Transactions” the disclosure in the sixth paragraph on page 43 and the first full paragraph on page 44 is amended by replacing the paragraphs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reviewed, to the extent publicly available, financial information relating to the </w:t>
      </w:r>
      <w:r>
        <w:rPr>
          <w:rFonts w:ascii="Times New Roman;Times;Serif" w:hAnsi="Times New Roman;Times;Serif"/>
          <w:b/>
          <w:i w:val="false"/>
          <w:caps w:val="false"/>
          <w:smallCaps w:val="false"/>
          <w:strike/>
          <w:sz w:val="20"/>
        </w:rPr>
        <w:t>following</w:t>
      </w:r>
      <w:r>
        <w:rPr>
          <w:rFonts w:ascii="Times New Roman;Times;Serif" w:hAnsi="Times New Roman;Times;Serif"/>
          <w:b w:val="false"/>
          <w:i w:val="false"/>
          <w:caps w:val="false"/>
          <w:smallCaps w:val="false"/>
          <w:sz w:val="20"/>
        </w:rPr>
        <w:t xml:space="preserve"> selected transactions </w:t>
      </w:r>
      <w:r>
        <w:rPr>
          <w:rFonts w:ascii="Times New Roman;Times;Serif" w:hAnsi="Times New Roman;Times;Serif"/>
          <w:b/>
          <w:i w:val="false"/>
          <w:caps w:val="false"/>
          <w:smallCaps w:val="false"/>
          <w:sz w:val="20"/>
          <w:u w:val="single"/>
        </w:rPr>
        <w:t>listed in the table below</w:t>
      </w:r>
      <w:r>
        <w:rPr>
          <w:rFonts w:ascii="Times New Roman;Times;Serif" w:hAnsi="Times New Roman;Times;Serif"/>
          <w:b w:val="false"/>
          <w:i w:val="false"/>
          <w:caps w:val="false"/>
          <w:smallCaps w:val="false"/>
          <w:sz w:val="20"/>
        </w:rPr>
        <w:t xml:space="preserve"> involving companies in the healthcare staffing industry announced since 2010</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trike/>
          <w:sz w:val="20"/>
        </w:rPr>
        <w:t>:</w:t>
      </w:r>
    </w:p>
    <w:p>
      <w:pPr>
        <w:pStyle w:val="TextBody"/>
        <w:bidi w:val="0"/>
        <w:spacing w:before="0" w:after="0"/>
        <w:ind w:left="0" w:right="0" w:firstLine="720"/>
        <w:jc w:val="both"/>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1685"/>
        <w:gridCol w:w="60"/>
        <w:gridCol w:w="3440"/>
        <w:gridCol w:w="60"/>
        <w:gridCol w:w="3695"/>
      </w:tblGrid>
      <w:tr>
        <w:trPr/>
        <w:tc>
          <w:tcPr>
            <w:tcW w:w="168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Announcement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Date</w:t>
            </w:r>
          </w:p>
        </w:tc>
        <w:tc>
          <w:tcPr>
            <w:tcW w:w="60" w:type="dxa"/>
            <w:tcBorders/>
            <w:tcMar>
              <w:bottom w:w="0" w:type="dxa"/>
            </w:tcMar>
            <w:vAlign w:val="center"/>
          </w:tcPr>
          <w:p>
            <w:pPr>
              <w:pStyle w:val="TableContents"/>
              <w:bidi w:val="0"/>
              <w:spacing w:before="0" w:after="283"/>
              <w:jc w:val="left"/>
              <w:rPr/>
            </w:pPr>
            <w:r>
              <w:rPr/>
              <w:t> </w:t>
            </w:r>
          </w:p>
        </w:tc>
        <w:tc>
          <w:tcPr>
            <w:tcW w:w="344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Acquiror</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Target</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29, 2024</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The Vistria Group, 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Soliant Health,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August 30, 2021</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Centerbridge Partners, L.P.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Caisse de Dépôt et Placement du Québec</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Medical Solutions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1, 2021</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H.I.G. Capital,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Oxford Global Resources,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November 5, 2019</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Olympus Partners, 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Soliant Health,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April 30, 2019</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 xml:space="preserve">Advanced Medical Personnel Services, Inc. </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April 9, 2018</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MedPartners HIM,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February 9, 2018</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Professional Placement Resources,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May 8, 2017</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TPG Growth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Medical Solutions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November 17, 2015</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B. E. Smith,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28, 2010</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Nursefinders,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reviewed the enterprise values implied for each target company, based on the consideration payable in the selected transaction, as a multiple of each respective target company’s EBITDA for the twelve-month period immediately preceding the announcement of each respective transaction (“LTM”). Financial data relating to each of the selected transactions was based on publicly available information. </w:t>
      </w:r>
      <w:r>
        <w:rPr>
          <w:rFonts w:ascii="Times New Roman;Times;Serif" w:hAnsi="Times New Roman;Times;Serif"/>
          <w:b/>
          <w:i w:val="false"/>
          <w:caps w:val="false"/>
          <w:smallCaps w:val="false"/>
          <w:strike/>
          <w:sz w:val="20"/>
        </w:rPr>
        <w:t>The overall low to high enterprise value to LTM EBITDA multiples of the target companies in the selected transactions were 8.9x to 11.5x (with a mean of 10.7x and a median of 11.0x).</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results of this review were as follows: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6"/>
        <w:gridCol w:w="60"/>
        <w:gridCol w:w="2985"/>
        <w:gridCol w:w="60"/>
        <w:gridCol w:w="3177"/>
        <w:gridCol w:w="60"/>
        <w:gridCol w:w="2247"/>
      </w:tblGrid>
      <w:tr>
        <w:trPr/>
        <w:tc>
          <w:tcPr>
            <w:tcW w:w="161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Announcement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Date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Acquiror</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Target</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EV / LTM EBITDA Multiples</w:t>
            </w:r>
            <w:r>
              <w:rPr>
                <w:rFonts w:ascii="Times New Roman;Times;Serif" w:hAnsi="Times New Roman;Times;Serif"/>
                <w:b w:val="false"/>
                <w:i w:val="false"/>
                <w:caps w:val="false"/>
                <w:smallCaps w:val="false"/>
                <w:sz w:val="20"/>
              </w:rPr>
              <w:t> </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29, 2024</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The Vistria Group, LP</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Soliant Health,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10.9x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August 30, 2021</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Centerbridge Partners, L.P.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Caisse de Dépôt et Placement du Québec</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11.5x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1, 2021</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H.I.G. Capital,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Oxford Global Resources,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11.2x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November 5, 2019</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Olympus Partners, L.P.</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Soliant Health,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11.3x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April 30, 2019</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 xml:space="preserve">Advanced Medical Personnel Services, Inc.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11.2x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April 9, 2018</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MedPartners HIM,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10.8x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February 9, 2018</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Professional Placement Resources,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8.9x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May 8, 2017</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TPG Growth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10.0x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November 17, 2015</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B. E. Smith,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10.7x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28, 2010</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Nursefinders,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11.1x</w:t>
            </w:r>
          </w:p>
        </w:tc>
      </w:tr>
      <w:tr>
        <w:trPr/>
        <w:tc>
          <w:tcPr>
            <w:tcW w:w="16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i/>
                <w:sz w:val="20"/>
                <w:u w:val="single"/>
              </w:rPr>
            </w:pPr>
            <w:r>
              <w:rPr>
                <w:b/>
                <w:i/>
                <w:sz w:val="20"/>
                <w:u w:val="single"/>
              </w:rPr>
              <w:t>Mean</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i/>
                <w:sz w:val="20"/>
                <w:u w:val="single"/>
              </w:rPr>
            </w:pPr>
            <w:r>
              <w:rPr>
                <w:b/>
                <w:i/>
                <w:sz w:val="20"/>
                <w:u w:val="single"/>
              </w:rPr>
              <w:t>10.7x</w:t>
            </w:r>
          </w:p>
        </w:tc>
      </w:tr>
      <w:tr>
        <w:trPr/>
        <w:tc>
          <w:tcPr>
            <w:tcW w:w="16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i/>
                <w:sz w:val="20"/>
                <w:u w:val="single"/>
              </w:rPr>
            </w:pPr>
            <w:r>
              <w:rPr>
                <w:b/>
                <w:i/>
                <w:sz w:val="20"/>
                <w:u w:val="single"/>
              </w:rPr>
              <w:t>Median</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i/>
                <w:sz w:val="20"/>
                <w:u w:val="single"/>
              </w:rPr>
            </w:pPr>
            <w:r>
              <w:rPr>
                <w:b/>
                <w:i/>
                <w:sz w:val="20"/>
                <w:u w:val="single"/>
              </w:rPr>
              <w:t>11.0x</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i/>
              </w:rPr>
            </w:pPr>
            <w:r>
              <w:rPr>
                <w:i/>
              </w:rPr>
              <w:t>(e)</w:t>
            </w:r>
          </w:p>
        </w:tc>
        <w:tc>
          <w:tcPr>
            <w:tcW w:w="9943" w:type="dxa"/>
            <w:tcBorders/>
            <w:vAlign w:val="center"/>
          </w:tcPr>
          <w:p>
            <w:pPr>
              <w:pStyle w:val="TableContents"/>
              <w:bidi w:val="0"/>
              <w:spacing w:before="0" w:after="283"/>
              <w:jc w:val="both"/>
              <w:rPr/>
            </w:pPr>
            <w:r>
              <w:rPr>
                <w:i/>
              </w:rPr>
              <w:t>In the section of the Proxy Statement titled “The Merger (Proposal 1)—Opinion of BofA Securities—Summary of Material Financial Analyses —Selected Precedent Transactions” the disclosure in the second paragraph on page 44 is amended by replacing the paragraph with the following</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BofA Securities’ review of the enterprise value to LTM EBITDA multiples for the selected transactions and on its professional judgment and experience, BofA Securities applied an enterprise value to EBITDA multiple reference range of 9.0x to 11.5x to (i) an estimate of Cross Country’s twelve month run rate adjusted EBITDA (calculated as Cross Country’s adjusted EBITDA in the first fiscal quarter of 2026, as provided by the management of Cross Country, multiplied by four) and (ii) an estimate of Cross Country’s LTM adjusted EBITDA as of the end of the first fiscal quarter of 2026, as provided by the management of Cross Country. BofA Securities then calculated an implied range of equity values per share for Cross Country (rounded to the nearest $0.05) by adding to the range of implied enterprise values an estimate of Cross Country’s net cash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 xml:space="preserve">of approximately 33.006 million </w:t>
      </w:r>
      <w:r>
        <w:rPr>
          <w:rFonts w:ascii="Times New Roman;Times;Serif" w:hAnsi="Times New Roman;Times;Serif"/>
          <w:b w:val="false"/>
          <w:i w:val="false"/>
          <w:caps w:val="false"/>
          <w:smallCaps w:val="false"/>
          <w:sz w:val="20"/>
        </w:rPr>
        <w:t>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i/>
              </w:rPr>
            </w:pPr>
            <w:r>
              <w:rPr>
                <w:i/>
              </w:rPr>
              <w:t>(f)</w:t>
            </w:r>
          </w:p>
        </w:tc>
        <w:tc>
          <w:tcPr>
            <w:tcW w:w="9987"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Analyses—Discounted Cash Flow Analysis” the disclosure in the fifth full paragraph on page 44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performed a discounted cash flow analysis of Cross Country to calculate a range of implied present values per share of Cross Country common stock utilizing estimates of the standalone, unlevered, after-tax free cash flows Cross Country was expected to generate over the period from July 1, 2026 through December 31, 2030, based on the Cross Country Forecasts. BofA Securities calculated a terminal value for Cross Country by applying a selected perpetuity growth rate range of 3.0% to 4.0%, based on BofA Securities’ professional judgment and experience, to the terminal year unlevered free cash flows </w:t>
      </w:r>
      <w:r>
        <w:rPr>
          <w:rFonts w:ascii="Times New Roman;Times;Serif" w:hAnsi="Times New Roman;Times;Serif"/>
          <w:b/>
          <w:i w:val="false"/>
          <w:caps w:val="false"/>
          <w:smallCaps w:val="false"/>
          <w:sz w:val="20"/>
          <w:u w:val="single"/>
        </w:rPr>
        <w:t>of $25 million</w:t>
      </w:r>
      <w:r>
        <w:rPr>
          <w:rFonts w:ascii="Times New Roman;Times;Serif" w:hAnsi="Times New Roman;Times;Serif"/>
          <w:b w:val="false"/>
          <w:i w:val="false"/>
          <w:caps w:val="false"/>
          <w:smallCaps w:val="false"/>
          <w:sz w:val="20"/>
        </w:rPr>
        <w:t xml:space="preserve"> based on the Cross Country Forecasts. The unlevered free cash flows and the terminal values were discounted to June 30, 2026, utilizing the mid-year discounting convention, and using discount rates ranging from 9.0% to 11.0%, which were based on an estimate of Cross Country’s weighted average cost of capital, derived using the capital asset pricing model</w:t>
      </w:r>
      <w:r>
        <w:rPr>
          <w:rFonts w:ascii="Times New Roman;Times;Serif" w:hAnsi="Times New Roman;Times;Serif"/>
          <w:b/>
          <w:i w:val="false"/>
          <w:caps w:val="false"/>
          <w:smallCaps w:val="false"/>
          <w:sz w:val="20"/>
          <w:u w:val="single"/>
        </w:rPr>
        <w:t>, which took into account, among other things, the risk-free rate, the relevant unlevered beta and the historical equity risk premium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i/>
              </w:rPr>
            </w:pPr>
            <w:r>
              <w:rPr>
                <w:i/>
              </w:rPr>
              <w:t>(g)</w:t>
            </w:r>
          </w:p>
        </w:tc>
        <w:tc>
          <w:tcPr>
            <w:tcW w:w="9928"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Analyses—Discounted Cash Flow Analysis” the disclosure in the sixth full paragraph on page 44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then calculated an implied range of equity values per share for Cross Country (rounded to the nearest $0.05) by adding to the range of implied enterprise values an estimate of Cross Country’s net cash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of approximately 33.006 million</w:t>
      </w:r>
      <w:r>
        <w:rPr>
          <w:rFonts w:ascii="Times New Roman;Times;Serif" w:hAnsi="Times New Roman;Times;Serif"/>
          <w:b w:val="false"/>
          <w:i w:val="false"/>
          <w:caps w:val="false"/>
          <w:smallCaps w:val="false"/>
          <w:sz w:val="20"/>
        </w:rPr>
        <w:t xml:space="preserve"> 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i/>
              </w:rPr>
            </w:pPr>
            <w:r>
              <w:rPr>
                <w:i/>
              </w:rPr>
              <w:t>(h)</w:t>
            </w:r>
          </w:p>
        </w:tc>
        <w:tc>
          <w:tcPr>
            <w:tcW w:w="9926"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Analyses—Other Factors” the disclosure in the third full paragraph on page 45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Wall Street Analysts’ Price Targets</w:t>
      </w:r>
      <w:r>
        <w:rPr>
          <w:rFonts w:ascii="Times New Roman;Times;Serif" w:hAnsi="Times New Roman;Times;Serif"/>
          <w:b w:val="false"/>
          <w:i w:val="false"/>
          <w:caps w:val="false"/>
          <w:smallCaps w:val="false"/>
          <w:sz w:val="20"/>
          <w:shd w:fill="FFFFFF" w:val="clear"/>
        </w:rPr>
        <w:t xml:space="preserve">. BofA Securities reviewed </w:t>
      </w:r>
      <w:r>
        <w:rPr>
          <w:rFonts w:ascii="Times New Roman;Times;Serif" w:hAnsi="Times New Roman;Times;Serif"/>
          <w:b/>
          <w:i w:val="false"/>
          <w:caps w:val="false"/>
          <w:smallCaps w:val="false"/>
          <w:strike/>
          <w:sz w:val="20"/>
        </w:rPr>
        <w:t>certain</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nine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publicly available equity research analyst price targets for shares of Cross Country common stock, which indicated a present value of $9.09 to $13.64 per share of Cross Country common stock when discounted by one year at Cross Country’s estimated mid-point cost of equity of 10.0%, derived using the capital asset pricing model.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i/>
              </w:rPr>
            </w:pPr>
            <w:r>
              <w:rPr>
                <w:i/>
              </w:rPr>
              <w:t>(i)</w:t>
            </w:r>
          </w:p>
        </w:tc>
        <w:tc>
          <w:tcPr>
            <w:tcW w:w="9989" w:type="dxa"/>
            <w:tcBorders/>
            <w:vAlign w:val="center"/>
          </w:tcPr>
          <w:p>
            <w:pPr>
              <w:pStyle w:val="TableContents"/>
              <w:bidi w:val="0"/>
              <w:spacing w:before="0" w:after="283"/>
              <w:jc w:val="both"/>
              <w:rPr>
                <w:i/>
              </w:rPr>
            </w:pPr>
            <w:r>
              <w:rPr>
                <w:i/>
              </w:rPr>
              <w:t>In the section of the Proxy Statement titled “The Merger (Proposal 1)—Interests of Cross Country’s Director and Executive Officers in the Merger—Potential New Employment Arrangements” the disclosure in the ninth full paragraph on page 51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Cross Country’s executive officers who continue employment following the effective time may, before, on, or following the closing, enter into new individualized compensation arrangements governing their employment and compensation terms following the closing. As of the date of this proxy statement, Cross Country’s executive officers have not entered into any new individualized compensation arrangements</w:t>
      </w:r>
      <w:r>
        <w:rPr>
          <w:rFonts w:ascii="Times New Roman;Times;Serif" w:hAnsi="Times New Roman;Times;Serif"/>
          <w:b/>
          <w:i w:val="false"/>
          <w:caps w:val="false"/>
          <w:smallCaps w:val="false"/>
          <w:strike/>
          <w:sz w:val="20"/>
        </w:rPr>
        <w:t>,</w:t>
      </w:r>
      <w:r>
        <w:rPr>
          <w:rFonts w:ascii="Times New Roman;Times;Serif" w:hAnsi="Times New Roman;Times;Serif"/>
          <w:b/>
          <w:i w:val="false"/>
          <w:caps w:val="false"/>
          <w:smallCaps w:val="false"/>
          <w:sz w:val="20"/>
          <w:u w:val="single"/>
        </w:rPr>
        <w:t xml:space="preserve">. There was no discussion of post-closing employment or retention prior to signing, </w:t>
      </w:r>
      <w:r>
        <w:rPr>
          <w:rFonts w:ascii="Times New Roman;Times;Serif" w:hAnsi="Times New Roman;Times;Serif"/>
          <w:b w:val="false"/>
          <w:i w:val="false"/>
          <w:caps w:val="false"/>
          <w:smallCaps w:val="false"/>
          <w:sz w:val="20"/>
        </w:rPr>
        <w:t>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Merger between the Company, Parent and the other parties to the Merger Agreement. In connection with this proposed Merger, the Company filed a definitive proxy statement on Schedule 14A with the SEC, and the definitive proxy statement was thereafter mailed to stockholders of the Company seeking their approval of the Merger-related proposals. This communication is not a substitute for any proxy statement or other document the Company has filed or may file with the SEC in connection with the proposed transaction. INVESTORS AND SECURITY HOLDERS OF THE COMPANY ARE URGED TO READ THE DEFINITIVE PROXY STATEMENT, INCLUDING THE DOCUMENTS INCORPORATED BY REFERENCE INTO THE DEFINITIVE PROXY STATEMENT, AND OTHER DOCUMENTS THAT HAVE BEEN AND MAY BE FILED WITH THE SEC CAREFULLY AND IN THEIR ENTIRETY IF AND WHEN THEY BECOME AVAILABLE BECAUSE THEY WILL CONTAIN IMPORTANT INFORMATION. Investors and security holders are able to obtain free copies of these documents and other documents filed with the SEC by the Company through the website maintained by the SEC at http://www.sec.gov. Copies of the documents filed with the SEC by the Company are available free of charge on the Company’s internet website at https://ir.crosscountryhealthcare.com/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addresses included herein are inactive textual references only. The information contained on such websites is not incorporated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March 10, 2026 in its definitive proxy statement on Schedule 14A for its 2026 Annual Meeting in the sections entitled “Security Ownership of Certain Beneficial Owners and Management” and “Related Party Transactions”, which was filed with the SEC on March 30, 2026, as amended by Amendment No. 1 thereto filed on April 2, 2026,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u w:val="single"/>
        </w:rPr>
      </w:pPr>
      <w:r>
        <w:rPr>
          <w:rFonts w:ascii="Times New Roman;Times;Serif" w:hAnsi="Times New Roman;Times;Serif"/>
          <w:b/>
          <w:i w:val="false"/>
          <w:caps w:val="false"/>
          <w:smallCaps w:val="false"/>
          <w:color w:val="212529"/>
          <w:sz w:val="20"/>
          <w:u w:val="single"/>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1520"/>
        <w:gridCol w:w="320"/>
        <w:gridCol w:w="545"/>
        <w:gridCol w:w="4205"/>
      </w:tblGrid>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sz w:val="20"/>
              </w:rPr>
            </w:pPr>
            <w:r>
              <w:rPr>
                <w:sz w:val="20"/>
              </w:rPr>
              <w:t>CROSS COUNTRY HEALTHCARE, INC.</w:t>
            </w:r>
          </w:p>
        </w:tc>
      </w:tr>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Date: July 6, 2026</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7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C. Clark</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205" w:type="dxa"/>
            <w:tcBorders/>
            <w:vAlign w:val="center"/>
          </w:tcPr>
          <w:p>
            <w:pPr>
              <w:pStyle w:val="TableContents"/>
              <w:bidi w:val="0"/>
              <w:spacing w:before="0" w:after="283"/>
              <w:jc w:val="left"/>
              <w:rPr>
                <w:sz w:val="20"/>
              </w:rPr>
            </w:pPr>
            <w:r>
              <w:rPr>
                <w:sz w:val="20"/>
              </w:rPr>
              <w:t>Kevin C. Clark</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205" w:type="dxa"/>
            <w:tcBorders/>
            <w:vAlign w:val="center"/>
          </w:tcPr>
          <w:p>
            <w:pPr>
              <w:pStyle w:val="TableContents"/>
              <w:bidi w:val="0"/>
              <w:spacing w:before="0" w:after="283"/>
              <w:jc w:val="left"/>
              <w:rPr>
                <w:sz w:val="20"/>
              </w:rPr>
            </w:pPr>
            <w:r>
              <w:rPr>
                <w:sz w:val="20"/>
              </w:rPr>
              <w:t>Co-Founder, Chairman and 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4449</Words>
  <Characters>24486</Characters>
  <CharactersWithSpaces>28896</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