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396" w:lineRule="exact"/>
        <w:rPr>
          <w:sz w:val="24"/>
          <w:szCs w:val="24"/>
          <w:color w:val="auto"/>
        </w:rPr>
      </w:pPr>
    </w:p>
    <w:p>
      <w:pPr>
        <w:ind w:left="860" w:right="2420" w:hanging="825"/>
        <w:spacing w:after="0" w:line="282" w:lineRule="auto"/>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860" w:right="2480" w:hanging="825"/>
        <w:spacing w:after="0" w:line="282"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154940</wp:posOffset>
            </wp:positionV>
            <wp:extent cx="2418080"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808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94" w:orient="portrait"/>
          <w:cols w:equalWidth="0" w:num="1">
            <w:col w:w="11380"/>
          </w:cols>
          <w:pgMar w:left="240" w:top="1161" w:right="279" w:bottom="0" w:gutter="0" w:footer="0" w:header="0"/>
        </w:sectPr>
      </w:pPr>
    </w:p>
    <w:p>
      <w:pPr>
        <w:spacing w:after="0" w:line="36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13-4066229</w:t>
      </w:r>
    </w:p>
    <w:p>
      <w:pPr>
        <w:spacing w:after="0" w:line="90" w:lineRule="exact"/>
        <w:rPr>
          <w:sz w:val="24"/>
          <w:szCs w:val="24"/>
          <w:color w:val="auto"/>
        </w:rPr>
      </w:pPr>
    </w:p>
    <w:p>
      <w:pPr>
        <w:sectPr>
          <w:pgSz w:w="11900" w:h="16894" w:orient="portrait"/>
          <w:cols w:equalWidth="0" w:num="2">
            <w:col w:w="7420" w:space="720"/>
            <w:col w:w="3240"/>
          </w:cols>
          <w:pgMar w:left="240" w:top="1161" w:right="279" w:bottom="0" w:gutter="0" w:footer="0" w:header="0"/>
          <w:type w:val="continuous"/>
        </w:sectPr>
      </w:pPr>
    </w:p>
    <w:p>
      <w:pPr>
        <w:ind w:left="7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94" w:orient="portrait"/>
          <w:cols w:equalWidth="0" w:num="2">
            <w:col w:w="6540" w:space="720"/>
            <w:col w:w="4120"/>
          </w:cols>
          <w:pgMar w:left="240" w:top="1161" w:right="279" w:bottom="0" w:gutter="0" w:footer="0" w:header="0"/>
          <w:type w:val="continuous"/>
        </w:sectPr>
      </w:pP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5201 Congress Avenue, Suite 100B</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Boca Raton, Florida 33487</w:t>
      </w:r>
    </w:p>
    <w:p>
      <w:pPr>
        <w:sectPr>
          <w:pgSz w:w="11900" w:h="16894" w:orient="portrait"/>
          <w:cols w:equalWidth="0" w:num="1">
            <w:col w:w="11380"/>
          </w:cols>
          <w:pgMar w:left="240" w:top="1161" w:right="279" w:bottom="0" w:gutter="0" w:footer="0" w:header="0"/>
          <w:type w:val="continuous"/>
        </w:sectPr>
      </w:pP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(561) 998-2232</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94" w:orient="portrait"/>
          <w:cols w:equalWidth="0" w:num="1">
            <w:col w:w="11380"/>
          </w:cols>
          <w:pgMar w:left="240" w:top="1161" w:right="279" w:bottom="0" w:gutter="0" w:footer="0" w:header="0"/>
          <w:type w:val="continuous"/>
        </w:sectPr>
      </w:pPr>
    </w:p>
    <w:p>
      <w:pPr>
        <w:spacing w:after="0" w:line="399"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2" w:lineRule="exact"/>
        <w:rPr>
          <w:sz w:val="24"/>
          <w:szCs w:val="24"/>
          <w:color w:val="auto"/>
        </w:rPr>
      </w:pPr>
    </w:p>
    <w:p>
      <w:pPr>
        <w:sectPr>
          <w:pgSz w:w="11900" w:h="16894" w:orient="portrait"/>
          <w:cols w:equalWidth="0" w:num="2">
            <w:col w:w="6180" w:space="720"/>
            <w:col w:w="4480"/>
          </w:cols>
          <w:pgMar w:left="240" w:top="1161" w:right="279" w:bottom="0" w:gutter="0" w:footer="0" w:header="0"/>
          <w:type w:val="continuous"/>
        </w:sectPr>
      </w:pPr>
    </w:p>
    <w:p>
      <w:pPr>
        <w:ind w:left="1260"/>
        <w:spacing w:after="0"/>
        <w:rPr>
          <w:sz w:val="20"/>
          <w:szCs w:val="20"/>
          <w:color w:val="auto"/>
        </w:rPr>
      </w:pPr>
      <w:r>
        <w:rPr>
          <w:rFonts w:ascii="Arial" w:cs="Arial" w:eastAsia="Arial" w:hAnsi="Arial"/>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NASDAQ Stock Market</w:t>
      </w:r>
    </w:p>
    <w:p>
      <w:pPr>
        <w:spacing w:after="0" w:line="200" w:lineRule="exact"/>
        <w:rPr>
          <w:sz w:val="24"/>
          <w:szCs w:val="24"/>
          <w:color w:val="auto"/>
        </w:rPr>
      </w:pPr>
    </w:p>
    <w:p>
      <w:pPr>
        <w:sectPr>
          <w:pgSz w:w="11900" w:h="16894" w:orient="portrait"/>
          <w:cols w:equalWidth="0" w:num="2">
            <w:col w:w="6800" w:space="720"/>
            <w:col w:w="3860"/>
          </w:cols>
          <w:pgMar w:left="240" w:top="1161" w:right="279" w:bottom="0" w:gutter="0" w:footer="0" w:header="0"/>
          <w:type w:val="continuous"/>
        </w:sectPr>
      </w:pP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o</w:t>
      </w:r>
    </w:p>
    <w:p>
      <w:pPr>
        <w:sectPr>
          <w:pgSz w:w="11900" w:h="16894" w:orient="portrait"/>
          <w:cols w:equalWidth="0" w:num="1">
            <w:col w:w="11380"/>
          </w:cols>
          <w:pgMar w:left="240" w:top="1161" w:right="27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w:t>
      </w:r>
    </w:p>
    <w:p>
      <w:pPr>
        <w:spacing w:after="0" w:line="259"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Act). 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market value of the voting stock held by non-affiliates of the Registrant, based on the closing price of Common Stock on June 30, 2017 of</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$12.91 as reported on the NASDAQ National Market, was $454,055,531. This calculation does not reflect a determination that persons are affiliated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26, 2018, 36,431,790 shares of Common Stock, $0.0001 par value per share, were outstanding.</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right="940"/>
        <w:spacing w:after="0" w:line="342" w:lineRule="auto"/>
        <w:rPr>
          <w:sz w:val="20"/>
          <w:szCs w:val="20"/>
          <w:color w:val="auto"/>
        </w:rPr>
      </w:pPr>
      <w:r>
        <w:rPr>
          <w:rFonts w:ascii="Arial" w:cs="Arial" w:eastAsia="Arial" w:hAnsi="Arial"/>
          <w:sz w:val="16"/>
          <w:szCs w:val="16"/>
          <w:color w:val="auto"/>
        </w:rPr>
        <w:t>Portions of the Registrant’s definitive proxy statement, for the 2018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1" w:right="37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0" w:type="dxa"/>
            <w:vAlign w:val="bottom"/>
            <w:gridSpan w:val="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1160" w:type="dxa"/>
            <w:vAlign w:val="bottom"/>
            <w:gridSpan w:val="6"/>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16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500" w:type="dxa"/>
            <w:vAlign w:val="bottom"/>
            <w:tcBorders>
              <w:top w:val="single" w:sz="8" w:color="auto"/>
            </w:tcBorders>
          </w:tcPr>
          <w:p>
            <w:pPr>
              <w:spacing w:after="0"/>
              <w:rPr>
                <w:rFonts w:ascii="Arial" w:cs="Arial" w:eastAsia="Arial" w:hAnsi="Arial"/>
                <w:sz w:val="18"/>
                <w:szCs w:val="18"/>
                <w:color w:val="auto"/>
                <w:w w:val="83"/>
              </w:rPr>
            </w:pPr>
            <w:hyperlink w:anchor="page4">
              <w:r>
                <w:rPr>
                  <w:rFonts w:ascii="Arial" w:cs="Arial" w:eastAsia="Arial" w:hAnsi="Arial"/>
                  <w:sz w:val="18"/>
                  <w:szCs w:val="18"/>
                  <w:color w:val="auto"/>
                  <w:w w:val="83"/>
                </w:rPr>
                <w:t>Item 1.</w:t>
              </w:r>
            </w:hyperlink>
          </w:p>
        </w:tc>
        <w:tc>
          <w:tcPr>
            <w:tcW w:w="80" w:type="dxa"/>
            <w:vAlign w:val="bottom"/>
            <w:tcBorders>
              <w:top w:val="single" w:sz="8" w:color="auto"/>
            </w:tcBorders>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15">
              <w:r>
                <w:rPr>
                  <w:rFonts w:ascii="Arial" w:cs="Arial" w:eastAsia="Arial" w:hAnsi="Arial"/>
                  <w:sz w:val="18"/>
                  <w:szCs w:val="18"/>
                  <w:color w:val="auto"/>
                  <w:w w:val="80"/>
                </w:rPr>
                <w:t>Item 1A.</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15">
              <w:r>
                <w:rPr>
                  <w:rFonts w:ascii="Arial" w:cs="Arial" w:eastAsia="Arial" w:hAnsi="Arial"/>
                  <w:sz w:val="18"/>
                  <w:szCs w:val="18"/>
                  <w:color w:val="auto"/>
                </w:rPr>
                <w:t>Risk Factors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15">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22">
              <w:r>
                <w:rPr>
                  <w:rFonts w:ascii="Arial" w:cs="Arial" w:eastAsia="Arial" w:hAnsi="Arial"/>
                  <w:sz w:val="18"/>
                  <w:szCs w:val="18"/>
                  <w:color w:val="auto"/>
                  <w:w w:val="80"/>
                </w:rPr>
                <w:t>Item 1B.</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22">
              <w:r>
                <w:rPr>
                  <w:rFonts w:ascii="Arial" w:cs="Arial" w:eastAsia="Arial" w:hAnsi="Arial"/>
                  <w:sz w:val="18"/>
                  <w:szCs w:val="18"/>
                  <w:color w:val="auto"/>
                </w:rPr>
                <w:t>Unresolved Staff Comments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2">
              <w:r>
                <w:rPr>
                  <w:rFonts w:ascii="Arial" w:cs="Arial" w:eastAsia="Arial" w:hAnsi="Arial"/>
                  <w:sz w:val="18"/>
                  <w:szCs w:val="18"/>
                  <w:color w:val="auto"/>
                  <w:w w:val="83"/>
                </w:rPr>
                <w:t>Item 2.</w:t>
              </w:r>
            </w:hyperlink>
          </w:p>
        </w:tc>
        <w:tc>
          <w:tcPr>
            <w:tcW w:w="80" w:type="dxa"/>
            <w:vAlign w:val="bottom"/>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22">
              <w:r>
                <w:rPr>
                  <w:rFonts w:ascii="Arial" w:cs="Arial" w:eastAsia="Arial" w:hAnsi="Arial"/>
                  <w:sz w:val="18"/>
                  <w:szCs w:val="18"/>
                  <w:color w:val="auto"/>
                </w:rPr>
                <w:t>Properties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2">
              <w:r>
                <w:rPr>
                  <w:rFonts w:ascii="Arial" w:cs="Arial" w:eastAsia="Arial" w:hAnsi="Arial"/>
                  <w:sz w:val="18"/>
                  <w:szCs w:val="18"/>
                  <w:color w:val="auto"/>
                  <w:w w:val="83"/>
                </w:rPr>
                <w:t>Item 3.</w:t>
              </w:r>
            </w:hyperlink>
          </w:p>
        </w:tc>
        <w:tc>
          <w:tcPr>
            <w:tcW w:w="660" w:type="dxa"/>
            <w:vAlign w:val="bottom"/>
            <w:gridSpan w:val="5"/>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22">
              <w:r>
                <w:rPr>
                  <w:rFonts w:ascii="Arial" w:cs="Arial" w:eastAsia="Arial" w:hAnsi="Arial"/>
                  <w:sz w:val="18"/>
                  <w:szCs w:val="18"/>
                  <w:color w:val="auto"/>
                </w:rPr>
                <w:t>Legal Proceedings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2">
              <w:r>
                <w:rPr>
                  <w:rFonts w:ascii="Arial" w:cs="Arial" w:eastAsia="Arial" w:hAnsi="Arial"/>
                  <w:sz w:val="18"/>
                  <w:szCs w:val="18"/>
                  <w:color w:val="auto"/>
                  <w:w w:val="83"/>
                </w:rPr>
                <w:t>Item 4.</w:t>
              </w:r>
            </w:hyperlink>
          </w:p>
        </w:tc>
        <w:tc>
          <w:tcPr>
            <w:tcW w:w="660" w:type="dxa"/>
            <w:vAlign w:val="bottom"/>
            <w:gridSpan w:val="5"/>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22">
              <w:r>
                <w:rPr>
                  <w:rFonts w:ascii="Arial" w:cs="Arial" w:eastAsia="Arial" w:hAnsi="Arial"/>
                  <w:sz w:val="18"/>
                  <w:szCs w:val="18"/>
                  <w:color w:val="auto"/>
                </w:rPr>
                <w:t>Mine Safety Disclosures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60" w:type="dxa"/>
            <w:vAlign w:val="bottom"/>
            <w:tcBorders>
              <w:bottom w:val="single" w:sz="8" w:color="auto"/>
            </w:tcBorders>
            <w:gridSpan w:val="3"/>
          </w:tcPr>
          <w:p>
            <w:pPr>
              <w:spacing w:after="0"/>
              <w:rPr>
                <w:rFonts w:ascii="Arial" w:cs="Arial" w:eastAsia="Arial" w:hAnsi="Arial"/>
                <w:sz w:val="18"/>
                <w:szCs w:val="18"/>
                <w:b w:val="1"/>
                <w:bCs w:val="1"/>
                <w:color w:val="auto"/>
                <w:w w:val="99"/>
              </w:rPr>
            </w:pPr>
            <w:hyperlink w:anchor="page4">
              <w:r>
                <w:rPr>
                  <w:rFonts w:ascii="Arial" w:cs="Arial" w:eastAsia="Arial" w:hAnsi="Arial"/>
                  <w:sz w:val="18"/>
                  <w:szCs w:val="18"/>
                  <w:b w:val="1"/>
                  <w:bCs w:val="1"/>
                  <w:color w:val="auto"/>
                  <w:w w:val="99"/>
                </w:rPr>
                <w:t xml:space="preserve">PART </w:t>
              </w:r>
            </w:hyperlink>
            <w:r>
              <w:rPr>
                <w:rFonts w:ascii="Arial" w:cs="Arial" w:eastAsia="Arial" w:hAnsi="Arial"/>
                <w:sz w:val="18"/>
                <w:szCs w:val="18"/>
                <w:b w:val="1"/>
                <w:bCs w:val="1"/>
                <w:color w:val="auto"/>
                <w:w w:val="99"/>
              </w:rPr>
              <w:t>II</w:t>
            </w:r>
          </w:p>
        </w:tc>
        <w:tc>
          <w:tcPr>
            <w:tcW w:w="5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2">
              <w:r>
                <w:rPr>
                  <w:rFonts w:ascii="Arial" w:cs="Arial" w:eastAsia="Arial" w:hAnsi="Arial"/>
                  <w:sz w:val="18"/>
                  <w:szCs w:val="18"/>
                  <w:color w:val="auto"/>
                  <w:w w:val="83"/>
                </w:rPr>
                <w:t>Item 5.</w:t>
              </w:r>
            </w:hyperlink>
          </w:p>
        </w:tc>
        <w:tc>
          <w:tcPr>
            <w:tcW w:w="660" w:type="dxa"/>
            <w:vAlign w:val="bottom"/>
            <w:gridSpan w:val="5"/>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22">
              <w:r>
                <w:rPr>
                  <w:rFonts w:ascii="Arial" w:cs="Arial" w:eastAsia="Arial" w:hAnsi="Arial"/>
                  <w:sz w:val="18"/>
                  <w:szCs w:val="18"/>
                  <w:color w:val="auto"/>
                </w:rPr>
                <w:t>Market for Registrant’s Common Equity, Related Stockholder Matters and Issuer Purchases of Equity Securities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4">
              <w:r>
                <w:rPr>
                  <w:rFonts w:ascii="Arial" w:cs="Arial" w:eastAsia="Arial" w:hAnsi="Arial"/>
                  <w:sz w:val="18"/>
                  <w:szCs w:val="18"/>
                  <w:color w:val="auto"/>
                  <w:w w:val="83"/>
                </w:rPr>
                <w:t>Item 6.</w:t>
              </w:r>
            </w:hyperlink>
          </w:p>
        </w:tc>
        <w:tc>
          <w:tcPr>
            <w:tcW w:w="660" w:type="dxa"/>
            <w:vAlign w:val="bottom"/>
            <w:gridSpan w:val="5"/>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24">
              <w:r>
                <w:rPr>
                  <w:rFonts w:ascii="Arial" w:cs="Arial" w:eastAsia="Arial" w:hAnsi="Arial"/>
                  <w:sz w:val="18"/>
                  <w:szCs w:val="18"/>
                  <w:color w:val="auto"/>
                </w:rPr>
                <w:t>Selected Financial Data</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5">
              <w:r>
                <w:rPr>
                  <w:rFonts w:ascii="Arial" w:cs="Arial" w:eastAsia="Arial" w:hAnsi="Arial"/>
                  <w:sz w:val="18"/>
                  <w:szCs w:val="18"/>
                  <w:color w:val="auto"/>
                  <w:w w:val="83"/>
                </w:rPr>
                <w:t>Item 7.</w:t>
              </w:r>
            </w:hyperlink>
          </w:p>
        </w:tc>
        <w:tc>
          <w:tcPr>
            <w:tcW w:w="660" w:type="dxa"/>
            <w:vAlign w:val="bottom"/>
            <w:gridSpan w:val="5"/>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44">
              <w:r>
                <w:rPr>
                  <w:rFonts w:ascii="Arial" w:cs="Arial" w:eastAsia="Arial" w:hAnsi="Arial"/>
                  <w:sz w:val="18"/>
                  <w:szCs w:val="18"/>
                  <w:color w:val="auto"/>
                  <w:w w:val="80"/>
                </w:rPr>
                <w:t>Item 7A.</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4">
              <w:r>
                <w:rPr>
                  <w:rFonts w:ascii="Arial" w:cs="Arial" w:eastAsia="Arial" w:hAnsi="Arial"/>
                  <w:sz w:val="18"/>
                  <w:szCs w:val="18"/>
                  <w:color w:val="auto"/>
                </w:rPr>
                <w:t>Quantitative and Qualitative Disclosures about Market Risk</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45">
              <w:r>
                <w:rPr>
                  <w:rFonts w:ascii="Arial" w:cs="Arial" w:eastAsia="Arial" w:hAnsi="Arial"/>
                  <w:sz w:val="18"/>
                  <w:szCs w:val="18"/>
                  <w:color w:val="auto"/>
                  <w:w w:val="83"/>
                </w:rPr>
                <w:t>Item 8.</w:t>
              </w:r>
            </w:hyperlink>
          </w:p>
        </w:tc>
        <w:tc>
          <w:tcPr>
            <w:tcW w:w="80" w:type="dxa"/>
            <w:vAlign w:val="bottom"/>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5">
              <w:r>
                <w:rPr>
                  <w:rFonts w:ascii="Arial" w:cs="Arial" w:eastAsia="Arial" w:hAnsi="Arial"/>
                  <w:sz w:val="18"/>
                  <w:szCs w:val="18"/>
                  <w:color w:val="auto"/>
                </w:rPr>
                <w:t>Financial Statements and Supplementary Data</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45">
              <w:r>
                <w:rPr>
                  <w:rFonts w:ascii="Arial" w:cs="Arial" w:eastAsia="Arial" w:hAnsi="Arial"/>
                  <w:sz w:val="18"/>
                  <w:szCs w:val="18"/>
                  <w:color w:val="auto"/>
                  <w:w w:val="83"/>
                </w:rPr>
                <w:t>Item 9.</w:t>
              </w:r>
            </w:hyperlink>
          </w:p>
        </w:tc>
        <w:tc>
          <w:tcPr>
            <w:tcW w:w="660" w:type="dxa"/>
            <w:vAlign w:val="bottom"/>
            <w:gridSpan w:val="5"/>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5">
              <w:r>
                <w:rPr>
                  <w:rFonts w:ascii="Arial" w:cs="Arial" w:eastAsia="Arial" w:hAnsi="Arial"/>
                  <w:sz w:val="18"/>
                  <w:szCs w:val="18"/>
                  <w:color w:val="auto"/>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20" w:type="dxa"/>
            <w:vAlign w:val="bottom"/>
            <w:tcBorders>
              <w:left w:val="single" w:sz="8" w:color="auto"/>
            </w:tcBorders>
            <w:gridSpan w:val="2"/>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45">
              <w:r>
                <w:rPr>
                  <w:rFonts w:ascii="Arial" w:cs="Arial" w:eastAsia="Arial" w:hAnsi="Arial"/>
                  <w:sz w:val="18"/>
                  <w:szCs w:val="18"/>
                  <w:color w:val="auto"/>
                  <w:w w:val="80"/>
                </w:rPr>
                <w:t>Item 9A.</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5">
              <w:r>
                <w:rPr>
                  <w:rFonts w:ascii="Arial" w:cs="Arial" w:eastAsia="Arial" w:hAnsi="Arial"/>
                  <w:sz w:val="18"/>
                  <w:szCs w:val="18"/>
                  <w:color w:val="auto"/>
                </w:rPr>
                <w:t>Controls and Procedures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48">
              <w:r>
                <w:rPr>
                  <w:rFonts w:ascii="Arial" w:cs="Arial" w:eastAsia="Arial" w:hAnsi="Arial"/>
                  <w:sz w:val="18"/>
                  <w:szCs w:val="18"/>
                  <w:color w:val="auto"/>
                  <w:w w:val="80"/>
                </w:rPr>
                <w:t>Item 9B.</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8">
              <w:r>
                <w:rPr>
                  <w:rFonts w:ascii="Arial" w:cs="Arial" w:eastAsia="Arial" w:hAnsi="Arial"/>
                  <w:sz w:val="18"/>
                  <w:szCs w:val="18"/>
                  <w:color w:val="auto"/>
                </w:rPr>
                <w:t>Other Information</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40" w:type="dxa"/>
            <w:vAlign w:val="bottom"/>
            <w:tcBorders>
              <w:bottom w:val="single" w:sz="8" w:color="auto"/>
            </w:tcBorders>
            <w:gridSpan w:val="5"/>
          </w:tcPr>
          <w:p>
            <w:pPr>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PART III</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8">
              <w:r>
                <w:rPr>
                  <w:rFonts w:ascii="Arial" w:cs="Arial" w:eastAsia="Arial" w:hAnsi="Arial"/>
                  <w:sz w:val="18"/>
                  <w:szCs w:val="18"/>
                  <w:color w:val="auto"/>
                  <w:w w:val="82"/>
                </w:rPr>
                <w:t>Item 10.</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8">
              <w:r>
                <w:rPr>
                  <w:rFonts w:ascii="Arial" w:cs="Arial" w:eastAsia="Arial" w:hAnsi="Arial"/>
                  <w:sz w:val="18"/>
                  <w:szCs w:val="18"/>
                  <w:color w:val="auto"/>
                </w:rPr>
                <w:t>Directors, Executive Officers and Corporate Governance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6"/>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20" w:type="dxa"/>
            <w:vAlign w:val="bottom"/>
            <w:tcBorders>
              <w:left w:val="single" w:sz="8" w:color="auto"/>
            </w:tcBorders>
            <w:gridSpan w:val="2"/>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8">
              <w:r>
                <w:rPr>
                  <w:rFonts w:ascii="Arial" w:cs="Arial" w:eastAsia="Arial" w:hAnsi="Arial"/>
                  <w:sz w:val="18"/>
                  <w:szCs w:val="18"/>
                  <w:color w:val="auto"/>
                  <w:w w:val="82"/>
                </w:rPr>
                <w:t>Item 11.</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8">
              <w:r>
                <w:rPr>
                  <w:rFonts w:ascii="Arial" w:cs="Arial" w:eastAsia="Arial" w:hAnsi="Arial"/>
                  <w:sz w:val="18"/>
                  <w:szCs w:val="18"/>
                  <w:color w:val="auto"/>
                </w:rPr>
                <w:t>Executive Compensation</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6"/>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8">
              <w:r>
                <w:rPr>
                  <w:rFonts w:ascii="Arial" w:cs="Arial" w:eastAsia="Arial" w:hAnsi="Arial"/>
                  <w:sz w:val="18"/>
                  <w:szCs w:val="18"/>
                  <w:color w:val="auto"/>
                  <w:w w:val="82"/>
                </w:rPr>
                <w:t>Item 12.</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8">
              <w:r>
                <w:rPr>
                  <w:rFonts w:ascii="Arial" w:cs="Arial" w:eastAsia="Arial" w:hAnsi="Arial"/>
                  <w:sz w:val="18"/>
                  <w:szCs w:val="18"/>
                  <w:color w:val="auto"/>
                </w:rPr>
                <w:t>Security Ownership of Certain Beneficial Owners and Management and Related Stockholders Matters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8"/>
            <w:shd w:val="clear" w:color="auto" w:fill="000000"/>
          </w:tcPr>
          <w:p>
            <w:pPr>
              <w:spacing w:after="0" w:line="20" w:lineRule="exact"/>
              <w:rPr>
                <w:sz w:val="1"/>
                <w:szCs w:val="1"/>
                <w:color w:val="auto"/>
              </w:rPr>
            </w:pPr>
          </w:p>
        </w:tc>
        <w:tc>
          <w:tcPr>
            <w:tcW w:w="2580" w:type="dxa"/>
            <w:vAlign w:val="bottom"/>
            <w:tcBorders>
              <w:left w:val="single" w:sz="8" w:color="auto"/>
            </w:tcBorders>
            <w:gridSpan w:val="4"/>
            <w:shd w:val="clear" w:color="auto" w:fill="000000"/>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8">
              <w:r>
                <w:rPr>
                  <w:rFonts w:ascii="Arial" w:cs="Arial" w:eastAsia="Arial" w:hAnsi="Arial"/>
                  <w:sz w:val="18"/>
                  <w:szCs w:val="18"/>
                  <w:color w:val="auto"/>
                  <w:w w:val="82"/>
                </w:rPr>
                <w:t>Item 13.</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8">
              <w:r>
                <w:rPr>
                  <w:rFonts w:ascii="Arial" w:cs="Arial" w:eastAsia="Arial" w:hAnsi="Arial"/>
                  <w:sz w:val="18"/>
                  <w:szCs w:val="18"/>
                  <w:color w:val="auto"/>
                </w:rPr>
                <w:t>Certain Relationships and Related Transactions, and Director Independence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8"/>
            <w:shd w:val="clear" w:color="auto" w:fill="000000"/>
          </w:tcPr>
          <w:p>
            <w:pPr>
              <w:spacing w:after="0" w:line="20" w:lineRule="exact"/>
              <w:rPr>
                <w:sz w:val="1"/>
                <w:szCs w:val="1"/>
                <w:color w:val="auto"/>
              </w:rPr>
            </w:pPr>
          </w:p>
        </w:tc>
        <w:tc>
          <w:tcPr>
            <w:tcW w:w="2580" w:type="dxa"/>
            <w:vAlign w:val="bottom"/>
            <w:tcBorders>
              <w:left w:val="single" w:sz="8" w:color="auto"/>
            </w:tcBorders>
            <w:gridSpan w:val="4"/>
            <w:shd w:val="clear" w:color="auto" w:fill="000000"/>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8">
              <w:r>
                <w:rPr>
                  <w:rFonts w:ascii="Arial" w:cs="Arial" w:eastAsia="Arial" w:hAnsi="Arial"/>
                  <w:sz w:val="18"/>
                  <w:szCs w:val="18"/>
                  <w:color w:val="auto"/>
                  <w:w w:val="82"/>
                </w:rPr>
                <w:t>Item 14.</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8">
              <w:r>
                <w:rPr>
                  <w:rFonts w:ascii="Arial" w:cs="Arial" w:eastAsia="Arial" w:hAnsi="Arial"/>
                  <w:sz w:val="18"/>
                  <w:szCs w:val="18"/>
                  <w:color w:val="auto"/>
                </w:rPr>
                <w:t>Principal Accountant Fees and Services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tcBorders>
              <w:bottom w:val="single" w:sz="8" w:color="auto"/>
            </w:tcBorders>
            <w:gridSpan w:val="4"/>
          </w:tcPr>
          <w:p>
            <w:pPr>
              <w:spacing w:after="0"/>
              <w:rPr>
                <w:rFonts w:ascii="Arial" w:cs="Arial" w:eastAsia="Arial" w:hAnsi="Arial"/>
                <w:sz w:val="18"/>
                <w:szCs w:val="18"/>
                <w:b w:val="1"/>
                <w:bCs w:val="1"/>
                <w:color w:val="auto"/>
                <w:w w:val="98"/>
              </w:rPr>
            </w:pPr>
            <w:hyperlink w:anchor="page49">
              <w:r>
                <w:rPr>
                  <w:rFonts w:ascii="Arial" w:cs="Arial" w:eastAsia="Arial" w:hAnsi="Arial"/>
                  <w:sz w:val="18"/>
                  <w:szCs w:val="18"/>
                  <w:b w:val="1"/>
                  <w:bCs w:val="1"/>
                  <w:color w:val="auto"/>
                  <w:w w:val="98"/>
                </w:rPr>
                <w:t>PART IV</w:t>
              </w:r>
            </w:hyperlink>
          </w:p>
        </w:tc>
        <w:tc>
          <w:tcPr>
            <w:tcW w:w="4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9">
              <w:r>
                <w:rPr>
                  <w:rFonts w:ascii="Arial" w:cs="Arial" w:eastAsia="Arial" w:hAnsi="Arial"/>
                  <w:sz w:val="18"/>
                  <w:szCs w:val="18"/>
                  <w:color w:val="auto"/>
                  <w:w w:val="82"/>
                </w:rPr>
                <w:t>Item 15.</w:t>
              </w:r>
            </w:hyperlink>
          </w:p>
        </w:tc>
        <w:tc>
          <w:tcPr>
            <w:tcW w:w="580" w:type="dxa"/>
            <w:vAlign w:val="bottom"/>
            <w:gridSpan w:val="4"/>
          </w:tcPr>
          <w:p>
            <w:pPr>
              <w:spacing w:after="0"/>
              <w:rPr>
                <w:sz w:val="24"/>
                <w:szCs w:val="24"/>
                <w:color w:val="auto"/>
              </w:rPr>
            </w:pPr>
          </w:p>
        </w:tc>
        <w:tc>
          <w:tcPr>
            <w:tcW w:w="9420" w:type="dxa"/>
            <w:vAlign w:val="bottom"/>
            <w:gridSpan w:val="17"/>
          </w:tcPr>
          <w:p>
            <w:pPr>
              <w:ind w:left="100"/>
              <w:spacing w:after="0"/>
              <w:rPr>
                <w:rFonts w:ascii="Arial" w:cs="Arial" w:eastAsia="Arial" w:hAnsi="Arial"/>
                <w:sz w:val="18"/>
                <w:szCs w:val="18"/>
                <w:color w:val="auto"/>
              </w:rPr>
            </w:pPr>
            <w:hyperlink w:anchor="page49">
              <w:r>
                <w:rPr>
                  <w:rFonts w:ascii="Arial" w:cs="Arial" w:eastAsia="Arial" w:hAnsi="Arial"/>
                  <w:sz w:val="18"/>
                  <w:szCs w:val="18"/>
                  <w:color w:val="auto"/>
                </w:rPr>
                <w:t>Exhibits, Financial Statement Schedules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6"/>
          </w:tcPr>
          <w:p>
            <w:pPr>
              <w:spacing w:after="0"/>
              <w:rPr>
                <w:rFonts w:ascii="Arial" w:cs="Arial" w:eastAsia="Arial" w:hAnsi="Arial"/>
                <w:sz w:val="18"/>
                <w:szCs w:val="18"/>
                <w:b w:val="1"/>
                <w:bCs w:val="1"/>
                <w:color w:val="auto"/>
                <w:w w:val="96"/>
              </w:rPr>
            </w:pPr>
            <w:hyperlink w:anchor="page55">
              <w:r>
                <w:rPr>
                  <w:rFonts w:ascii="Arial" w:cs="Arial" w:eastAsia="Arial" w:hAnsi="Arial"/>
                  <w:sz w:val="18"/>
                  <w:szCs w:val="18"/>
                  <w:b w:val="1"/>
                  <w:bCs w:val="1"/>
                  <w:color w:val="auto"/>
                  <w:w w:val="96"/>
                </w:rPr>
                <w:t>SIGNATURES</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“we,” “us,” “our,” or “Cross Country” in this Report on Form 10-K means Cross Country Healthcare, Inc., its subsidiaries and affiliates.</w:t>
      </w:r>
    </w:p>
    <w:p>
      <w:pPr>
        <w:sectPr>
          <w:pgSz w:w="11900" w:h="16838" w:orient="portrait"/>
          <w:cols w:equalWidth="0" w:num="1">
            <w:col w:w="11420"/>
          </w:cols>
          <w:pgMar w:left="240" w:top="796" w:right="239" w:bottom="1097"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historical information, this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entitled “Item 1A - Risk Factors.” Readers should also carefully review the “Risk Factors” section contained in other documents we file from time to time with the Securities and Exchange Commission, including the Quarterly Reports on Form 10-Q to be filed by us in fiscal year 2018.</w:t>
      </w:r>
    </w:p>
    <w:p>
      <w:pPr>
        <w:spacing w:after="0" w:line="182"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2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Company</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Cross Country Healthcare, Inc. (NASDAQ: CCRN) is a national leader in providing healthcare staffing, recruiting and value-added workforce solutions. Through a full suite of innovative workforce solutions and a national presence including 76 office locations throughout the United States (U.S.), we are able to meet the unique and dynamic needs of our clients. By utilizing our various solutions, clients are able to better plan their personnel needs, outsource recruitment processes, strategically flex their workforce, streamline their purchasing needs, access specialties not available in their local area, access quality healthcare personnel and provide continuity of care for improved patient outcomes.</w:t>
      </w:r>
    </w:p>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solutions are geared towards assisting our clients in solving their labor issues while maintaining high quality outcomes. We are increasingly being called upon to provide more creative and strategic talent sourcing strategies, particularly to find efficiencies to support cost containment programs and to access hard to find specialties in the current tight labor market. Over the past several years, our Managed Service Programs (MSPs) have shifted to more of a total talent management relationship as our clients continue to focus on improving labor management to address complex financial, compliance, and other challenges in the healthcare industry. In the past 24 months, we have won 23 additional MSP contracts, and for the full year ended December 31, 2017, approximately 30% of our revenue was generated through MSP contracts. During 2017, we had more than 29,000 healthcare professionals on assignment at 6,975 facilities, and our MSPs served approximately 500 facilities.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workforce solutions include:</w:t>
      </w:r>
    </w:p>
    <w:p>
      <w:pPr>
        <w:spacing w:after="0" w:line="144" w:lineRule="exact"/>
        <w:rPr>
          <w:sz w:val="20"/>
          <w:szCs w:val="20"/>
          <w:color w:val="auto"/>
        </w:rPr>
      </w:pPr>
    </w:p>
    <w:p>
      <w:pPr>
        <w:ind w:left="880" w:hanging="224"/>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8"/>
          <w:szCs w:val="18"/>
          <w:color w:val="auto"/>
        </w:rPr>
        <w:t>Managed Service Programs (MSPs);</w:t>
      </w:r>
    </w:p>
    <w:p>
      <w:pPr>
        <w:spacing w:after="0" w:line="23" w:lineRule="exact"/>
        <w:rPr>
          <w:rFonts w:ascii="Arial" w:cs="Arial" w:eastAsia="Arial" w:hAnsi="Arial"/>
          <w:sz w:val="14"/>
          <w:szCs w:val="14"/>
          <w:color w:val="auto"/>
        </w:rPr>
      </w:pPr>
    </w:p>
    <w:p>
      <w:pPr>
        <w:ind w:left="880" w:hanging="224"/>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8"/>
          <w:szCs w:val="18"/>
          <w:color w:val="auto"/>
        </w:rPr>
        <w:t>Optimal Workforce Solutions (OWS);</w:t>
      </w:r>
    </w:p>
    <w:p>
      <w:pPr>
        <w:spacing w:after="0" w:line="22" w:lineRule="exact"/>
        <w:rPr>
          <w:rFonts w:ascii="Arial" w:cs="Arial" w:eastAsia="Arial" w:hAnsi="Arial"/>
          <w:sz w:val="14"/>
          <w:szCs w:val="14"/>
          <w:color w:val="auto"/>
        </w:rPr>
      </w:pPr>
    </w:p>
    <w:p>
      <w:pPr>
        <w:ind w:left="880" w:hanging="224"/>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8"/>
          <w:szCs w:val="18"/>
          <w:color w:val="auto"/>
        </w:rPr>
        <w:t>Education Healthcare Services;</w:t>
      </w:r>
    </w:p>
    <w:p>
      <w:pPr>
        <w:spacing w:after="0" w:line="22" w:lineRule="exact"/>
        <w:rPr>
          <w:rFonts w:ascii="Arial" w:cs="Arial" w:eastAsia="Arial" w:hAnsi="Arial"/>
          <w:sz w:val="14"/>
          <w:szCs w:val="14"/>
          <w:color w:val="auto"/>
        </w:rPr>
      </w:pPr>
    </w:p>
    <w:p>
      <w:pPr>
        <w:ind w:left="880" w:hanging="224"/>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8"/>
          <w:szCs w:val="18"/>
          <w:color w:val="auto"/>
        </w:rPr>
        <w:t>Electronic Medical Record Transition Staffing (EMR);</w:t>
      </w:r>
    </w:p>
    <w:p>
      <w:pPr>
        <w:spacing w:after="0" w:line="22" w:lineRule="exact"/>
        <w:rPr>
          <w:rFonts w:ascii="Arial" w:cs="Arial" w:eastAsia="Arial" w:hAnsi="Arial"/>
          <w:sz w:val="14"/>
          <w:szCs w:val="14"/>
          <w:color w:val="auto"/>
        </w:rPr>
      </w:pPr>
    </w:p>
    <w:p>
      <w:pPr>
        <w:ind w:left="880" w:hanging="224"/>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8"/>
          <w:szCs w:val="18"/>
          <w:color w:val="auto"/>
        </w:rPr>
        <w:t>Recruitment Process Outsourcing (RPO); and</w:t>
      </w:r>
    </w:p>
    <w:p>
      <w:pPr>
        <w:spacing w:after="0" w:line="22" w:lineRule="exact"/>
        <w:rPr>
          <w:rFonts w:ascii="Arial" w:cs="Arial" w:eastAsia="Arial" w:hAnsi="Arial"/>
          <w:sz w:val="14"/>
          <w:szCs w:val="14"/>
          <w:color w:val="auto"/>
        </w:rPr>
      </w:pPr>
    </w:p>
    <w:p>
      <w:pPr>
        <w:ind w:left="880" w:hanging="224"/>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8"/>
          <w:szCs w:val="18"/>
          <w:color w:val="auto"/>
        </w:rPr>
        <w:t>Internal Resource Pool Consulting &amp; Development (IRP).</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able to provide our services on a national level or through any one of our 69 local branches throughout the United States or through a combination of both. We service a variety of clients, including public and private acute care hospitals, public and charter schools, outpatient clinics, ambulatory care facilities, single and multi-specialty physician practices, rehabilitation facilities, urgent care centers, correctional facilities, government facilities, retailers, and many other healthcare providers. Our business consists of three business segments: (i) Nurse and Allied Staffing, (ii) Physician Staffing, and (iii) Other Human Capital Management Services. Fees for our services are paid directly by our clients and in certain instances by vendor managers, and as a result, we have no direct exposure to Medicare or Medicaid reimbursements.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4" w:name="page5"/>
    <w:bookmarkEnd w:id="4"/>
    <w:p>
      <w:pPr>
        <w:ind w:right="100"/>
        <w:spacing w:after="0" w:line="272" w:lineRule="auto"/>
        <w:rPr>
          <w:sz w:val="20"/>
          <w:szCs w:val="20"/>
          <w:color w:val="auto"/>
        </w:rPr>
      </w:pPr>
      <w:r>
        <w:rPr>
          <w:rFonts w:ascii="Arial" w:cs="Arial" w:eastAsia="Arial" w:hAnsi="Arial"/>
          <w:sz w:val="17"/>
          <w:szCs w:val="17"/>
          <w:color w:val="auto"/>
        </w:rPr>
        <w:t>Our consolidated 2017 revenue was $865.0 million, reflecting a diversified revenue mix across healthcare customers. Nurse and Allied Staffing was 88% of revenue, comprised of travel nurse, travel allied, and branch-based local nurse and allied staffing (including staffing of public and charter schools). Physician Staffing was 10% of our revenue and consists primarily of physician staffing services with placements across multiple specialties. Other Human Capital Management Services was 2% of our revenue, which consists of our retained and contingent search services primarily for physicians and healthcare executives. On a company-wide basis, we have approximately 6,600 active contracts with healthcare clients, and we provide our staffing services and workforce solutions in all 50 states. In 2017, 2016, and 2015 no client accounted for more than 10% of our revenue. For additional financial information concerning our business segments, see Note 17 - Segment Data to the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follow a structured disciplined approach with clearly identified objectives to make strategic acquisitions. Historically, we have acquired companies to improve our position in the four sectors of healthcare where we participate. Accordingly, we acquired traditional healthcare staffing companies such as travel nurse, travel allied, and per diem staffing. The strategic rationale for making acquisitions in Nurse and Allied Staffing has been to: (i) expand our workforce solutions offerings to deepen our relationships with current customers and to attract new customers; (ii) expand our local branch network to grow our local market presence and our MSP business; (iii) further diversify our customer base into the public and charter school market; (iii) diversify our customer base into the local ambulatory care and retail market, which provides more balance between our large volume-based customers and our small local customers; (iv) better position ourselves to take additional market share in our MSP business; (v) access more candidates and candidates in different specialties; and (vi) add new skill sets to our traditional staffing offerings.</w:t>
      </w:r>
    </w:p>
    <w:p>
      <w:pPr>
        <w:spacing w:after="0" w:line="9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2015 we expanded our acquisition strategy and acquired Mediscan, an education healthcare staffing company. Staffing of speech language pathologists, physical therapists, and other healthcare workers in schools (public and private) is: (i) mandated by the government; and (ii) not as sensitive to changes in the economy. We believe the higher margin education healthcare staffing market complements our current business and provides an opportunity to add new service lines and further diversify our customer base, as the Mediscan business is divided between acute/ambulatory care and public and charter schools.</w:t>
      </w:r>
    </w:p>
    <w:p>
      <w:pPr>
        <w:spacing w:after="0" w:line="7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July 2017, we were presented with an opportunity to acquire a quality nurse staffing company, Advantage RN, LLC (Advantage). We acquired the Advantage business to supplement the number of nurses we place at our MSP clients, increase our capture rate, and reduce the number of positions outsourced to subcontractors. In addition, this acquisition provides a vehicle for us to cross-sell our MSP solutions to Advantage's clients, and increase our footprint in the Midwest where Advantage is located. In the fourth quarter of 2017, Advantage had an average of 750 nurses on assignment throughout the United States.</w:t>
      </w:r>
    </w:p>
    <w:p>
      <w:pPr>
        <w:spacing w:after="0" w:line="10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December 2016, we acquired an RPO business, US Resources Healthcare. The rationale for this acquisition was to increase our workforce solutions capabilities to deliver financial and operating efficiencies to our customers through labor optimization services while enhancing the quality of care. By partnering with our customers to design and execute a tailored solution to meet their talent and business goals, we are able to find the talent our customers need. For additional financial information concerning our acquisitions, see Note 3 - Acquisitions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principal competitive factors in attracting, retaining, and expanding business with healthcare clients nationally include: (i) understanding the client’s work environment; (ii) offering a comprehensive suite of services to assist the client in assessing its personnel needs and partnering with clients to design various customizable alternative solutions; (iii) the timely filling of clients' needs; (iv) price; (v) customer service; (vi) quality assurance and screening capabilities;</w:t>
      </w:r>
    </w:p>
    <w:p>
      <w:pPr>
        <w:ind w:right="60" w:firstLine="8"/>
        <w:spacing w:after="0" w:line="281" w:lineRule="auto"/>
        <w:tabs>
          <w:tab w:leader="none" w:pos="355"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 management policies; (viii) insurance coverage; and (ix) general industry reputation. The principal competitive factors in attracting qualified healthcare professionals for temporary employment include: (i) a large national pool of desirable assignments; (ii) pay and benefits; (iii) speed of placements;</w:t>
      </w:r>
    </w:p>
    <w:p>
      <w:pPr>
        <w:spacing w:after="0" w:line="1" w:lineRule="exact"/>
        <w:rPr>
          <w:rFonts w:ascii="Arial" w:cs="Arial" w:eastAsia="Arial" w:hAnsi="Arial"/>
          <w:sz w:val="16"/>
          <w:szCs w:val="16"/>
          <w:color w:val="auto"/>
        </w:rPr>
      </w:pPr>
    </w:p>
    <w:p>
      <w:pPr>
        <w:ind w:right="120" w:firstLine="8"/>
        <w:spacing w:after="0" w:line="261"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service; (v) quality of accommodations; and (vi) overall industry reputation. We focus on retaining healthcare professionals by providing high-quality customer service, long-term benefits (to employees), and medical malpractice insurance.</w:t>
      </w:r>
    </w:p>
    <w:p>
      <w:pPr>
        <w:spacing w:after="0" w:line="10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believe we are one of only two large full-service healthcare staffing providers with a national footprint; one of the top five providers of physician staffing services in the United States; and one of the top providers of retained and contingent physician and healthcare executive search services in the healthcare marketplace. Some of our competitors in the healthcare staffing, workforce solutions, and search businesses include: AMN Healthcare Services, Inc., CHG Healthcare Services, Maxim Healthcare, Jackson Healthcare, Team Health, HealthTrust Workforce Solutions, MedAssets, and Witt Kiefer.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believe we benefit competitively from the following: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5" w:name="page6"/>
    <w:bookmarkEnd w:id="5"/>
    <w:p>
      <w:pPr>
        <w:jc w:val="both"/>
        <w:ind w:left="8" w:right="440"/>
        <w:spacing w:after="0" w:line="264" w:lineRule="auto"/>
        <w:rPr>
          <w:sz w:val="20"/>
          <w:szCs w:val="20"/>
          <w:color w:val="auto"/>
        </w:rPr>
      </w:pPr>
      <w:r>
        <w:rPr>
          <w:rFonts w:ascii="Arial" w:cs="Arial" w:eastAsia="Arial" w:hAnsi="Arial"/>
          <w:sz w:val="18"/>
          <w:szCs w:val="18"/>
          <w:i w:val="1"/>
          <w:iCs w:val="1"/>
          <w:color w:val="auto"/>
        </w:rPr>
        <w:t xml:space="preserve">Breadth and Expertise of Value-Added Workforce Solutions Offered. </w:t>
      </w:r>
      <w:r>
        <w:rPr>
          <w:rFonts w:ascii="Arial" w:cs="Arial" w:eastAsia="Arial" w:hAnsi="Arial"/>
          <w:sz w:val="18"/>
          <w:szCs w:val="18"/>
          <w:color w:val="auto"/>
        </w:rPr>
        <w:t>As a long-time leader of MSP solutions, our additional services include: OWS,</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Healthcare Staffing Services, EMR staffing, RPO, and IRP. Our holistic approach is to deploy cost effective labor optimization strategies uniquely designed for each customer, all while ensuring quality of care for patients.</w:t>
      </w:r>
    </w:p>
    <w:p>
      <w:pPr>
        <w:spacing w:after="0" w:line="100" w:lineRule="exact"/>
        <w:rPr>
          <w:sz w:val="20"/>
          <w:szCs w:val="20"/>
          <w:color w:val="auto"/>
        </w:rPr>
      </w:pPr>
    </w:p>
    <w:p>
      <w:pPr>
        <w:ind w:left="328" w:right="120" w:hanging="328"/>
        <w:spacing w:after="0" w:line="253" w:lineRule="auto"/>
        <w:tabs>
          <w:tab w:leader="none" w:pos="328"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MSP Capabilities</w:t>
      </w:r>
      <w:r>
        <w:rPr>
          <w:rFonts w:ascii="Arial" w:cs="Arial" w:eastAsia="Arial" w:hAnsi="Arial"/>
          <w:sz w:val="18"/>
          <w:szCs w:val="18"/>
          <w:i w:val="1"/>
          <w:iCs w:val="1"/>
          <w:color w:val="auto"/>
        </w:rPr>
        <w:t>.</w:t>
      </w:r>
      <w:r>
        <w:rPr>
          <w:rFonts w:ascii="Arial" w:cs="Arial" w:eastAsia="Arial" w:hAnsi="Arial"/>
          <w:sz w:val="18"/>
          <w:szCs w:val="18"/>
          <w:color w:val="auto"/>
        </w:rPr>
        <w:t xml:space="preserve"> Rather than an acute care facility’s talent management team working with multiple staffing agencies, our MSP model offers a consultative approach to address total talent management, a single point of contact, access to a nationwide network of subcontractors, uniform rates and terms, and accountability for the quality of healthcare professionals to our clients through the aggregation and standardization of total contract labor spend. This MSP model has become a desired practice of healthcare systems seeking to drive financial and operating efficiencies, while ensuring quality of care.</w:t>
      </w:r>
    </w:p>
    <w:p>
      <w:pPr>
        <w:spacing w:after="0" w:line="3" w:lineRule="exact"/>
        <w:rPr>
          <w:rFonts w:ascii="Arial" w:cs="Arial" w:eastAsia="Arial" w:hAnsi="Arial"/>
          <w:sz w:val="18"/>
          <w:szCs w:val="18"/>
          <w:i w:val="1"/>
          <w:iCs w:val="1"/>
          <w:color w:val="auto"/>
        </w:rPr>
      </w:pPr>
    </w:p>
    <w:p>
      <w:pPr>
        <w:ind w:left="328" w:right="60" w:hanging="328"/>
        <w:spacing w:after="0" w:line="281"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OWS. These services allow our clients to outsource certain non-core department staff that may be particularly challenging to recruit and retain. By outsourcing these departments to our OWS team, our clients can better control their operating costs, gain access to our talent management expertise, free their internal resources for other purposes, streamline or increase efficiency for certain functions, and improve their overall focus.</w:t>
      </w:r>
    </w:p>
    <w:p>
      <w:pPr>
        <w:spacing w:after="0" w:line="2" w:lineRule="exact"/>
        <w:rPr>
          <w:rFonts w:ascii="Arial" w:cs="Arial" w:eastAsia="Arial" w:hAnsi="Arial"/>
          <w:sz w:val="16"/>
          <w:szCs w:val="16"/>
          <w:color w:val="auto"/>
        </w:rPr>
      </w:pPr>
    </w:p>
    <w:p>
      <w:pPr>
        <w:ind w:left="328" w:right="20"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Education Healthcare Staffing Services. By providing consultative and staffing services to traditional public and charter school clients, we help them achieve performance and cost savings goals while experiencing greater flexibility in their operations.</w:t>
      </w:r>
    </w:p>
    <w:p>
      <w:pPr>
        <w:ind w:left="328" w:right="160" w:hanging="328"/>
        <w:spacing w:after="0" w:line="281" w:lineRule="auto"/>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EMR. Based on the government mandate for hospitals to convert to Electronic Medical Records to ensure payment for services, we developed a sound transition and implementation process to help our clients backfill staffing needs while they adopt a new or upgraded EMR platform. Staffing plans are created in collaboration with our clients so they have adequate, planned, quality staffing to cover these peak vacancies.</w:t>
      </w:r>
    </w:p>
    <w:p>
      <w:pPr>
        <w:spacing w:after="0" w:line="2" w:lineRule="exact"/>
        <w:rPr>
          <w:rFonts w:ascii="Arial" w:cs="Arial" w:eastAsia="Arial" w:hAnsi="Arial"/>
          <w:sz w:val="16"/>
          <w:szCs w:val="16"/>
          <w:color w:val="auto"/>
        </w:rPr>
      </w:pPr>
    </w:p>
    <w:p>
      <w:pPr>
        <w:ind w:left="328" w:hanging="328"/>
        <w:spacing w:after="0" w:line="265"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RPO. We offer business process outsourcing where a client transfers all or part of its talent management recruitment processes to us and we can assume the design and management of the recruitment process and the responsibility for the results. The structure of this solution differs greatly from client to client as there is a continuum of scope of the services that may be provided (e.g. end to end services or hybrid solutions).</w:t>
      </w:r>
    </w:p>
    <w:p>
      <w:pPr>
        <w:ind w:left="328" w:right="200" w:hanging="328"/>
        <w:spacing w:after="0" w:line="254"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IRP. We consult with our clients to structure groups of their staff professionals that can be called upon when shortages exist or are expected. These professionals agree to fill positions when necessary and are available when called upon. They have experience with the facilities where they will work, so they are immediately up to speed with how things are done and what is expected from them the moment they arrive. This type of pool promotes quality of care and is cost-efficient for our clients.</w:t>
      </w:r>
    </w:p>
    <w:p>
      <w:pPr>
        <w:spacing w:after="0" w:line="190" w:lineRule="exact"/>
        <w:rPr>
          <w:sz w:val="20"/>
          <w:szCs w:val="20"/>
          <w:color w:val="auto"/>
        </w:rPr>
      </w:pPr>
    </w:p>
    <w:p>
      <w:pPr>
        <w:ind w:left="8" w:right="40"/>
        <w:spacing w:after="0" w:line="297" w:lineRule="auto"/>
        <w:rPr>
          <w:sz w:val="20"/>
          <w:szCs w:val="20"/>
          <w:color w:val="auto"/>
        </w:rPr>
      </w:pPr>
      <w:r>
        <w:rPr>
          <w:rFonts w:ascii="Arial" w:cs="Arial" w:eastAsia="Arial" w:hAnsi="Arial"/>
          <w:sz w:val="16"/>
          <w:szCs w:val="16"/>
          <w:i w:val="1"/>
          <w:iCs w:val="1"/>
          <w:color w:val="auto"/>
        </w:rPr>
        <w:t xml:space="preserve">Ability to Meet a National Shift Towards a More Integrated Delivery of Healthcare. </w:t>
      </w:r>
      <w:r>
        <w:rPr>
          <w:rFonts w:ascii="Arial" w:cs="Arial" w:eastAsia="Arial" w:hAnsi="Arial"/>
          <w:sz w:val="16"/>
          <w:szCs w:val="16"/>
          <w:color w:val="auto"/>
        </w:rPr>
        <w:t>With our national resources, as well as local resources at our 69 local</w:t>
      </w:r>
      <w:r>
        <w:rPr>
          <w:rFonts w:ascii="Arial" w:cs="Arial" w:eastAsia="Arial" w:hAnsi="Arial"/>
          <w:sz w:val="16"/>
          <w:szCs w:val="16"/>
          <w:i w:val="1"/>
          <w:iCs w:val="1"/>
          <w:color w:val="auto"/>
        </w:rPr>
        <w:t xml:space="preserve"> </w:t>
      </w:r>
      <w:r>
        <w:rPr>
          <w:rFonts w:ascii="Arial" w:cs="Arial" w:eastAsia="Arial" w:hAnsi="Arial"/>
          <w:sz w:val="16"/>
          <w:szCs w:val="16"/>
          <w:color w:val="auto"/>
        </w:rPr>
        <w:t>branches, we are uniquely positioned to assist hospitals and health systems which continue to turn to lower-cost, more accessible alternatives, such as outpatient or ambulatory care centers as a result of the Patient Protection and Affordable Care Act (ACA) of 2010 and other market dynamics. By offering travel, per diem, and permanent placement of a variety of healthcare professionals, we are also able to offer many different types of personnel to hospitals and health systems at their main campuses, as well as their ambulatory and outpatient care centers, in order to meet their workforce needs.</w:t>
      </w:r>
    </w:p>
    <w:p>
      <w:pPr>
        <w:spacing w:after="0" w:line="77" w:lineRule="exact"/>
        <w:rPr>
          <w:sz w:val="20"/>
          <w:szCs w:val="20"/>
          <w:color w:val="auto"/>
        </w:rPr>
      </w:pPr>
    </w:p>
    <w:p>
      <w:pPr>
        <w:ind w:left="8" w:right="380"/>
        <w:spacing w:after="0" w:line="277" w:lineRule="auto"/>
        <w:rPr>
          <w:sz w:val="20"/>
          <w:szCs w:val="20"/>
          <w:color w:val="auto"/>
        </w:rPr>
      </w:pPr>
      <w:r>
        <w:rPr>
          <w:rFonts w:ascii="Arial" w:cs="Arial" w:eastAsia="Arial" w:hAnsi="Arial"/>
          <w:sz w:val="18"/>
          <w:szCs w:val="18"/>
          <w:i w:val="1"/>
          <w:iCs w:val="1"/>
          <w:color w:val="auto"/>
        </w:rPr>
        <w:t xml:space="preserve">Brand Recognition. </w:t>
      </w:r>
      <w:r>
        <w:rPr>
          <w:rFonts w:ascii="Arial" w:cs="Arial" w:eastAsia="Arial" w:hAnsi="Arial"/>
          <w:sz w:val="18"/>
          <w:szCs w:val="18"/>
          <w:color w:val="auto"/>
        </w:rPr>
        <w:t>We go to market with a variety of brands, which are well-recognized among leading hospitals and healthcare facilities and many</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professionals. These businesses have been operating for more than twenty years.</w:t>
      </w:r>
    </w:p>
    <w:p>
      <w:pPr>
        <w:spacing w:after="0" w:line="89" w:lineRule="exact"/>
        <w:rPr>
          <w:sz w:val="20"/>
          <w:szCs w:val="20"/>
          <w:color w:val="auto"/>
        </w:rPr>
      </w:pPr>
    </w:p>
    <w:p>
      <w:pPr>
        <w:ind w:left="8" w:right="20"/>
        <w:spacing w:after="0" w:line="293" w:lineRule="auto"/>
        <w:rPr>
          <w:sz w:val="20"/>
          <w:szCs w:val="20"/>
          <w:color w:val="auto"/>
        </w:rPr>
      </w:pPr>
      <w:r>
        <w:rPr>
          <w:rFonts w:ascii="Arial" w:cs="Arial" w:eastAsia="Arial" w:hAnsi="Arial"/>
          <w:sz w:val="16"/>
          <w:szCs w:val="16"/>
          <w:i w:val="1"/>
          <w:iCs w:val="1"/>
          <w:color w:val="auto"/>
        </w:rPr>
        <w:t xml:space="preserve">Strong and Diverse Client Relationships. </w:t>
      </w:r>
      <w:r>
        <w:rPr>
          <w:rFonts w:ascii="Arial" w:cs="Arial" w:eastAsia="Arial" w:hAnsi="Arial"/>
          <w:sz w:val="16"/>
          <w:szCs w:val="16"/>
          <w:color w:val="auto"/>
        </w:rPr>
        <w:t>We provide healthcare staffing and workforce solutions to a diverse client base throughout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 approximately 6,600 active contracts with hospitals and healthcare facilities, and other healthcare providers. As a result, we have a diverse choice of assignments for our healthcare professionals to choose from. In addition, our joint venture with a large health system's staffing subsidiary provides us with a unique insight into the challenges facing many of our hospital clients generally and this provides us with the opportunity to better serve all of our clients by designing and implementing workforce solutions to meet their needs. Our relationship with the largest member- owned healthcare services company in the United States should also serve to expand our relationships in the healthcare community.</w:t>
      </w:r>
    </w:p>
    <w:p>
      <w:pPr>
        <w:spacing w:after="0" w:line="84" w:lineRule="exact"/>
        <w:rPr>
          <w:sz w:val="20"/>
          <w:szCs w:val="20"/>
          <w:color w:val="auto"/>
        </w:rPr>
      </w:pPr>
    </w:p>
    <w:p>
      <w:pPr>
        <w:ind w:left="8" w:right="60"/>
        <w:spacing w:after="0" w:line="279" w:lineRule="auto"/>
        <w:rPr>
          <w:sz w:val="20"/>
          <w:szCs w:val="20"/>
          <w:color w:val="auto"/>
        </w:rPr>
      </w:pPr>
      <w:r>
        <w:rPr>
          <w:rFonts w:ascii="Arial" w:cs="Arial" w:eastAsia="Arial" w:hAnsi="Arial"/>
          <w:sz w:val="17"/>
          <w:szCs w:val="17"/>
          <w:i w:val="1"/>
          <w:iCs w:val="1"/>
          <w:color w:val="auto"/>
        </w:rPr>
        <w:t xml:space="preserve">Recruiting and Placement of Healthcare Professionals. </w:t>
      </w:r>
      <w:r>
        <w:rPr>
          <w:rFonts w:ascii="Arial" w:cs="Arial" w:eastAsia="Arial" w:hAnsi="Arial"/>
          <w:sz w:val="17"/>
          <w:szCs w:val="17"/>
          <w:color w:val="auto"/>
        </w:rPr>
        <w:t>Healthcare professionals apply with us through our differentiated nursing, locum tenens, and</w:t>
      </w:r>
      <w:r>
        <w:rPr>
          <w:rFonts w:ascii="Arial" w:cs="Arial" w:eastAsia="Arial" w:hAnsi="Arial"/>
          <w:sz w:val="17"/>
          <w:szCs w:val="17"/>
          <w:i w:val="1"/>
          <w:iCs w:val="1"/>
          <w:color w:val="auto"/>
        </w:rPr>
        <w:t xml:space="preserve"> </w:t>
      </w:r>
      <w:r>
        <w:rPr>
          <w:rFonts w:ascii="Arial" w:cs="Arial" w:eastAsia="Arial" w:hAnsi="Arial"/>
          <w:sz w:val="17"/>
          <w:szCs w:val="17"/>
          <w:color w:val="auto"/>
        </w:rPr>
        <w:t>allied healthcare recruitment brands. Our local branch network provides us access to local healthcare professionals who are uniquely qualified to provide care in ambulatory and outpatient settings. We believe our access to such a large and diverse group of healthcare professionals makes us more attractive to healthcare institutions and facilities seeking healthcare staffing and workforce solutions in the current dynamic marketplace.</w:t>
      </w:r>
    </w:p>
    <w:p>
      <w:pPr>
        <w:spacing w:after="0" w:line="90" w:lineRule="exact"/>
        <w:rPr>
          <w:sz w:val="20"/>
          <w:szCs w:val="20"/>
          <w:color w:val="auto"/>
        </w:rPr>
      </w:pPr>
    </w:p>
    <w:p>
      <w:pPr>
        <w:ind w:left="8" w:right="120"/>
        <w:spacing w:after="0" w:line="277" w:lineRule="auto"/>
        <w:rPr>
          <w:sz w:val="20"/>
          <w:szCs w:val="20"/>
          <w:color w:val="auto"/>
        </w:rPr>
      </w:pPr>
      <w:r>
        <w:rPr>
          <w:rFonts w:ascii="Arial" w:cs="Arial" w:eastAsia="Arial" w:hAnsi="Arial"/>
          <w:sz w:val="18"/>
          <w:szCs w:val="18"/>
          <w:i w:val="1"/>
          <w:iCs w:val="1"/>
          <w:color w:val="auto"/>
        </w:rPr>
        <w:t xml:space="preserve">Certifications. </w:t>
      </w:r>
      <w:r>
        <w:rPr>
          <w:rFonts w:ascii="Arial" w:cs="Arial" w:eastAsia="Arial" w:hAnsi="Arial"/>
          <w:sz w:val="18"/>
          <w:szCs w:val="18"/>
          <w:color w:val="auto"/>
        </w:rPr>
        <w:t>The staffing businesses of our Cross Country Staffing, Medical Staffing Network (MSN), and Mediscan brands are certified by The Joint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under its Health Care Staffing Services Certification Program. In addition,</w:t>
      </w:r>
    </w:p>
    <w:p>
      <w:pPr>
        <w:spacing w:after="0" w:line="33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8"/>
          </w:cols>
          <w:pgMar w:left="572" w:top="800" w:right="259" w:bottom="1440" w:gutter="0" w:footer="0" w:header="0"/>
        </w:sectPr>
      </w:pPr>
    </w:p>
    <w:bookmarkStart w:id="6" w:name="page7"/>
    <w:bookmarkEnd w:id="6"/>
    <w:p>
      <w:pPr>
        <w:ind w:left="340" w:right="540"/>
        <w:spacing w:after="0" w:line="277" w:lineRule="auto"/>
        <w:rPr>
          <w:sz w:val="20"/>
          <w:szCs w:val="20"/>
          <w:color w:val="auto"/>
        </w:rPr>
      </w:pPr>
      <w:r>
        <w:rPr>
          <w:rFonts w:ascii="Arial" w:cs="Arial" w:eastAsia="Arial" w:hAnsi="Arial"/>
          <w:sz w:val="18"/>
          <w:szCs w:val="18"/>
          <w:color w:val="auto"/>
        </w:rPr>
        <w:t>Credent Verification and Licensing Services, a subsidiary of Medical Doctor Associates (MDA), is certified by the National Committee of Quality Assurance (NCQA) -- one of only a handful of companies to achieve such certification.</w:t>
      </w:r>
    </w:p>
    <w:p>
      <w:pPr>
        <w:spacing w:after="0" w:line="89"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On average, our executive management team has more than 20 years of staffing experience. Led by our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a 30-year staffing industry veteran who joined the Company in April 2013, the Company has strengthened its leadership team by bringing in experienced executives.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and Supply Drivers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Demand Drivers</w:t>
      </w:r>
    </w:p>
    <w:p>
      <w:pPr>
        <w:spacing w:after="0" w:line="221"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b w:val="1"/>
          <w:bCs w:val="1"/>
          <w:color w:val="auto"/>
        </w:rPr>
        <w:t xml:space="preserve">Effect of ACA on Healthcare Utilization. </w:t>
      </w:r>
      <w:r>
        <w:rPr>
          <w:rFonts w:ascii="Arial" w:cs="Arial" w:eastAsia="Arial" w:hAnsi="Arial"/>
          <w:sz w:val="17"/>
          <w:szCs w:val="17"/>
          <w:color w:val="auto"/>
        </w:rPr>
        <w:t>The ACA has increased the number of insured patients over the past few years, especially in states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have expanded Medicaid. It has been reported that the effect of the ACA on healthcare utilization has been that 20 million people have gained health insurance coverage, whether through the federal marketplace, Medicaid expansion, or individuals staying on their parents' health insurance plans (Obamacarefacts.com, January 2018). Despite the shortened enrollment period for 2018, an estimated 8,800,000 individuals have reportedly signed up for 2018 coverage via the federal health insurance exchange and 2017 enrollees were auto renewed in December 2017 for 2018 (Centers for Medicaid &amp; Medicaid Services, Weekly Enrollment Snapshot, December, 2017). In addition, while the Tax Cuts and Jobs Act of 2017 Public Law No. 115-97 (2017 Tax Act) did away with the individual mandate, the elimination of that penalty does not go into effect until the beginning of 2019 and we expect many individuals to maintain insurance under their parents’ policies or otherwise. We believe the demand for healthcare professionals will continue as the number of insured has increased in the past few years under the ACA and with more persons employed who have healthcare insurance.</w:t>
      </w:r>
    </w:p>
    <w:p>
      <w:pPr>
        <w:spacing w:after="0" w:line="97"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b w:val="1"/>
          <w:bCs w:val="1"/>
          <w:color w:val="auto"/>
        </w:rPr>
        <w:t xml:space="preserve">Creation of Healthcare Jobs Outpacing Other Industries and Occupations. </w:t>
      </w:r>
      <w:r>
        <w:rPr>
          <w:rFonts w:ascii="Arial" w:cs="Arial" w:eastAsia="Arial" w:hAnsi="Arial"/>
          <w:sz w:val="16"/>
          <w:szCs w:val="16"/>
          <w:color w:val="auto"/>
        </w:rPr>
        <w:t>Healthcare represented 15% of all jobs created in 2017</w:t>
      </w:r>
      <w:r>
        <w:rPr>
          <w:rFonts w:ascii="Arial" w:cs="Arial" w:eastAsia="Arial" w:hAnsi="Arial"/>
          <w:sz w:val="16"/>
          <w:szCs w:val="16"/>
          <w:b w:val="1"/>
          <w:bCs w:val="1"/>
          <w:color w:val="auto"/>
        </w:rPr>
        <w:t xml:space="preserve"> </w:t>
      </w:r>
      <w:r>
        <w:rPr>
          <w:rFonts w:ascii="Arial" w:cs="Arial" w:eastAsia="Arial" w:hAnsi="Arial"/>
          <w:sz w:val="16"/>
          <w:szCs w:val="16"/>
          <w:color w:val="auto"/>
        </w:rPr>
        <w:t>(HealthleadersMedia.com, January 5, 2018). The Bureau of Labor Statistics recently released its latest 10-year projections of employment growth (from 2016 to 2026), with forecasts by various industries and occupations. Overall, employment is expected to grow 7.4%, far outpaced by employment in the healthcare industry (18%) and among healthcare occupations (18%) (Staffing Industry Analysts, December 14, 2017). This projected 18% growth varies, however, among three categories that make up the healthcare industry: (i) ambulatory healthcare services; (ii) nursing and residential care; and (iii) hospitals. Employment for ambulatory healthcare services is projected to grow 31%; nursing and residential care is projected to grow 13%, and hospital employment is projected to grow 6.8%. The creation of additional jobs in the healthcare market should increase demand for our services as our temporary staff are typically hired to replace healthcare workers taking vacation and leaves of absence.</w:t>
      </w:r>
    </w:p>
    <w:p>
      <w:pPr>
        <w:spacing w:after="0" w:line="79" w:lineRule="exact"/>
        <w:rPr>
          <w:sz w:val="20"/>
          <w:szCs w:val="20"/>
          <w:color w:val="auto"/>
        </w:rPr>
      </w:pPr>
    </w:p>
    <w:p>
      <w:pPr>
        <w:ind w:left="660"/>
        <w:spacing w:after="0" w:line="298" w:lineRule="auto"/>
        <w:rPr>
          <w:sz w:val="20"/>
          <w:szCs w:val="20"/>
          <w:color w:val="auto"/>
        </w:rPr>
      </w:pPr>
      <w:r>
        <w:rPr>
          <w:rFonts w:ascii="Arial" w:cs="Arial" w:eastAsia="Arial" w:hAnsi="Arial"/>
          <w:sz w:val="16"/>
          <w:szCs w:val="16"/>
          <w:b w:val="1"/>
          <w:bCs w:val="1"/>
          <w:color w:val="auto"/>
        </w:rPr>
        <w:t xml:space="preserve">Use of Temporary Workforce. </w:t>
      </w:r>
      <w:r>
        <w:rPr>
          <w:rFonts w:ascii="Arial" w:cs="Arial" w:eastAsia="Arial" w:hAnsi="Arial"/>
          <w:sz w:val="16"/>
          <w:szCs w:val="16"/>
          <w:color w:val="auto"/>
        </w:rPr>
        <w:t>The December 2017 penetration rate of temporary workers was 2.1% (U.S. Bureau of Labor Statistics, 2017 Labor</w:t>
      </w:r>
      <w:r>
        <w:rPr>
          <w:rFonts w:ascii="Arial" w:cs="Arial" w:eastAsia="Arial" w:hAnsi="Arial"/>
          <w:sz w:val="16"/>
          <w:szCs w:val="16"/>
          <w:b w:val="1"/>
          <w:bCs w:val="1"/>
          <w:color w:val="auto"/>
        </w:rPr>
        <w:t xml:space="preserve"> </w:t>
      </w:r>
      <w:r>
        <w:rPr>
          <w:rFonts w:ascii="Arial" w:cs="Arial" w:eastAsia="Arial" w:hAnsi="Arial"/>
          <w:sz w:val="16"/>
          <w:szCs w:val="16"/>
          <w:color w:val="auto"/>
        </w:rPr>
        <w:t>Force Statistics Database). We believe contingent labor will continue to be used strategically, as an increase in the use of temporary workers typically allows for cost-effective, time-sensitive solutions to specific business needs and allows organizations to leverage the skills of temporary workers while maintaining a lean staff of traditional permanent employees. Within the healthcare sector, we believe the current dynamic nature of the healthcare industry, among other things, has exacerbated hospitals’ needs for more flexibility to match revenue and payroll.</w:t>
      </w:r>
    </w:p>
    <w:p>
      <w:pPr>
        <w:spacing w:after="0" w:line="73" w:lineRule="exact"/>
        <w:rPr>
          <w:sz w:val="20"/>
          <w:szCs w:val="20"/>
          <w:color w:val="auto"/>
        </w:rPr>
      </w:pPr>
    </w:p>
    <w:p>
      <w:pPr>
        <w:ind w:left="660" w:right="60"/>
        <w:spacing w:after="0" w:line="287" w:lineRule="auto"/>
        <w:rPr>
          <w:sz w:val="20"/>
          <w:szCs w:val="20"/>
          <w:color w:val="auto"/>
        </w:rPr>
      </w:pPr>
      <w:r>
        <w:rPr>
          <w:rFonts w:ascii="Arial" w:cs="Arial" w:eastAsia="Arial" w:hAnsi="Arial"/>
          <w:sz w:val="16"/>
          <w:szCs w:val="16"/>
          <w:b w:val="1"/>
          <w:bCs w:val="1"/>
          <w:color w:val="auto"/>
        </w:rPr>
        <w:t xml:space="preserve">Hospitals Seeking Efficiencies to Reduce Costs. </w:t>
      </w:r>
      <w:r>
        <w:rPr>
          <w:rFonts w:ascii="Arial" w:cs="Arial" w:eastAsia="Arial" w:hAnsi="Arial"/>
          <w:sz w:val="16"/>
          <w:szCs w:val="16"/>
          <w:color w:val="auto"/>
        </w:rPr>
        <w:t>Hospitals continue to face pressure to keep costs down to protect their margins from continued</w:t>
      </w:r>
      <w:r>
        <w:rPr>
          <w:rFonts w:ascii="Arial" w:cs="Arial" w:eastAsia="Arial" w:hAnsi="Arial"/>
          <w:sz w:val="16"/>
          <w:szCs w:val="16"/>
          <w:b w:val="1"/>
          <w:bCs w:val="1"/>
          <w:color w:val="auto"/>
        </w:rPr>
        <w:t xml:space="preserve"> </w:t>
      </w:r>
      <w:r>
        <w:rPr>
          <w:rFonts w:ascii="Arial" w:cs="Arial" w:eastAsia="Arial" w:hAnsi="Arial"/>
          <w:sz w:val="16"/>
          <w:szCs w:val="16"/>
          <w:color w:val="auto"/>
        </w:rPr>
        <w:t>Medicare rate reductions and fluctuations in demand for hospital care. This will be further exacerbated if Congress targets entitlement programs to reduce spending on both federal healthcare and anti-poverty programs to reduce the U.S. deficit. In addition, the national shift away from volume-based pricing to value-based pricing continues. The visibility of Hospital Consumer Assessment of Healthcare Providers and Systems survey scores, a national, standardized, publicly reported survey of patients' perspectives of hospital care, has also put pressure on hospitals to maintain a certain level of quality of care so hospitals do not incur financial penalties or risk decreased patient volume due to low scores. We believe these dynamics continue to put pressure on hospitals to find innovative solutions in order to better manage their workforce, which accounts for a large portion of their expenses. Working with an MSP allows healthcare facilities to easily flex their workforce numbers up and down and to streamline their talent acquisition process by having one point-of-contact (Modern Healthcare, March 16, 2017). As a result, we believe hospitals are more willing to engage healthcare staffing companies, such as ours, that provide both staffing and workforce solutions that can help them solve problems, such as assessing their workforce needs or reducing readmission rates without negatively impacting the quality of care. Many hospitals are also making vertical acquisitions by investing in outpatient facilities, ambulatory care centers, and stand-alone emergency departments in order to capture outpatient revenue, which will further drive demand for healthcare personnel.</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0" w:right="239" w:bottom="1440" w:gutter="0" w:footer="0" w:header="0"/>
        </w:sectPr>
      </w:pPr>
    </w:p>
    <w:bookmarkStart w:id="7" w:name="page8"/>
    <w:bookmarkEnd w:id="7"/>
    <w:p>
      <w:pPr>
        <w:ind w:left="4" w:right="20"/>
        <w:spacing w:after="0" w:line="274" w:lineRule="auto"/>
        <w:rPr>
          <w:sz w:val="20"/>
          <w:szCs w:val="20"/>
          <w:color w:val="auto"/>
        </w:rPr>
      </w:pPr>
      <w:r>
        <w:rPr>
          <w:rFonts w:ascii="Arial" w:cs="Arial" w:eastAsia="Arial" w:hAnsi="Arial"/>
          <w:sz w:val="17"/>
          <w:szCs w:val="17"/>
          <w:b w:val="1"/>
          <w:bCs w:val="1"/>
          <w:color w:val="auto"/>
        </w:rPr>
        <w:t xml:space="preserve">Outpatient/Ambulatory Settings Services Outpace Inpatient Services. </w:t>
      </w:r>
      <w:r>
        <w:rPr>
          <w:rFonts w:ascii="Arial" w:cs="Arial" w:eastAsia="Arial" w:hAnsi="Arial"/>
          <w:sz w:val="17"/>
          <w:szCs w:val="17"/>
          <w:color w:val="auto"/>
        </w:rPr>
        <w:t>Job growth in ambulatory services such as physician's offices and dental</w:t>
      </w:r>
      <w:r>
        <w:rPr>
          <w:rFonts w:ascii="Arial" w:cs="Arial" w:eastAsia="Arial" w:hAnsi="Arial"/>
          <w:sz w:val="17"/>
          <w:szCs w:val="17"/>
          <w:b w:val="1"/>
          <w:bCs w:val="1"/>
          <w:color w:val="auto"/>
        </w:rPr>
        <w:t xml:space="preserve"> </w:t>
      </w:r>
      <w:r>
        <w:rPr>
          <w:rFonts w:ascii="Arial" w:cs="Arial" w:eastAsia="Arial" w:hAnsi="Arial"/>
          <w:sz w:val="17"/>
          <w:szCs w:val="17"/>
          <w:color w:val="auto"/>
        </w:rPr>
        <w:t>clinics continues to outpace that of the hospital sector as the demand for outpatient services grows (HealthleadersMedia.com, May 8, 2017). The ambulatory sector added 14,800 jobs in December 2017, while hospitals added 12,400 jobs in the same period (Modern Healthcare, January 2018). We believe certain initiatives previously taken under the ACA - such as Medicare reimbursement incentives for reduced readmissions, have had a direct correlation to the shift from inpatient services to outpatient/ambulatory settings. We believe we are poised to take advantage of this trend given our 69 local branches that deliver services in local settings.</w:t>
      </w:r>
    </w:p>
    <w:p>
      <w:pPr>
        <w:spacing w:after="0" w:line="93"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b w:val="1"/>
          <w:bCs w:val="1"/>
          <w:color w:val="auto"/>
        </w:rPr>
        <w:t xml:space="preserve">Growing and Aging U.S. Population. </w:t>
      </w:r>
      <w:r>
        <w:rPr>
          <w:rFonts w:ascii="Arial" w:cs="Arial" w:eastAsia="Arial" w:hAnsi="Arial"/>
          <w:sz w:val="16"/>
          <w:szCs w:val="16"/>
          <w:color w:val="auto"/>
        </w:rPr>
        <w:t>Two long-term macro drivers of our business are demographic in nature -- a growing and aging U.S.</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 The U.S. Census Bureau projects the U.S. population will increase approximately 31% (from 319 million in 2014 to 417 million in 2060)</w:t>
      </w:r>
    </w:p>
    <w:p>
      <w:pPr>
        <w:spacing w:after="0" w:line="1" w:lineRule="exact"/>
        <w:rPr>
          <w:sz w:val="20"/>
          <w:szCs w:val="20"/>
          <w:color w:val="auto"/>
        </w:rPr>
      </w:pPr>
    </w:p>
    <w:p>
      <w:pPr>
        <w:ind w:left="4" w:hanging="4"/>
        <w:spacing w:after="0" w:line="268" w:lineRule="auto"/>
        <w:tabs>
          <w:tab w:leader="none" w:pos="109" w:val="left"/>
        </w:tabs>
        <w:numPr>
          <w:ilvl w:val="0"/>
          <w:numId w:val="8"/>
        </w:numPr>
        <w:rPr>
          <w:rFonts w:ascii="Arial" w:cs="Arial" w:eastAsia="Arial" w:hAnsi="Arial"/>
          <w:sz w:val="17"/>
          <w:szCs w:val="17"/>
          <w:color w:val="auto"/>
        </w:rPr>
      </w:pPr>
      <w:r>
        <w:rPr>
          <w:rFonts w:ascii="Arial" w:cs="Arial" w:eastAsia="Arial" w:hAnsi="Arial"/>
          <w:sz w:val="17"/>
          <w:szCs w:val="17"/>
          <w:color w:val="auto"/>
        </w:rPr>
        <w:t>crossing the 400 million mark in 2051. In addition, by 2030 one in five Americans is also projected to be 65 years old or more. The number of persons aged 65 and over is expected to increase to 98 million in 2060 (U.S. Census Bureau, 2015). Currently, there are 75 million baby boomers (Modern Healthcare, Nursing Shortage in Perspective, January 1, 2018), which is important because the utilization of healthcare services is generally higher among older people. The American Hospital Association (AHA) has also projected the share of hospital admissions for the over-65 age group to rise from 38% in 2004 to 56% in 2030. Currently, 80% of the baby boomer population has at least one chronic condition (Modern Healthcare, Nursing Shortage in Perspective, January 1, 2018). With the increase in the proportion of the population in older age groups reaching prime retirement age, healthcare occupations and industries are expected to have the fastest employment growth and to add the most jobs, increasing their employment share by four million people to 13.8% in 2026 (Healthcare Financial Management Association, October 30, 2017). Employment in the healthcare and social assistance sector is projected to add nearly 4 million jobs by 2026, about one-third of all new jobs (Modern Healthcare, Nursing Shortage in Perspective, January 1, 2018).</w:t>
      </w:r>
    </w:p>
    <w:p>
      <w:pPr>
        <w:spacing w:after="0" w:line="95" w:lineRule="exact"/>
        <w:rPr>
          <w:sz w:val="20"/>
          <w:szCs w:val="20"/>
          <w:color w:val="auto"/>
        </w:rPr>
      </w:pPr>
    </w:p>
    <w:p>
      <w:pPr>
        <w:ind w:left="4"/>
        <w:spacing w:after="0" w:line="284" w:lineRule="auto"/>
        <w:rPr>
          <w:sz w:val="20"/>
          <w:szCs w:val="20"/>
          <w:color w:val="auto"/>
        </w:rPr>
      </w:pPr>
      <w:r>
        <w:rPr>
          <w:rFonts w:ascii="Arial" w:cs="Arial" w:eastAsia="Arial" w:hAnsi="Arial"/>
          <w:sz w:val="16"/>
          <w:szCs w:val="16"/>
          <w:b w:val="1"/>
          <w:bCs w:val="1"/>
          <w:color w:val="auto"/>
        </w:rPr>
        <w:t xml:space="preserve">Nursing Shortage. </w:t>
      </w:r>
      <w:r>
        <w:rPr>
          <w:rFonts w:ascii="Arial" w:cs="Arial" w:eastAsia="Arial" w:hAnsi="Arial"/>
          <w:sz w:val="16"/>
          <w:szCs w:val="16"/>
          <w:color w:val="auto"/>
        </w:rPr>
        <w:t>The Georgetown University Center on Education and the Workforce (CEW) predicts a shortage of 192,620 nurses in 2020,</w:t>
      </w:r>
      <w:r>
        <w:rPr>
          <w:rFonts w:ascii="Arial" w:cs="Arial" w:eastAsia="Arial" w:hAnsi="Arial"/>
          <w:sz w:val="16"/>
          <w:szCs w:val="16"/>
          <w:b w:val="1"/>
          <w:bCs w:val="1"/>
          <w:color w:val="auto"/>
        </w:rPr>
        <w:t xml:space="preserve"> </w:t>
      </w:r>
      <w:r>
        <w:rPr>
          <w:rFonts w:ascii="Arial" w:cs="Arial" w:eastAsia="Arial" w:hAnsi="Arial"/>
          <w:sz w:val="16"/>
          <w:szCs w:val="16"/>
          <w:color w:val="auto"/>
        </w:rPr>
        <w:t>which differs from the surplus of nurses predicted for 2025 by the Health Resources and Services Administration (HRSA) National Center for Health Workforce Analysis (Georgetown University Center on Education and the Workforce (CEW), Forecasts of Nursing Demand 2015). With healthcare now representing almost 20% of the U.S. economy, the aging of the U.S. population, and the expansion of healthcare coverage under the ACA, both the CEW and HRSA agree that demand for healthcare services and healthcare workers will continue to grow. The CEW’s analysis of the nursing shortage differs from that of the HRSA in that the CEW has made assumptions on the “active supply” of nurses - noting there is a stark difference between the number of nursing professionals who are licensed and the number of nursing professionals in the workforce. In 2013, there were 5.2 million licensed nursing professionals, but only 3.6 million were employed in the nursing workforce - so one-third of licensed nurses do not work in nursing (Georgetown University CEW, Forecasts of Nursing Demand 2015). As further noted by CEW, “as the economy improves, many more nurses will have the option to leave the nursing workforce for other types of jobs or to retire.” By 2030, almost a million nurses will retire and leave the workforce taking with them the years of knowledge and experience they have accumulated (Modern Healthcare, Nursing Shortage In Perspective, January 1, 2018). In addition, even HRSA’s analysis notes that its national projection does not take into account an imbalance of RNs at the state level where many states are projected to experience a smaller growth in RN supply relative to their state-specific demand, resulting in a geographical shortage of RNs by 2025. If current trends hold, seven states will have a nursing shortage in 2030: Alaska, California, Georgia, New Jersey, South Carolina, South Dakota, and Texas (Modern Healthcare, Nursing Shortage In Perspective, January 1, 2018). Four of those states will have shortages of 10,000 or more nurses: California, New Jersey, South Carolina, and Texas (Modern Healthcare, Nursing Shortage In Perspective, January 1, 2018). HRSA’s national projection also does not take into account a projected shortfall of registered nurses in particular specialties over the next ten years (Georgetown University CEW, Forecasts of Nursing Demand 2015). We believe the following factors will continue to contribute to new growth in demand for nurses: the continued aging of the baby boomers, the changing landscape of the healthcare industry with emerging care delivery models focused on quality of care, managing health status and preventing acute health issues (e.g., nurses taking on new and/or expanded roles in preventive care and care coordination), an uncertain level of newly insured individuals in the healthcare market, the number of nurses approaching retirement, and the number of registered nurses that re-entered the workforce during the economic downturn that are now likely to leave their jobs during a better economy.</w:t>
      </w:r>
    </w:p>
    <w:p>
      <w:pPr>
        <w:spacing w:after="0" w:line="315" w:lineRule="exact"/>
        <w:rPr>
          <w:sz w:val="20"/>
          <w:szCs w:val="20"/>
          <w:color w:val="auto"/>
        </w:rPr>
      </w:pPr>
    </w:p>
    <w:p>
      <w:pPr>
        <w:ind w:left="4" w:right="20"/>
        <w:spacing w:after="0" w:line="274" w:lineRule="auto"/>
        <w:rPr>
          <w:sz w:val="20"/>
          <w:szCs w:val="20"/>
          <w:color w:val="auto"/>
        </w:rPr>
      </w:pPr>
      <w:r>
        <w:rPr>
          <w:rFonts w:ascii="Arial" w:cs="Arial" w:eastAsia="Arial" w:hAnsi="Arial"/>
          <w:sz w:val="17"/>
          <w:szCs w:val="17"/>
          <w:b w:val="1"/>
          <w:bCs w:val="1"/>
          <w:color w:val="auto"/>
        </w:rPr>
        <w:t xml:space="preserve">More People Working Who Are Now Insured. </w:t>
      </w:r>
      <w:r>
        <w:rPr>
          <w:rFonts w:ascii="Arial" w:cs="Arial" w:eastAsia="Arial" w:hAnsi="Arial"/>
          <w:sz w:val="17"/>
          <w:szCs w:val="17"/>
          <w:color w:val="auto"/>
        </w:rPr>
        <w:t>The U.S. economy had a strong year in 2017, and the job market showed continued signs of growth</w:t>
      </w:r>
      <w:r>
        <w:rPr>
          <w:rFonts w:ascii="Arial" w:cs="Arial" w:eastAsia="Arial" w:hAnsi="Arial"/>
          <w:sz w:val="17"/>
          <w:szCs w:val="17"/>
          <w:b w:val="1"/>
          <w:bCs w:val="1"/>
          <w:color w:val="auto"/>
        </w:rPr>
        <w:t xml:space="preserve"> </w:t>
      </w:r>
      <w:r>
        <w:rPr>
          <w:rFonts w:ascii="Arial" w:cs="Arial" w:eastAsia="Arial" w:hAnsi="Arial"/>
          <w:sz w:val="17"/>
          <w:szCs w:val="17"/>
          <w:color w:val="auto"/>
        </w:rPr>
        <w:t>with unemployment at 4.1% through December 2017 (U.S. Bureau of Labor Statistics, 2017 Labor Force Statistics Database). Individuals with employer-sponsored health insurance are more likely to seek medical care than the uninsured, which raises demand for healthcare services and healthcare staff (U.S. Healthcare Staffing Growth Assessment, Staffing Industry Analysts, December 2016). We believe the broader trends that created these labor market changes in 2017 will continue through 2018. Changes to tax rates should also boost the economy making jobs more attractive, thus continuing the consistent low unemployment trends from 2017. Temporary</w:t>
      </w:r>
    </w:p>
    <w:p>
      <w:pPr>
        <w:spacing w:after="0" w:line="34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796" w:right="239" w:bottom="1440" w:gutter="0" w:footer="0" w:header="0"/>
        </w:sectPr>
      </w:pPr>
    </w:p>
    <w:bookmarkStart w:id="8" w:name="page9"/>
    <w:bookmarkEnd w:id="8"/>
    <w:p>
      <w:pPr>
        <w:ind w:left="320" w:right="60"/>
        <w:spacing w:after="0" w:line="312" w:lineRule="auto"/>
        <w:rPr>
          <w:sz w:val="20"/>
          <w:szCs w:val="20"/>
          <w:color w:val="auto"/>
        </w:rPr>
      </w:pPr>
      <w:r>
        <w:rPr>
          <w:rFonts w:ascii="Arial" w:cs="Arial" w:eastAsia="Arial" w:hAnsi="Arial"/>
          <w:sz w:val="16"/>
          <w:szCs w:val="16"/>
          <w:color w:val="auto"/>
        </w:rPr>
        <w:t>staffing added jobs every month during 2017 and the December 2017 temporary penetration rate for the U.S. continued at a record high 2.10 percent (U.S. Bureau of Labor Statistics, 2017 Labor Force Statistics Database). The acceleration of the U.S. economy in 2017 has led to solid job growth, which we expect will result in more individuals receiving healthcare from their employers - thus supporting the demand for healthcare services.</w:t>
      </w:r>
    </w:p>
    <w:p>
      <w:pPr>
        <w:spacing w:after="0" w:line="62" w:lineRule="exact"/>
        <w:rPr>
          <w:sz w:val="20"/>
          <w:szCs w:val="20"/>
          <w:color w:val="auto"/>
        </w:rPr>
      </w:pPr>
    </w:p>
    <w:p>
      <w:pPr>
        <w:ind w:left="320" w:right="20"/>
        <w:spacing w:after="0" w:line="270" w:lineRule="auto"/>
        <w:rPr>
          <w:sz w:val="20"/>
          <w:szCs w:val="20"/>
          <w:color w:val="auto"/>
        </w:rPr>
      </w:pPr>
      <w:r>
        <w:rPr>
          <w:rFonts w:ascii="Arial" w:cs="Arial" w:eastAsia="Arial" w:hAnsi="Arial"/>
          <w:sz w:val="17"/>
          <w:szCs w:val="17"/>
          <w:b w:val="1"/>
          <w:bCs w:val="1"/>
          <w:color w:val="auto"/>
        </w:rPr>
        <w:t xml:space="preserve">Increased Need for Healthcare and Special Education Services in Schools. </w:t>
      </w:r>
      <w:r>
        <w:rPr>
          <w:rFonts w:ascii="Arial" w:cs="Arial" w:eastAsia="Arial" w:hAnsi="Arial"/>
          <w:sz w:val="17"/>
          <w:szCs w:val="17"/>
          <w:color w:val="auto"/>
        </w:rPr>
        <w:t>The Individuals with Disabilities Education Act (IDEA), enacted in</w:t>
      </w:r>
      <w:r>
        <w:rPr>
          <w:rFonts w:ascii="Arial" w:cs="Arial" w:eastAsia="Arial" w:hAnsi="Arial"/>
          <w:sz w:val="17"/>
          <w:szCs w:val="17"/>
          <w:b w:val="1"/>
          <w:bCs w:val="1"/>
          <w:color w:val="auto"/>
        </w:rPr>
        <w:t xml:space="preserve"> </w:t>
      </w:r>
      <w:r>
        <w:rPr>
          <w:rFonts w:ascii="Arial" w:cs="Arial" w:eastAsia="Arial" w:hAnsi="Arial"/>
          <w:sz w:val="17"/>
          <w:szCs w:val="17"/>
          <w:color w:val="auto"/>
        </w:rPr>
        <w:t>1975, mandates that children and youth ages 3-21 with disabilities be provided a free and appropriate public school education. According to the U.S. Department of Education, National Center for Education Statistic Report titled “The Condition of Education" (May 2017), the number of children and youth ages 3-21 receiving special education services was 6.7 million, or about 14% of traditional public and charter school enrollment. Of those students in school year 2014-15, 20% had a speech or language impairment, 13% had other health impairments, 9% had autism, 5% had emotional disturbances, 2% had multiple disabilities, and 1% had orthopedic impairments. The IDEA requires that these children and young adults receive care from speech language pathologists, physical therapists, occupational therapists, nurses and other healthcare professionals while at school. Based on the foregoing, we believe the demand for consulting and healthcare staffing services for public schools and charter schools will continue to be strong for agencies that can provide consulting services, healthcare personnel, technical assistance on policies, implementation, and training related to children and youth with special needs in school settings.</w:t>
      </w:r>
    </w:p>
    <w:p>
      <w:pPr>
        <w:spacing w:after="0" w:line="97" w:lineRule="exact"/>
        <w:rPr>
          <w:sz w:val="20"/>
          <w:szCs w:val="20"/>
          <w:color w:val="auto"/>
        </w:rPr>
      </w:pPr>
    </w:p>
    <w:p>
      <w:pPr>
        <w:ind w:left="320" w:right="20"/>
        <w:spacing w:after="0" w:line="289" w:lineRule="auto"/>
        <w:rPr>
          <w:sz w:val="20"/>
          <w:szCs w:val="20"/>
          <w:color w:val="auto"/>
        </w:rPr>
      </w:pPr>
      <w:r>
        <w:rPr>
          <w:rFonts w:ascii="Arial" w:cs="Arial" w:eastAsia="Arial" w:hAnsi="Arial"/>
          <w:sz w:val="16"/>
          <w:szCs w:val="16"/>
          <w:b w:val="1"/>
          <w:bCs w:val="1"/>
          <w:color w:val="auto"/>
        </w:rPr>
        <w:t xml:space="preserve">Physician Shortage. </w:t>
      </w:r>
      <w:r>
        <w:rPr>
          <w:rFonts w:ascii="Arial" w:cs="Arial" w:eastAsia="Arial" w:hAnsi="Arial"/>
          <w:sz w:val="16"/>
          <w:szCs w:val="16"/>
          <w:color w:val="auto"/>
        </w:rPr>
        <w:t>The United States is expected to face a shortage of physicians over the next decade, according to a physician workforce report</w:t>
      </w:r>
      <w:r>
        <w:rPr>
          <w:rFonts w:ascii="Arial" w:cs="Arial" w:eastAsia="Arial" w:hAnsi="Arial"/>
          <w:sz w:val="16"/>
          <w:szCs w:val="16"/>
          <w:b w:val="1"/>
          <w:bCs w:val="1"/>
          <w:color w:val="auto"/>
        </w:rPr>
        <w:t xml:space="preserve"> </w:t>
      </w:r>
      <w:r>
        <w:rPr>
          <w:rFonts w:ascii="Arial" w:cs="Arial" w:eastAsia="Arial" w:hAnsi="Arial"/>
          <w:sz w:val="16"/>
          <w:szCs w:val="16"/>
          <w:color w:val="auto"/>
        </w:rPr>
        <w:t>released by the Association of American Medical Colleges on April 5, 2016. The projections show a shortage ranging between 61,700 and 94,700 in 2025 as demand for physicians continues to outpace supply, according to the Association of American Medical Colleges, with a significant shortage showing among many surgical specialties. This demand is largely due to the projected aging of the population and the ACA. Nationally, almost one-third of active physicians are age 60 or older (2017 State Physician Workforce Data Report, Association of American Medical Colleges). In addition, approximately 25% of active physicians in the United States are international medical graduates (2017 State Physician Workforce Data Report, Association of American Medical Colleges). The U.S. is expected to face a shortage of up to 20,500 primary care physicians by 2020 -- a number that is expected to grow to up to 31,100 by 2025, according to analysis by the AAMC (March 2015). The projected shortfall of non-primary care physicians is expected to be up to 63,700 by 2025. The AAMC also expects nearly one-third of all physicians will retire in the next decade. And, while the number of applicants to U.S. medical schools is increasing, it is not expected to keep pace with expected future demand.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Drivers</w:t>
      </w:r>
    </w:p>
    <w:p>
      <w:pPr>
        <w:spacing w:after="0" w:line="221" w:lineRule="exact"/>
        <w:rPr>
          <w:sz w:val="20"/>
          <w:szCs w:val="20"/>
          <w:color w:val="auto"/>
        </w:rPr>
      </w:pPr>
    </w:p>
    <w:p>
      <w:pPr>
        <w:ind w:left="320" w:right="40"/>
        <w:spacing w:after="0" w:line="258" w:lineRule="auto"/>
        <w:rPr>
          <w:sz w:val="20"/>
          <w:szCs w:val="20"/>
          <w:color w:val="auto"/>
        </w:rPr>
      </w:pPr>
      <w:r>
        <w:rPr>
          <w:rFonts w:ascii="Arial" w:cs="Arial" w:eastAsia="Arial" w:hAnsi="Arial"/>
          <w:sz w:val="18"/>
          <w:szCs w:val="18"/>
          <w:b w:val="1"/>
          <w:bCs w:val="1"/>
          <w:color w:val="auto"/>
        </w:rPr>
        <w:t xml:space="preserve">Networking. </w:t>
      </w:r>
      <w:r>
        <w:rPr>
          <w:rFonts w:ascii="Arial" w:cs="Arial" w:eastAsia="Arial" w:hAnsi="Arial"/>
          <w:sz w:val="18"/>
          <w:szCs w:val="18"/>
          <w:color w:val="auto"/>
        </w:rPr>
        <w:t>We rely heavily on word-of-mouth referrals for our healthcare professionals. Historically, more than half of our field employees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referred to us by other healthcare professionals. Our most effective “sales force” is our network of healthcare professionals who have taken temporary or permanent assignments with us or who are currently working for us. We continue to make investments in our online social and professional networks that have also made it easier for us to connect with healthcare professionals and stay connected with them, thus enhancing our recruitment efforts.</w:t>
      </w:r>
    </w:p>
    <w:p>
      <w:pPr>
        <w:spacing w:after="0" w:line="103" w:lineRule="exact"/>
        <w:rPr>
          <w:sz w:val="20"/>
          <w:szCs w:val="20"/>
          <w:color w:val="auto"/>
        </w:rPr>
      </w:pPr>
    </w:p>
    <w:p>
      <w:pPr>
        <w:ind w:left="320" w:right="20"/>
        <w:spacing w:after="0" w:line="303" w:lineRule="auto"/>
        <w:rPr>
          <w:sz w:val="20"/>
          <w:szCs w:val="20"/>
          <w:color w:val="auto"/>
        </w:rPr>
      </w:pPr>
      <w:r>
        <w:rPr>
          <w:rFonts w:ascii="Arial" w:cs="Arial" w:eastAsia="Arial" w:hAnsi="Arial"/>
          <w:sz w:val="16"/>
          <w:szCs w:val="16"/>
          <w:b w:val="1"/>
          <w:bCs w:val="1"/>
          <w:color w:val="auto"/>
        </w:rPr>
        <w:t xml:space="preserve">Traditional Reasons. </w:t>
      </w:r>
      <w:r>
        <w:rPr>
          <w:rFonts w:ascii="Arial" w:cs="Arial" w:eastAsia="Arial" w:hAnsi="Arial"/>
          <w:sz w:val="16"/>
          <w:szCs w:val="16"/>
          <w:color w:val="auto"/>
        </w:rPr>
        <w:t>Nurses, allied professionals, and locum tenens physicians work on temporary assignments to experience different geographic</w:t>
      </w:r>
      <w:r>
        <w:rPr>
          <w:rFonts w:ascii="Arial" w:cs="Arial" w:eastAsia="Arial" w:hAnsi="Arial"/>
          <w:sz w:val="16"/>
          <w:szCs w:val="16"/>
          <w:b w:val="1"/>
          <w:bCs w:val="1"/>
          <w:color w:val="auto"/>
        </w:rPr>
        <w:t xml:space="preserve"> </w:t>
      </w:r>
      <w:r>
        <w:rPr>
          <w:rFonts w:ascii="Arial" w:cs="Arial" w:eastAsia="Arial" w:hAnsi="Arial"/>
          <w:sz w:val="16"/>
          <w:szCs w:val="16"/>
          <w:color w:val="auto"/>
        </w:rPr>
        <w:t>regions of the United States without moving permanently, work flexible schedules, gain professional development by working at prestigious healthcare facilities, earn top money and bonuses, travel with friends and family while enjoying quality accommodations, experience various clinical settings, look for a permanent position, and avoid workplace politics often associated with permanent staff positions.</w:t>
      </w:r>
    </w:p>
    <w:p>
      <w:pPr>
        <w:spacing w:after="0" w:line="70" w:lineRule="exact"/>
        <w:rPr>
          <w:sz w:val="20"/>
          <w:szCs w:val="20"/>
          <w:color w:val="auto"/>
        </w:rPr>
      </w:pPr>
    </w:p>
    <w:p>
      <w:pPr>
        <w:ind w:left="320" w:right="100"/>
        <w:spacing w:after="0" w:line="273" w:lineRule="auto"/>
        <w:rPr>
          <w:sz w:val="20"/>
          <w:szCs w:val="20"/>
          <w:color w:val="auto"/>
        </w:rPr>
      </w:pPr>
      <w:r>
        <w:rPr>
          <w:rFonts w:ascii="Arial" w:cs="Arial" w:eastAsia="Arial" w:hAnsi="Arial"/>
          <w:sz w:val="17"/>
          <w:szCs w:val="17"/>
          <w:b w:val="1"/>
          <w:bCs w:val="1"/>
          <w:color w:val="auto"/>
        </w:rPr>
        <w:t xml:space="preserve">Nurse Retirements. </w:t>
      </w:r>
      <w:r>
        <w:rPr>
          <w:rFonts w:ascii="Arial" w:cs="Arial" w:eastAsia="Arial" w:hAnsi="Arial"/>
          <w:sz w:val="17"/>
          <w:szCs w:val="17"/>
          <w:color w:val="auto"/>
        </w:rPr>
        <w:t>70,000 nurses are retiring annually and, by 2030, almost a million nurses will retire and leave the workforce taking with them</w:t>
      </w:r>
      <w:r>
        <w:rPr>
          <w:rFonts w:ascii="Arial" w:cs="Arial" w:eastAsia="Arial" w:hAnsi="Arial"/>
          <w:sz w:val="17"/>
          <w:szCs w:val="17"/>
          <w:b w:val="1"/>
          <w:bCs w:val="1"/>
          <w:color w:val="auto"/>
        </w:rPr>
        <w:t xml:space="preserve"> </w:t>
      </w:r>
      <w:r>
        <w:rPr>
          <w:rFonts w:ascii="Arial" w:cs="Arial" w:eastAsia="Arial" w:hAnsi="Arial"/>
          <w:sz w:val="17"/>
          <w:szCs w:val="17"/>
          <w:color w:val="auto"/>
        </w:rPr>
        <w:t>the years of knowledge and experience they have accumulated (Modern Healthcare, Nursing Shortage In Perspective, January 1, 2018). The 2017 Survey of Registered Nurses, Viewpoints on Leadership, Nursing Shortages, and their Profession conducted by AMN Healthcare found that 36% of nurses surveyed said they are planning to retire in one year or less, and 46% of nurses in 2017 who are planning to retire said they will do it in four years or more. 73% of baby boomer nurses who are planning to retire say they will do so in three years or less (2017 Survey of Registered Nurses, AMN Healthcare). These findings support the proposition that significant nurse retirements are already underway (2017 Survey of Registered Nurses, AMN Healthcare).</w:t>
      </w:r>
    </w:p>
    <w:p>
      <w:pPr>
        <w:spacing w:after="0" w:line="91" w:lineRule="exact"/>
        <w:rPr>
          <w:sz w:val="20"/>
          <w:szCs w:val="20"/>
          <w:color w:val="auto"/>
        </w:rPr>
      </w:pPr>
    </w:p>
    <w:p>
      <w:pPr>
        <w:ind w:left="320"/>
        <w:spacing w:after="0" w:line="261" w:lineRule="auto"/>
        <w:rPr>
          <w:sz w:val="20"/>
          <w:szCs w:val="20"/>
          <w:color w:val="auto"/>
        </w:rPr>
      </w:pPr>
      <w:r>
        <w:rPr>
          <w:rFonts w:ascii="Arial" w:cs="Arial" w:eastAsia="Arial" w:hAnsi="Arial"/>
          <w:sz w:val="18"/>
          <w:szCs w:val="18"/>
          <w:b w:val="1"/>
          <w:bCs w:val="1"/>
          <w:color w:val="auto"/>
        </w:rPr>
        <w:t xml:space="preserve">Higher Quit Rates with an Improved Economy. </w:t>
      </w:r>
      <w:r>
        <w:rPr>
          <w:rFonts w:ascii="Arial" w:cs="Arial" w:eastAsia="Arial" w:hAnsi="Arial"/>
          <w:sz w:val="18"/>
          <w:szCs w:val="18"/>
          <w:color w:val="auto"/>
        </w:rPr>
        <w:t>The Bureau of Labor Statistics uses the quit rate as a measure of workers’ willingness or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leave jobs. According to the February 6, 2018 Job Openings and Labor Turnover Survey Database, quits rose from 1.3% in December 2009 to 2.2% in December 2015 and was 2.2% through December 2017 (Bureau of Labor Statistics, Job Openings and Labor Turnover - December 2017). This increased quit</w:t>
      </w:r>
    </w:p>
    <w:p>
      <w:pPr>
        <w:spacing w:after="0" w:line="34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580" w:top="800" w:right="259" w:bottom="1440" w:gutter="0" w:footer="0" w:header="0"/>
        </w:sectPr>
      </w:pPr>
    </w:p>
    <w:bookmarkStart w:id="9" w:name="page10"/>
    <w:bookmarkEnd w:id="9"/>
    <w:p>
      <w:pPr>
        <w:ind w:left="660" w:right="40"/>
        <w:spacing w:after="0" w:line="272" w:lineRule="auto"/>
        <w:rPr>
          <w:sz w:val="20"/>
          <w:szCs w:val="20"/>
          <w:color w:val="auto"/>
        </w:rPr>
      </w:pPr>
      <w:r>
        <w:rPr>
          <w:rFonts w:ascii="Arial" w:cs="Arial" w:eastAsia="Arial" w:hAnsi="Arial"/>
          <w:sz w:val="17"/>
          <w:szCs w:val="17"/>
          <w:color w:val="auto"/>
        </w:rPr>
        <w:t>rate from reflected increased confidence among the workforce. The number of job openings reported at the end of December 2017 also remained steady at 5,800,000 (Bureau of Labor Statistics, Job Openings and Labor Turnover Survey, December 2017). With an improved economy and the low national unemployment rate, nurses do not appear as hesitant to quit or voluntarily leave their jobs. We believe with the increased volume of orders for temporary healthcare workers and as wages increase, staff nurses are more confident to change jobs and/or enter the temporary workforce. This is further supported by the 2017 Survey of Registered Nurses conducted by AMN Healthcare that found fewer nurses are planning to remain in their current positions, and some nurses currently working at the bedside plan to work outside of a direct patient care role or will work per diem for more flexibility and/or fewer hours (2017 Survey of Registered Nurses, AMN Healthcare).</w:t>
      </w:r>
    </w:p>
    <w:p>
      <w:pPr>
        <w:spacing w:after="0" w:line="93" w:lineRule="exact"/>
        <w:rPr>
          <w:sz w:val="20"/>
          <w:szCs w:val="20"/>
          <w:color w:val="auto"/>
        </w:rPr>
      </w:pPr>
    </w:p>
    <w:p>
      <w:pPr>
        <w:ind w:left="660" w:right="180"/>
        <w:spacing w:after="0" w:line="271" w:lineRule="auto"/>
        <w:rPr>
          <w:sz w:val="20"/>
          <w:szCs w:val="20"/>
          <w:color w:val="auto"/>
        </w:rPr>
      </w:pPr>
      <w:r>
        <w:rPr>
          <w:rFonts w:ascii="Arial" w:cs="Arial" w:eastAsia="Arial" w:hAnsi="Arial"/>
          <w:sz w:val="17"/>
          <w:szCs w:val="17"/>
          <w:b w:val="1"/>
          <w:bCs w:val="1"/>
          <w:color w:val="auto"/>
        </w:rPr>
        <w:t xml:space="preserve">National Licensure Compact Promoting Mobility for RNs. </w:t>
      </w:r>
      <w:r>
        <w:rPr>
          <w:rFonts w:ascii="Arial" w:cs="Arial" w:eastAsia="Arial" w:hAnsi="Arial"/>
          <w:sz w:val="17"/>
          <w:szCs w:val="17"/>
          <w:color w:val="auto"/>
        </w:rPr>
        <w:t>The Enhanced Nurse Licensure Compact (eNLC), overseen by the National Council</w:t>
      </w:r>
      <w:r>
        <w:rPr>
          <w:rFonts w:ascii="Arial" w:cs="Arial" w:eastAsia="Arial" w:hAnsi="Arial"/>
          <w:sz w:val="17"/>
          <w:szCs w:val="17"/>
          <w:b w:val="1"/>
          <w:bCs w:val="1"/>
          <w:color w:val="auto"/>
        </w:rPr>
        <w:t xml:space="preserve"> </w:t>
      </w:r>
      <w:r>
        <w:rPr>
          <w:rFonts w:ascii="Arial" w:cs="Arial" w:eastAsia="Arial" w:hAnsi="Arial"/>
          <w:sz w:val="17"/>
          <w:szCs w:val="17"/>
          <w:color w:val="auto"/>
        </w:rPr>
        <w:t>of State Boards of Nursing, was implemented on January 19, 2018. Under the eNLC, registered nurses and licensed practical/vocational nurses in member states can provide care to patients in other states without having to obtain additional licenses. It takes advantage of new technology and national databases to ensure that compact-licensed nurses meet consistent standards and background check benchmarks. The compact creates an expedited licensing process that gives nurses these privileges as long as they meet eleven uniform licensing as long as they meet eleven uniform licensing requirements. The eNLC will: (i) allow nurses to quickly cross state borders to provide vital services in the event of a disaster; (ii) make practicing across state borders more affordable and convenient by reducing the need for nurses and/or agencies who employ them to obtain additional nursing licenses; and (iii) allow licensed nurses in 25 states to use telehealth to treat patients in other states (National Council of State Boards of Nursing, Fact Sheet).</w:t>
      </w:r>
    </w:p>
    <w:p>
      <w:pPr>
        <w:spacing w:after="0" w:line="9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b w:val="1"/>
          <w:bCs w:val="1"/>
          <w:color w:val="auto"/>
        </w:rPr>
        <w:t xml:space="preserve">Temporary Physician Assignments. </w:t>
      </w:r>
      <w:r>
        <w:rPr>
          <w:rFonts w:ascii="Arial" w:cs="Arial" w:eastAsia="Arial" w:hAnsi="Arial"/>
          <w:sz w:val="18"/>
          <w:szCs w:val="18"/>
          <w:color w:val="auto"/>
        </w:rPr>
        <w:t>Locum tenens assignments offer physicians the ability to focus on practicing medicine while avoiding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stress of running their own practices; the ability to avoid paying the high costs of malpractice insurance; the opportunity to pick up extra shifts and weekends and work during the vacation time of full-time staff jobs in order to earn extra money and repay student loans; to lead a more flexible lifestyle; and to maintain their autonomy while practicing medicine. The supply of physicians available for our Physician Staffing services is variable and is influenced by several factors: the desire of physicians to work temporary assignments, the desire of physicians close to retirement to work fewer hours, work-life balance for all physicians, and the trend toward more female physicians in the workforce who traditionally work fewer hours than their male counterparts.</w:t>
      </w:r>
    </w:p>
    <w:p>
      <w:pPr>
        <w:spacing w:after="0" w:line="108"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b w:val="1"/>
          <w:bCs w:val="1"/>
          <w:color w:val="auto"/>
        </w:rPr>
        <w:t xml:space="preserve">Physicians Seeking Stability as Full-Time Staff. </w:t>
      </w:r>
      <w:r>
        <w:rPr>
          <w:rFonts w:ascii="Arial" w:cs="Arial" w:eastAsia="Arial" w:hAnsi="Arial"/>
          <w:sz w:val="17"/>
          <w:szCs w:val="17"/>
          <w:color w:val="auto"/>
        </w:rPr>
        <w:t>Over the past several years, physicians have increasingly become employees of hospitals or health</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due to business pressures and costs of operating private practices. Physician practices faced a combination of factors that include: stagnant or declining reimbursement rates, increased regulatory burden (including the Medicare Access and CHIP Reauthorization Act of 2015), rising costs, greater risk associated with operating a private practice, and an increased desire for a better work-life balance. We believe physicians have sought employment with hospitals at higher rates over the past few years due to: traversing the maze of insurance company requirements, financial strains on private practices from repeated threatened pay cuts based on Medicare’s sustainable growth rate formulas, and the uncertain future of healthcare associated with the ACA. Joining a hospital's staff provides financial certainty and the ability to focus more on practicing medicine. We believe the increase in physicians employed by healthcare facilities will continue to increase supply for our physician and executive search business as physicians look for permanent employment with hospitals or health systems.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business strategy is to increase our workforce solutions business and our capture rate at those accounts, grow our supply of healthcare professionals, improve our operating leverage through growth and cost containment, and make strategic disciplined acquisitions to strengthen and broaden our market presence:</w:t>
      </w:r>
    </w:p>
    <w:p>
      <w:pPr>
        <w:spacing w:after="0" w:line="181" w:lineRule="exact"/>
        <w:rPr>
          <w:sz w:val="20"/>
          <w:szCs w:val="20"/>
          <w:color w:val="auto"/>
        </w:rPr>
      </w:pPr>
    </w:p>
    <w:p>
      <w:pPr>
        <w:ind w:left="340" w:right="140"/>
        <w:spacing w:after="0" w:line="272" w:lineRule="auto"/>
        <w:rPr>
          <w:sz w:val="20"/>
          <w:szCs w:val="20"/>
          <w:color w:val="auto"/>
        </w:rPr>
      </w:pPr>
      <w:r>
        <w:rPr>
          <w:rFonts w:ascii="Arial" w:cs="Arial" w:eastAsia="Arial" w:hAnsi="Arial"/>
          <w:sz w:val="17"/>
          <w:szCs w:val="17"/>
          <w:i w:val="1"/>
          <w:iCs w:val="1"/>
          <w:color w:val="auto"/>
        </w:rPr>
        <w:t xml:space="preserve">Increasing our workforce solutions business by delivering value-added solutions and strengthening and expanding current client relationships and developing new relationships with hospitals and healthcare facilities. </w:t>
      </w:r>
      <w:r>
        <w:rPr>
          <w:rFonts w:ascii="Arial" w:cs="Arial" w:eastAsia="Arial" w:hAnsi="Arial"/>
          <w:sz w:val="17"/>
          <w:szCs w:val="17"/>
          <w:color w:val="auto"/>
        </w:rPr>
        <w:t>While the shift to value-based payments could slow or reverse, we believe that</w:t>
      </w:r>
      <w:r>
        <w:rPr>
          <w:rFonts w:ascii="Arial" w:cs="Arial" w:eastAsia="Arial" w:hAnsi="Arial"/>
          <w:sz w:val="17"/>
          <w:szCs w:val="17"/>
          <w:i w:val="1"/>
          <w:iCs w:val="1"/>
          <w:color w:val="auto"/>
        </w:rPr>
        <w:t xml:space="preserve"> </w:t>
      </w:r>
      <w:r>
        <w:rPr>
          <w:rFonts w:ascii="Arial" w:cs="Arial" w:eastAsia="Arial" w:hAnsi="Arial"/>
          <w:sz w:val="17"/>
          <w:szCs w:val="17"/>
          <w:color w:val="auto"/>
        </w:rPr>
        <w:t>some iteration of the value-based payment models will remain in effect continuing to put financial pressure on our clients. To assist clients in meeting their financial and healthcare quality goals in a more complex environment, we design and execute workforce solutions customized to meet their unique needs. Our full suite of service offerings includes: MSP, OWS, IRP, Educational Healthcare Services, and RPO. Each of our businesses enjoy strong customer relationships that may serve as a platform to sell new MSP services or expand our workforce solutions at current clients. As a result, we continue to invest in sales and marketing to increase market share through cross-collaboration of our businesses.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0" w:name="page11"/>
    <w:bookmarkEnd w:id="10"/>
    <w:p>
      <w:pPr>
        <w:ind w:left="340"/>
        <w:spacing w:after="0" w:line="272" w:lineRule="auto"/>
        <w:rPr>
          <w:sz w:val="20"/>
          <w:szCs w:val="20"/>
          <w:color w:val="auto"/>
        </w:rPr>
      </w:pPr>
      <w:r>
        <w:rPr>
          <w:rFonts w:ascii="Arial" w:cs="Arial" w:eastAsia="Arial" w:hAnsi="Arial"/>
          <w:sz w:val="17"/>
          <w:szCs w:val="17"/>
          <w:i w:val="1"/>
          <w:iCs w:val="1"/>
          <w:color w:val="auto"/>
        </w:rPr>
        <w:t xml:space="preserve">Improving our capture rate at current MSP accounts and expanding our national and local market presence to support the shift to outpatient and ambulatory care centers. </w:t>
      </w:r>
      <w:r>
        <w:rPr>
          <w:rFonts w:ascii="Arial" w:cs="Arial" w:eastAsia="Arial" w:hAnsi="Arial"/>
          <w:sz w:val="17"/>
          <w:szCs w:val="17"/>
          <w:color w:val="auto"/>
        </w:rPr>
        <w:t>We believe our large national footprint will allow us to: (i) increase our market share at our current MSPs by improving our</w:t>
      </w:r>
      <w:r>
        <w:rPr>
          <w:rFonts w:ascii="Arial" w:cs="Arial" w:eastAsia="Arial" w:hAnsi="Arial"/>
          <w:sz w:val="17"/>
          <w:szCs w:val="17"/>
          <w:i w:val="1"/>
          <w:iCs w:val="1"/>
          <w:color w:val="auto"/>
        </w:rPr>
        <w:t xml:space="preserve"> </w:t>
      </w:r>
      <w:r>
        <w:rPr>
          <w:rFonts w:ascii="Arial" w:cs="Arial" w:eastAsia="Arial" w:hAnsi="Arial"/>
          <w:sz w:val="17"/>
          <w:szCs w:val="17"/>
          <w:color w:val="auto"/>
        </w:rPr>
        <w:t>capture rate of per diem, local and allied healthcare staffing professionals; (ii) sell our MSP services to clients of our local branch-based network; (iii) support our current hospital and health system clients who are shifting care from inpatient to outpatient where possible and responding to market changes by making vertical acquisitions to control quality across the care continuum; (iv) support smaller, local customers; (v) support retail or commercial providers, such as national drugstore chains; (vi) broaden our customer base; and (vii) gain access to additional healthcare professionals who are uniquely qualified to provide care in outpatient and ambulatory care centers.</w:t>
      </w:r>
    </w:p>
    <w:p>
      <w:pPr>
        <w:spacing w:after="0" w:line="9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 xml:space="preserve">Growing our supply of healthcare professionals. </w:t>
      </w:r>
      <w:r>
        <w:rPr>
          <w:rFonts w:ascii="Arial" w:cs="Arial" w:eastAsia="Arial" w:hAnsi="Arial"/>
          <w:sz w:val="18"/>
          <w:szCs w:val="18"/>
          <w:color w:val="auto"/>
        </w:rPr>
        <w:t>We are investing in technology initiatives to enhance the efficiency and effectiveness of our interactions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healthcare professionals. We also continue to invest in mobile and online technologies to increase our ability to attract and retain healthcare professionals. We believe providing communication options to our healthcare professionals will strengthen our relationships with them to improve supply and further enhance our delivery of high quality care for patients.</w:t>
      </w:r>
    </w:p>
    <w:p>
      <w:pPr>
        <w:spacing w:after="0" w:line="106"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 xml:space="preserve">Expanding our gross profit margin and delivering a higher Adjusted EBITDA margin. </w:t>
      </w:r>
      <w:r>
        <w:rPr>
          <w:rFonts w:ascii="Arial" w:cs="Arial" w:eastAsia="Arial" w:hAnsi="Arial"/>
          <w:sz w:val="18"/>
          <w:szCs w:val="18"/>
          <w:color w:val="auto"/>
        </w:rPr>
        <w:t>We believe this can be accomplished by: (i) continuing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increases from our customers; (ii) managing our mix of business with hospitals and local/retail customers; (iii) expanding our workforce solutions business; and (iv) making further investments in our higher margin businesses: retained, contingent and permanent search, local allied, Healthcare Education Consulting, and RPO businesses.</w:t>
      </w:r>
    </w:p>
    <w:p>
      <w:pPr>
        <w:spacing w:after="0" w:line="106"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i w:val="1"/>
          <w:iCs w:val="1"/>
          <w:color w:val="auto"/>
        </w:rPr>
        <w:t xml:space="preserve">Making strategic and disciplined acquisitions to strengthen and broaden our market presence. </w:t>
      </w:r>
      <w:r>
        <w:rPr>
          <w:rFonts w:ascii="Arial" w:cs="Arial" w:eastAsia="Arial" w:hAnsi="Arial"/>
          <w:sz w:val="18"/>
          <w:szCs w:val="18"/>
          <w:color w:val="auto"/>
        </w:rPr>
        <w:t>We believe the best acquisitions follow a structured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disciplined approach with clear strategic objectives, detailed implementation plans, and a focus on creating and capturing value for our shareholders. Our management team has broad and varied experience in multiple types of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Provided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Nurse and Allied Staffing</w:t>
      </w:r>
    </w:p>
    <w:p>
      <w:pPr>
        <w:spacing w:after="0" w:line="144" w:lineRule="exact"/>
        <w:rPr>
          <w:sz w:val="20"/>
          <w:szCs w:val="20"/>
          <w:color w:val="auto"/>
        </w:rPr>
      </w:pPr>
    </w:p>
    <w:p>
      <w:pPr>
        <w:ind w:left="340" w:right="120"/>
        <w:spacing w:after="0" w:line="302" w:lineRule="auto"/>
        <w:rPr>
          <w:sz w:val="20"/>
          <w:szCs w:val="20"/>
          <w:color w:val="auto"/>
        </w:rPr>
      </w:pPr>
      <w:r>
        <w:rPr>
          <w:rFonts w:ascii="Arial" w:cs="Arial" w:eastAsia="Arial" w:hAnsi="Arial"/>
          <w:sz w:val="16"/>
          <w:szCs w:val="16"/>
          <w:color w:val="auto"/>
        </w:rPr>
        <w:t>The Nurse and Allied Staffing segment provides traditional staffing, including temporary and permanent placement of travel nurses and allied professionals, branch-based local nurses, and allied staffing. It markets its service to hospitals and other customers through its Cross Country Staffing®, MSN, Allied Health Group, Advantage, Mediscan, and DirectEd brands. The Nurse and Allied Staffing segment markets its services to healthcare professionals using a multi-brand strategy to segment the market, obtain greater shelf space and maximize its relevance to its healthcare professionals.</w:t>
      </w:r>
    </w:p>
    <w:p>
      <w:pPr>
        <w:spacing w:after="0" w:line="73" w:lineRule="exact"/>
        <w:rPr>
          <w:sz w:val="20"/>
          <w:szCs w:val="20"/>
          <w:color w:val="auto"/>
        </w:rPr>
      </w:pPr>
    </w:p>
    <w:p>
      <w:pPr>
        <w:ind w:left="340" w:right="280"/>
        <w:spacing w:after="0" w:line="255" w:lineRule="auto"/>
        <w:rPr>
          <w:sz w:val="20"/>
          <w:szCs w:val="20"/>
          <w:color w:val="auto"/>
        </w:rPr>
      </w:pPr>
      <w:r>
        <w:rPr>
          <w:rFonts w:ascii="Arial" w:cs="Arial" w:eastAsia="Arial" w:hAnsi="Arial"/>
          <w:sz w:val="18"/>
          <w:szCs w:val="18"/>
          <w:color w:val="auto"/>
        </w:rPr>
        <w:t>We provide flexible workforce solutions to the healthcare and school markets through diversified offerings designed to meet the special needs of each client, including: MSP, OWS, Educational Healthcare Services, IRP and RPO services. Our clients include: public and private acute care hospitals, government-owned facilities, public and charter schools, outpatient clinics, ambulatory care facilities, physician practice groups, retailers, and many other healthcare providers. The Joint Commission has certified our Nurse and Allied Staffing businesses under its Health Care Staffing Services Certification Program. Our Nurse and Allied Staffing revenue and contribution income is set forth in Note 17 - Segment Data to the consolidated financial statements.</w:t>
      </w:r>
    </w:p>
    <w:p>
      <w:pPr>
        <w:spacing w:after="0" w:line="112" w:lineRule="exact"/>
        <w:rPr>
          <w:sz w:val="20"/>
          <w:szCs w:val="20"/>
          <w:color w:val="auto"/>
        </w:rPr>
      </w:pPr>
    </w:p>
    <w:p>
      <w:pPr>
        <w:ind w:left="340" w:right="140"/>
        <w:spacing w:after="0" w:line="291" w:lineRule="auto"/>
        <w:rPr>
          <w:sz w:val="20"/>
          <w:szCs w:val="20"/>
          <w:color w:val="auto"/>
        </w:rPr>
      </w:pPr>
      <w:r>
        <w:rPr>
          <w:rFonts w:ascii="Arial" w:cs="Arial" w:eastAsia="Arial" w:hAnsi="Arial"/>
          <w:sz w:val="16"/>
          <w:szCs w:val="16"/>
          <w:color w:val="auto"/>
        </w:rPr>
        <w:t>A majority of our revenue is generated from staffing registered nurses on long-term contract assignments (typically 13 weeks in length) at hospitals and health systems using various brands. While the typical lead-time to staff a travel healthcare professional is four to five weeks, we also have candidates who are pre-qualified and ready to begin assignments within one to two weeks at hospital clients that have urgent needs. Additionally, we offer a short-term staffing solution of registered nurses, licensed practical nurses, certified nurse assistants, advanced practitioners, pharmacists, and more than 100 specialties of allied professionals on local per diem and short-term assignments in a variety of clinical and non-clinical settings through our national network of local branch offices. We also provide travel allied professionals on long-term contract assignments to hospitals, public and charter schools, and skilled nursing facilities under the Cross Country Staffing®, Mediscan, and DirectEd brands.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Physician Staffing</w:t>
      </w:r>
    </w:p>
    <w:p>
      <w:pPr>
        <w:spacing w:after="0" w:line="144" w:lineRule="exact"/>
        <w:rPr>
          <w:sz w:val="20"/>
          <w:szCs w:val="20"/>
          <w:color w:val="auto"/>
        </w:rPr>
      </w:pPr>
    </w:p>
    <w:p>
      <w:pPr>
        <w:ind w:left="340" w:right="200"/>
        <w:spacing w:after="0" w:line="264" w:lineRule="auto"/>
        <w:rPr>
          <w:sz w:val="20"/>
          <w:szCs w:val="20"/>
          <w:color w:val="auto"/>
        </w:rPr>
      </w:pPr>
      <w:r>
        <w:rPr>
          <w:rFonts w:ascii="Arial" w:cs="Arial" w:eastAsia="Arial" w:hAnsi="Arial"/>
          <w:sz w:val="18"/>
          <w:szCs w:val="18"/>
          <w:color w:val="auto"/>
        </w:rPr>
        <w:t>We provide physicians in many specialties, certified registered nurse anesthetists (CRNAs), nurse practitioners (NPs), and physician assistants (PAs) under our MDA brand as independent contractors on temporary assignments throughout the United States at various healthcare facilities, such as acute and non-acute care facilities, medical group practices,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11" w:name="page12"/>
    <w:bookmarkEnd w:id="11"/>
    <w:p>
      <w:pPr>
        <w:jc w:val="both"/>
        <w:ind w:left="340" w:right="140"/>
        <w:spacing w:after="0" w:line="264" w:lineRule="auto"/>
        <w:rPr>
          <w:sz w:val="20"/>
          <w:szCs w:val="20"/>
          <w:color w:val="auto"/>
        </w:rPr>
      </w:pPr>
      <w:r>
        <w:rPr>
          <w:rFonts w:ascii="Arial" w:cs="Arial" w:eastAsia="Arial" w:hAnsi="Arial"/>
          <w:sz w:val="18"/>
          <w:szCs w:val="18"/>
          <w:color w:val="auto"/>
        </w:rPr>
        <w:t>government facilities, and managed care organizations. We recruit these professionals nationally and place them on assignments varying in length from several days up to one year. Our Physician Staffing revenue and contribution income is set forth in Note 17 - Segment Data to the consolidated financial statements.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Other Human Capital Management Services</w:t>
      </w:r>
    </w:p>
    <w:p>
      <w:pPr>
        <w:spacing w:after="0" w:line="144" w:lineRule="exact"/>
        <w:rPr>
          <w:sz w:val="20"/>
          <w:szCs w:val="20"/>
          <w:color w:val="auto"/>
        </w:rPr>
      </w:pPr>
    </w:p>
    <w:p>
      <w:pPr>
        <w:jc w:val="both"/>
        <w:ind w:left="340" w:right="120"/>
        <w:spacing w:after="0" w:line="264" w:lineRule="auto"/>
        <w:rPr>
          <w:sz w:val="20"/>
          <w:szCs w:val="20"/>
          <w:color w:val="auto"/>
        </w:rPr>
      </w:pPr>
      <w:r>
        <w:rPr>
          <w:rFonts w:ascii="Arial" w:cs="Arial" w:eastAsia="Arial" w:hAnsi="Arial"/>
          <w:sz w:val="18"/>
          <w:szCs w:val="18"/>
          <w:color w:val="auto"/>
        </w:rPr>
        <w:t>We provide retained and contingent search services for physicians, healthcare executives, nurses, advanced practice, and allied health professionals. The revenue and contribution income of our Other Human Capital Management Services Segment is set forth in Note 17 - Segment Data to the consolidated financial statements.</w:t>
      </w:r>
    </w:p>
    <w:p>
      <w:pPr>
        <w:spacing w:after="0" w:line="100" w:lineRule="exact"/>
        <w:rPr>
          <w:sz w:val="20"/>
          <w:szCs w:val="20"/>
          <w:color w:val="auto"/>
        </w:rPr>
      </w:pPr>
    </w:p>
    <w:p>
      <w:pPr>
        <w:ind w:left="340" w:right="300"/>
        <w:spacing w:after="0" w:line="297" w:lineRule="auto"/>
        <w:rPr>
          <w:sz w:val="20"/>
          <w:szCs w:val="20"/>
          <w:color w:val="auto"/>
        </w:rPr>
      </w:pPr>
      <w:r>
        <w:rPr>
          <w:rFonts w:ascii="Arial" w:cs="Arial" w:eastAsia="Arial" w:hAnsi="Arial"/>
          <w:sz w:val="16"/>
          <w:szCs w:val="16"/>
          <w:color w:val="auto"/>
        </w:rPr>
        <w:t>Our Cejka Search® (Cejka) subsidiary has been a leading physician, executive, nurses, advanced practice, and allied health retained and contingent search firm for more than twenty years. Cejka recruits top healthcare talent for organizations nationwide through a team of experienced professionals, advanced use of recruitment technology, and commitment to service excellence. Serving clients nationwide, Cejka completes hundreds of search assignments annually for organizations spanning the continuum of healthcare, including physician group practices, hospitals and health systems, academic medical centers, accountable care organizations, managed care, and other healthcare organizations.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developed and will continue to focus our business model on increasing revenue and achieving greater profitability through higher efficiencies, expanding current MSP services and adding new MSP accounts, and further diversifying our customer base - all while continuing to offer the highest possible quality services.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Marketing and Recruiting Healthcare Professionals</w:t>
      </w:r>
    </w:p>
    <w:p>
      <w:pPr>
        <w:spacing w:after="0" w:line="144" w:lineRule="exact"/>
        <w:rPr>
          <w:sz w:val="20"/>
          <w:szCs w:val="20"/>
          <w:color w:val="auto"/>
        </w:rPr>
      </w:pPr>
    </w:p>
    <w:p>
      <w:pPr>
        <w:ind w:left="340" w:right="20"/>
        <w:spacing w:after="0" w:line="254" w:lineRule="auto"/>
        <w:rPr>
          <w:sz w:val="20"/>
          <w:szCs w:val="20"/>
          <w:color w:val="auto"/>
        </w:rPr>
      </w:pPr>
      <w:r>
        <w:rPr>
          <w:rFonts w:ascii="Arial" w:cs="Arial" w:eastAsia="Arial" w:hAnsi="Arial"/>
          <w:sz w:val="18"/>
          <w:szCs w:val="18"/>
          <w:color w:val="auto"/>
        </w:rPr>
        <w:t>We operate differentiated brands to recruit nurses and allied professionals. We believe our multi-brand recruiting model helps us reach a larger volume and a more diverse group of candidates to fill open positions at our clients throughout the United States in various clinical and non-clinical settings and in many different geographic areas. We believe nurses and allied professionals are attracted to us because we offer a wide range of diverse assignments in attractive locations, competitive compensation and benefit packages, scheduling options, as well as a high level of service to them. In addition, we believe nurses and allied professionals are confident we will have new assignments for them as they complete their current assignment. Our benefits generally include professional liability insurance, a 401(k) plan, health insurance, reimbursed travel, per diem allowances, and housing. Each of our nurse and allied healthcare professionals is employed by us is typically paid hourly wages and any other benefits they are entitled to receive during the assignment period.</w:t>
      </w:r>
    </w:p>
    <w:p>
      <w:pPr>
        <w:spacing w:after="0" w:line="111" w:lineRule="exact"/>
        <w:rPr>
          <w:sz w:val="20"/>
          <w:szCs w:val="20"/>
          <w:color w:val="auto"/>
        </w:rPr>
      </w:pPr>
    </w:p>
    <w:p>
      <w:pPr>
        <w:ind w:left="340" w:right="80"/>
        <w:spacing w:after="0" w:line="276" w:lineRule="auto"/>
        <w:rPr>
          <w:sz w:val="20"/>
          <w:szCs w:val="20"/>
          <w:color w:val="auto"/>
        </w:rPr>
      </w:pPr>
      <w:r>
        <w:rPr>
          <w:rFonts w:ascii="Arial" w:cs="Arial" w:eastAsia="Arial" w:hAnsi="Arial"/>
          <w:sz w:val="17"/>
          <w:szCs w:val="17"/>
          <w:color w:val="auto"/>
        </w:rPr>
        <w:t>Recruiters are an essential element of our Nurse and Allied Staffing business, and are responsible for establishing and maintaining key relationships with candidates for the duration of their assignments with us. Recruiters match the supply of qualified candidates in our databases with the demand for open orders posted by our clients. While we rely on word-of-mouth for referrals, we also market our brands on the Internet, including extensive utilization of social media, which has become an increasingly important component of our recruitment efforts. We maintain a number of websites to allow potential applicants to obtain information about our brands and assignment opportunities, as well as to apply online.</w:t>
      </w:r>
    </w:p>
    <w:p>
      <w:pPr>
        <w:spacing w:after="0" w:line="91"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MDA recruits and contracts with physicians and advanced practice professionals to provide medical services for MDA’s healthcare customers. Each physician or advanced practice professional is an independent contractor and enters into an agreement with MDA to provide medical services at a particular healthcare facility or physician practice group based on terms and conditions specified by that customer. Physicians and advanced practice professionals are engaged to provide medical services for a healthcare customer ranging from a few days up to a year. We believe physicians are attracted to us because we offer a wide variety of assignments, competitive fees, medical malpractice insurance, and a high level of service to them. MDA relies on word-of-mouth referrals, but also markets it brands on the Internet and through extensive social media campaigns.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Sales and Marketing</w:t>
      </w:r>
    </w:p>
    <w:p>
      <w:pPr>
        <w:spacing w:after="0" w:line="144"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We market our Nurse and Allied Staffing services to our hospitals, healthcare facilities, schools, and other clients using our Cross Country Staffing, Medical Staffing Network™, Allied Health Group, Mediscan, and DirectEd brands. Cross Country Staffing typically contracts with our nurse and allied healthcare clients on behalf of itself and our other brands. Mediscan contracts with its hospitals, public schools, and charter schools under the Mediscan and DirectEd brands. Our traditional staffing includes temporary and permanent placement of travel nurses and allied professionals, branch-based local nurses and allied staffing, and physicians. We provide healthcare staffing opportunities to our healthcare professionals, and staffing and workforce solutions to our healthcare clients in all 50 states.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2" w:name="page13"/>
    <w:bookmarkEnd w:id="12"/>
    <w:p>
      <w:pPr>
        <w:ind w:left="340" w:right="360"/>
        <w:spacing w:after="0" w:line="259" w:lineRule="auto"/>
        <w:rPr>
          <w:sz w:val="20"/>
          <w:szCs w:val="20"/>
          <w:color w:val="auto"/>
        </w:rPr>
      </w:pPr>
      <w:r>
        <w:rPr>
          <w:rFonts w:ascii="Arial" w:cs="Arial" w:eastAsia="Arial" w:hAnsi="Arial"/>
          <w:sz w:val="18"/>
          <w:szCs w:val="18"/>
          <w:color w:val="auto"/>
        </w:rPr>
        <w:t>We provide flexible workforce solutions to the healthcare and school markets through diversified offerings meeting the special needs of each client. Orders for open positions and other services are entered into our various databases and are available to recruiters. Account managers, who develop relationships with our clients to understand their specific settings and culture, submit candidate profiles to clients, and confirm offers and placements with them.</w:t>
      </w:r>
    </w:p>
    <w:p>
      <w:pPr>
        <w:spacing w:after="0" w:line="10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MDA markets its Physician Staffing operations to hospitals and other healthcare facilities on a national basis. Our recruiters use our extensive database of physicians and their expertise in their given specialties to contact physicians to schedule short and long-term engagements at healthcare customers. MDA successfully operates a multi-site business model with employees at several locations.</w:t>
      </w:r>
    </w:p>
    <w:p>
      <w:pPr>
        <w:spacing w:after="0" w:line="100"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Cejka markets its retained and contingent search services to healthcare clients primarily through industry professional organizations, direct marketing, Cejka’s website, and word-of-mouth.</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Credentialing and Quality Management</w:t>
      </w:r>
    </w:p>
    <w:p>
      <w:pPr>
        <w:spacing w:after="0" w:line="158"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We screen all of our candidates prior to placement through our credentialing departments. While screening requirements are typically negotiated with our clients, each of our businesses has adopted its own minimum standard screening requirements. We continue to monitor our nursing and allied professional employees after placement in an effort to ensure quality performance, to determine eligibility for future placements, and to manage our malpractice risk profile. Our credentialing processes are designed to ensure that our professionals have the requisite skill set required by our customers, as well as the aptitude to meet the day-to-day requirements and challenges they would typically encounter on assignments where they are placed. The credentialing of our nurse and allied healthcare professionals is designed to align with the guidelines of The Joint Commission, a national accrediting body, to ensure quality care. Our Cross Country University division, accredited by the American Nurse Credentialing Center, provides training, assessment, and professional development to further ensure the quality of the personnel we place on assignment. Our physician credentialing entity, Credent, is also certified by the NCQA. We ask each of our healthcare clients to evaluate our healthcare employees who work at their facility at the end of each assignment in order to continually assess client satisfaction, and so that we may assist our employees with further educational development, if and where necessary.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Payment for Services</w:t>
      </w:r>
    </w:p>
    <w:p>
      <w:pPr>
        <w:spacing w:after="0" w:line="144"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We negotiate payment for services with our clients based on market conditions and needs. We generally bill our nurse and allied employees at an hourly rate and assume all employer costs, including payroll, withholding taxes, benefits, professional liability insurance, and other requirements, as well as any travel and housing arrangements, where applicable. Our shared service center processes hours worked by field employees in the time and attendance systems, which in turn generate the billable transactions to our clients.</w:t>
      </w:r>
    </w:p>
    <w:p>
      <w:pPr>
        <w:spacing w:after="0" w:line="106" w:lineRule="exact"/>
        <w:rPr>
          <w:sz w:val="20"/>
          <w:szCs w:val="20"/>
          <w:color w:val="auto"/>
        </w:rPr>
      </w:pPr>
    </w:p>
    <w:p>
      <w:pPr>
        <w:ind w:left="340" w:right="20"/>
        <w:spacing w:after="0" w:line="286" w:lineRule="auto"/>
        <w:rPr>
          <w:sz w:val="20"/>
          <w:szCs w:val="20"/>
          <w:color w:val="auto"/>
        </w:rPr>
      </w:pPr>
      <w:r>
        <w:rPr>
          <w:rFonts w:ascii="Arial" w:cs="Arial" w:eastAsia="Arial" w:hAnsi="Arial"/>
          <w:sz w:val="17"/>
          <w:szCs w:val="17"/>
          <w:color w:val="auto"/>
        </w:rPr>
        <w:t>Hours worked by independent contractor physicians are reported to our MDA office. We bill our clients for hours worked by independent contractor physicians and for our recruitment fee. We negotiate payment for services with our clients based on market conditions and needs, and the amount we earn is not fixed. We keep a recruitment fee and pass on an agreed amount to the independent contractor physician on behalf of our clients.</w:t>
      </w:r>
    </w:p>
    <w:p>
      <w:pPr>
        <w:spacing w:after="0" w:line="84"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For our physician and executive search business, Cejka typically bills its clients a candidate acquisition fee and is reimbursed for certain marketing expenses.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Operations</w:t>
      </w:r>
    </w:p>
    <w:p>
      <w:pPr>
        <w:spacing w:after="0" w:line="144" w:lineRule="exact"/>
        <w:rPr>
          <w:sz w:val="20"/>
          <w:szCs w:val="20"/>
          <w:color w:val="auto"/>
        </w:rPr>
      </w:pPr>
    </w:p>
    <w:p>
      <w:pPr>
        <w:ind w:left="340" w:right="260"/>
        <w:spacing w:after="0" w:line="297" w:lineRule="auto"/>
        <w:rPr>
          <w:sz w:val="20"/>
          <w:szCs w:val="20"/>
          <w:color w:val="auto"/>
        </w:rPr>
      </w:pPr>
      <w:r>
        <w:rPr>
          <w:rFonts w:ascii="Arial" w:cs="Arial" w:eastAsia="Arial" w:hAnsi="Arial"/>
          <w:sz w:val="16"/>
          <w:szCs w:val="16"/>
          <w:color w:val="auto"/>
        </w:rPr>
        <w:t>Our Nurse and Allied and Physician Staffing businesses are operated through a relatively centralized business model servicing all assignment needs of our healthcare professional employees, physicians, and client healthcare facilities through operation centers located in Boca Raton, Florida; Newtown Square, Pennsylvania; West Chester, Ohio; Woodland Hills, California; and Berkeley Lake, Georgia. In addition to the key sales and recruitment activities, certain of these centers also perform support activities such as coordinating housing, payroll processing, benefits administration, billing and collections, travel reimbursement processing, customer service, and risk management. On December 31, 2017, we had 76 office locations.</w:t>
      </w:r>
    </w:p>
    <w:p>
      <w:pPr>
        <w:spacing w:after="0" w:line="77" w:lineRule="exact"/>
        <w:rPr>
          <w:sz w:val="20"/>
          <w:szCs w:val="20"/>
          <w:color w:val="auto"/>
        </w:rPr>
      </w:pPr>
    </w:p>
    <w:p>
      <w:pPr>
        <w:ind w:left="340" w:right="20"/>
        <w:spacing w:after="0" w:line="342" w:lineRule="auto"/>
        <w:rPr>
          <w:sz w:val="20"/>
          <w:szCs w:val="20"/>
          <w:color w:val="auto"/>
        </w:rPr>
      </w:pPr>
      <w:r>
        <w:rPr>
          <w:rFonts w:ascii="Arial" w:cs="Arial" w:eastAsia="Arial" w:hAnsi="Arial"/>
          <w:sz w:val="16"/>
          <w:szCs w:val="16"/>
          <w:color w:val="auto"/>
        </w:rPr>
        <w:t>Cejka Search primarily operates its business from its headquarters located in Creve Coeur, Missouri. This business operates relatively independently, other than certain ancillary services that are provided from our Boca Raton, Florida headquarters, such as payroll, legal, and information systems support.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Various information systems are utilized to run our customer relationship management, recruitment, and placement functions based on the different brands that we operate. Some of these sophisticated applications are proprietary and are hosted in Tier 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3" w:name="page14"/>
    <w:bookmarkEnd w:id="13"/>
    <w:p>
      <w:pPr>
        <w:ind w:right="20"/>
        <w:spacing w:after="0" w:line="276" w:lineRule="auto"/>
        <w:rPr>
          <w:sz w:val="20"/>
          <w:szCs w:val="20"/>
          <w:color w:val="auto"/>
        </w:rPr>
      </w:pPr>
      <w:r>
        <w:rPr>
          <w:rFonts w:ascii="Arial" w:cs="Arial" w:eastAsia="Arial" w:hAnsi="Arial"/>
          <w:sz w:val="17"/>
          <w:szCs w:val="17"/>
          <w:color w:val="auto"/>
        </w:rPr>
        <w:t>hosting facilities while other systems are Software as a Service (SaaS) based and hosted by our vendor partners. All of these systems were built/bought to handle considerable growth of all of our businesses. With capability to provide support to all of our facility clients, field employees, and independent contractors, our systems maintain detailed information about our client skill sets and status which assist us in enabling fulfillment and assignment renewal. Our databases are also an extensive pool of existing and potential customers and all related recruitment and sales activity. We constantly evaluate our systems, and the legacy systems for MDA and Cejka Search were recently replaced by an industry leading SaaS product.</w:t>
      </w:r>
    </w:p>
    <w:p>
      <w:pPr>
        <w:spacing w:after="0" w:line="9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financial and human resource systems are managed on leading enterprise resource planning software suites that manage certain aspects of accounts payable, accounts receivable, general ledger, billing, and human capital management. These systems have the ability to scale to accommodate revenue growth and/or employee growth. All of our systems are managed by our onshore and offshore Information Technology team.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Insurance, and Benefits</w:t>
      </w:r>
    </w:p>
    <w:p>
      <w:pPr>
        <w:spacing w:after="0" w:line="14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have developed a risk management program that requires prompt notification of incidents by clients, clinicians, and independent contractors, educational training to our employees, loss analysis, and prompt reporting procedures to reduce our risk exposure. Each of our temporary employees receives instructions regarding the timely reporting of claims and this information is also available on our website. While we cannot predict the future, we continuously review facts and incidents associated with professional liability and workers’ compensation claims in order to identify trends and reduce our risk of loss in the future where possible. In addition, upon notification of an incident that may result in liability to us, we promptly gather all available documentation and review the actions of our employee and independent contractor to determine if he or she should remain on an assignment and whether he or she is eligible for another assignment with us. We consider assessments provided by our clients and we work with clinicians and experts from our insurance carriers to determine employment eligibility and potential exposure. Prior to approving an employee or independent contractor for an assignment, we review records from applicable state professional associations, the national practitioners’ database, and other such databases available to us.</w:t>
      </w:r>
    </w:p>
    <w:p>
      <w:pPr>
        <w:spacing w:after="0" w:line="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provide workers’ compensation insurance coverage, professional liability coverage, and healthcare benefits for our eligible temporary professionals. We record our estimate of the ultimate cost of, and reserves for, workers' compensation and professional liability benefits based on actuarial models prepared or reviewed by an independent actuary using our loss history as well as industry statistics. In determining our reserves, we include reserves for estimated claims incurred but not reported. We also estimate on a quarterly basis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maintains a number of insurance policies including general liability, workers’ compensation, fidelity, fiduciary, directors and officers, cyber, property, and professional liability policies. These policies provide coverage subject to their terms, conditions, limits of liability, and deductibles, for certain liabilities that may arise from our operations. There can be no assurance that any of the above policies will be adequate for our needs, or that we will maintain all such policies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provide services directly to our clients on a contract basis and receive payment directly from them. However, many of our clients are reimbursed under the federal Medicare program and state Medicaid programs for the services they provide. In recent years, federal and state governments have made significant changes in these programs that have reduced reimbursement rates. In addition, insurance companies and managed care organizations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 our clients’ reimbursement. Such limitations on reimbursement could reduce our clients’ cash flows, hampering the pricing we can charge clients and their ability to pay us. We continuously monitor changes in regulations and legislation for potential impacts on our business.</w:t>
      </w:r>
    </w:p>
    <w:p>
      <w:pPr>
        <w:spacing w:after="0" w:line="8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business is subject to regulation by numerous governmental authorities in the jurisdictions in which we operate. Complex federal and state laws and regulations govern, among other things, the licensure of professionals, the payment of our employees (e.g., wage and hour laws, employment taxes and income tax withholdings, etc.), and the operations of our business generally. We conduct business primarily in the U.S. and are subject to federal and state laws and regulations applicable to our business,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2017, we had approximately 1,800 corporate employees. During 2017, we employed an average of 7,397 full-time equivalent field employees in Nurse and Allied Staffing which does not include our Physician Staffing independent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4" w:name="page15"/>
    <w:bookmarkEnd w:id="14"/>
    <w:p>
      <w:pPr>
        <w:ind w:right="120"/>
        <w:spacing w:after="0" w:line="257" w:lineRule="auto"/>
        <w:rPr>
          <w:sz w:val="20"/>
          <w:szCs w:val="20"/>
          <w:color w:val="auto"/>
        </w:rPr>
      </w:pPr>
      <w:r>
        <w:rPr>
          <w:rFonts w:ascii="Arial" w:cs="Arial" w:eastAsia="Arial" w:hAnsi="Arial"/>
          <w:sz w:val="18"/>
          <w:szCs w:val="18"/>
          <w:color w:val="auto"/>
        </w:rPr>
        <w:t>contractors, all of whom are not employees. Throughout 2017 we were not subject to any collective bargaining agreements. However, in October 2015, the employees we have outsourced to a customer in New York under our OWS model, mainly paraprofessionals, voted to be represented by Local 1199 of the Service Employees International Union. We began negotiating with Local 1199 for an initial collective bargaining agreement in 2016 to cover the terms and conditions of employment for these employees (approximately 450 employees) and expect those negotiations to result in an agreement in 2018. We consider our relationship with employees to be good.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Financial reports and filings with the Securities and Exchange Commission (SEC), including this Annual Report on Form 10-K, are available free of charge as soon as reasonably practicable after filing such material with, or furnishing it to, the SEC, on or through our corporate website at </w:t>
      </w:r>
      <w:r>
        <w:rPr>
          <w:rFonts w:ascii="Arial" w:cs="Arial" w:eastAsia="Arial" w:hAnsi="Arial"/>
          <w:sz w:val="18"/>
          <w:szCs w:val="18"/>
          <w:u w:val="single" w:color="auto"/>
          <w:color w:val="auto"/>
        </w:rPr>
        <w:t>www.crosscountryhealthcare.com</w:t>
      </w:r>
      <w:r>
        <w:rPr>
          <w:rFonts w:ascii="Arial" w:cs="Arial" w:eastAsia="Arial" w:hAnsi="Arial"/>
          <w:sz w:val="18"/>
          <w:szCs w:val="18"/>
          <w:color w:val="auto"/>
        </w:rPr>
        <w:t>. The information found on our website is not part of this Annual Report on Form 10-K or any other report we file with or furnish to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following risk factors could materially and adversely affect our future operating results and could cause actual results to differ materially from those predicted in the forward-looking statements we make about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Decreases in demand by our clients may adversely affect the profitability of our business.</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Among other things, changes in the economy, a decrease or stagnation in the general level of in-patient admissions or out-patient services at our clients’ facilities, uncertainty regarding or changes to federal healthcare law and the willingness of our hospital, healthcare facilities and physician group clients to develop their own temporary staffing pools and increase the productivity of their permanent staff may, individually or in the aggregate, significantly affect demand for our temporary healthcare staffing services and may hamper our ability to attract, develop and retain clients. When a hospital’s admissions increase, temporary employees or other healthcare professionals are often added before full-time employees are hired. As admissions decrease, clients typically reduce their use of temporary employees or other healthcare professionals before undertaking layoffs of their permanent employees. In addition, if hospitals continue to consolidate in an effort to enhance their market positions, improve operational efficiency, and create organizations capable of managing population health, demand for our services could decrease. Decreases in demand for our services may also affect our ability to provide attractive assignments to our healthcare professionals.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terminate or not renew their contracts with us.</w:t>
      </w:r>
    </w:p>
    <w:p>
      <w:pPr>
        <w:spacing w:after="0" w:line="14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arrangements with hospitals, healthcare facilities and physician group clients are generally terminable upon 30 to 90 days’ notice. These arrangements may also require us to, among other things, guarantee a percentage of open positions that we will fill. We may have to pay a penalty or a client may terminate our contract if we are unable to meet those obligations, either of which could have a negative impact on our profitability. We may have fixed costs, including housing costs, associated with terminated arrangements that we will be obligated to pay post-termination, thus negatively impacting our profitability. In addition, the loss of one or more of our large clients could materially affect our profitability.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recruit enough quality healthcare professionals to meet our clients’ demands.</w:t>
      </w:r>
    </w:p>
    <w:p>
      <w:pPr>
        <w:spacing w:after="0" w:line="14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rely significantly on our ability to attract, develop and retain healthcare professionals who possess the skills, experience and, as required, licensure necessary to meet the specified requirements of our healthcare clients. We compete for healthcare staffing personnel with other temporary healthcare staffing companies as well as actual and potential clients such as healthcare facilities and physician groups, some of which seek to fill positions with either permanent or temporary employees. We rely on word-of-mouth referrals, as well as social media to attract qualified healthcare professionals. If our social media strategy is not successful, our ability to attract qualified healthcare professionals could be negatively impacted.</w:t>
      </w:r>
    </w:p>
    <w:p>
      <w:pPr>
        <w:spacing w:after="0" w:line="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with a shortage of certain qualified nurses and physicians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and are unable to pass such cost increases on to our clients, our margins could decline. At this time, we still do not have enough nurses, allied professionals and physicians to meet all of our clients’ demands for these staffing services. This shortage of healthcare professionals generally and the competition for</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their services may limit our ability to increase the number of healthcare professionals that we successfully recruit, decreasing our ability to grow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healthcare facility clients increase the use of intermediaries it could impact our profitability.</w:t>
      </w:r>
    </w:p>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continue to see an increase in the use of intermediaries by our clients. These intermediaries typically enter into contracts with our clients and then subcontract with us and other agencies to provide staffing services, thus interfering to some extent in our relationship with our clients. Each of these intermediaries charges an administrative fee. In instances where we do not win new MSP opportunities or where other vendors win this MSP or VMS business with our current customers, the number of professionals we have on assignment at those clients could decrease. If we are unable to negotiate hourly rates with intermediaries for the services we provide at these clients which are sufficient to cover administrative fees charged by those intermediaries, it could impact our profitability. If those intermediaries become insolvent or fail to pay us for our services, it could impact our bad debt expense and thus our overall profitability. We also provide comprehensive MSP and other workforce solutions directly to certain of our clients. While such contracts typically improve our market share at these facilities, they could result in less diversification of our customer base, increased liability, and reduced margins.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costs of providing services may rise faster than we are able to adjust our bill rates and pay rates and, as a result, our margins could decline.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Costs of providing our services could change more quickly than we are able to renegotiate bill rates in our active contracts and pay rates with our thousands of healthcare professionals. For example, we offer housing subsidies to our healthcare professionals or provide actual housing to our healthcare professionals. At any given time, we have over a thousand apartments on lease throughout the U.S. because we provide housing for certain of our healthcare professionals when they are on an assignment with us.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and unemployment rates could negatively affect our financial results. The costs 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clients or renegotiate pay rates with our healthcare providers.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costs could be adversely affected by a shortage of experienced healthcare professionals and labor union activity.</w:t>
      </w:r>
    </w:p>
    <w:p>
      <w:pPr>
        <w:spacing w:after="0" w:line="14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operations are dependent on our ability to recruit and staff quality healthcare professionals. We compete with other healthcare staffing companies in recruiting and retaining qualified personnel. We may be required to enhance wages and benefits to our employees,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spacing w:after="0" w:line="10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medical support personnel, or in controlling labor costs, this could have an adverse effect on our results of operations.</w:t>
      </w:r>
    </w:p>
    <w:p>
      <w:pPr>
        <w:spacing w:after="0" w:line="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continually evaluate opportunities to acquire companies that would complement or enhance our business and at times have preliminary acquisition discussions with some of these companies. These acquisitions involve numerous risks, including potential loss of key employees or clients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applicable government regulations change, we may face increased costs that reduce our revenue and profitability.</w:t>
      </w:r>
    </w:p>
    <w:p>
      <w:pPr>
        <w:spacing w:after="0" w:line="144"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t>states. The introduction of new regulatory provisions could also substantially raise the costs associated with hiring temporary employees. For example, some states could impose sales taxes or increase sales tax rates on temporary healthcare staffing services. These increased costs may not be able to be passed on to clients. In addition, if government regulations were implemented that limited the amount we could charge for our services, our profitability could be adversely affected.</w:t>
      </w:r>
    </w:p>
    <w:p>
      <w:pPr>
        <w:spacing w:after="0" w:line="10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our services to hospitals and health systems who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affect the purchasing practices, operations and the financial health of our customers. Reimbursement changes in government programs, particularly Medicare and Medicaid, can and do indirectly affect the demand and the prices paid for our services.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ACA was a measure designed to expand access to affordable health insurance, control healthcare spending and improve healthcare quality. Many states have adopted or are considering changes in healthcare laws or policies in part due to state budgetary shortfalls. We believe that we are well-positioned to help our customers in a value-based care environment, which we expect will remain a key feature of government policy under any modified or replacement legislation. Nonetheless, the impact of any other legislation to repeal or amend or replace the ACA is uncertain and could adversely affect our business, cash flow and financial performance.</w:t>
      </w:r>
    </w:p>
    <w:p>
      <w:pPr>
        <w:spacing w:after="0" w:line="10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spacing w:after="0" w:line="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industry is subject to many complex federal, state, local and international laws and regulations related to, among other things, the licensure of professionals, the payment of our field employees (e.g., wage and hour laws, employment taxes and income tax withholdings, etc.) and the operations of our business generally (e.g., federal, state and local tax laws). If we do not comply with the laws and regulations that are applicable to our business, we could incur civil and/or criminal penalties as well as litigation or be subject to equitable remedies.</w:t>
      </w:r>
    </w:p>
    <w:p>
      <w:pPr>
        <w:spacing w:after="0" w:line="10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litigation, which could result in substantial judgment or settlement costs; significant legal actions could subject us to substantial uninsured liabilities.</w:t>
      </w:r>
    </w:p>
    <w:p>
      <w:pPr>
        <w:spacing w:after="0" w:line="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party to various litigation claims and legal proceedings.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and estimates are based on the information available to management at the time and involve a significant amount of management judgment.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spacing w:after="0" w:line="1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recent years, healthcare providers have become subject to an increasing number of legal actions alleging malpractice, vicarious liability, violation of certain consumer protection acts, negligent hiring, negligent credentialing, product liability or related legal theories. We may be subject to liability in such cases even if the contribution to the alleged injury was minimal or related to one of our subcontractors or its employees. Many of these actions involve large claims and significant defense costs. In addition, we may be subject to claims related to torts or crimes committed by our corporate employees or healthcare professionals that we place on assignment. In most instances, we are required to indemnify clients against some or all of these risks. A failure of any of our corporate employees or healthcare professional to observe our policies and guidelines, relevant client policies and guidelines or applicable federal, state or local laws, rules and regulations could result in negative publicity, payment of fines or other damages.</w:t>
      </w:r>
    </w:p>
    <w:p>
      <w:pPr>
        <w:spacing w:after="0" w:line="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protect ourselves from the cost of these types of claims, we maintain professional malpractice liability insurance and general liability insurance coverage with terms and in amounts with deductibles that we believe are appropriate for our operations. We are partially self-insured for our workers' compensation coverage, health insurance coverage, and professional liability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coverage for our locum tenens providers. If we become subject to substantial uninsured workers' compensation,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or maintain adequate insurance coverage, we may be exposed to substantial liabilities.</w:t>
      </w:r>
    </w:p>
    <w:p>
      <w:pPr>
        <w:spacing w:after="0" w:line="1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provisions in our corporate documents and Delaware law delay or prevent a change in control, we may be unable to consummate a transaction that our stockholders consider favorable.</w:t>
      </w:r>
    </w:p>
    <w:p>
      <w:pPr>
        <w:spacing w:after="0" w:line="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disruptions may adversely affect our operating results and financial condition</w:t>
      </w:r>
      <w:r>
        <w:rPr>
          <w:rFonts w:ascii="Arial" w:cs="Arial" w:eastAsia="Arial" w:hAnsi="Arial"/>
          <w:sz w:val="18"/>
          <w:szCs w:val="18"/>
          <w:b w:val="1"/>
          <w:bCs w:val="1"/>
          <w:color w:val="auto"/>
        </w:rPr>
        <w:t>.</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Economic conditions and volatility in the financial markets may have an adverse impact on the availability of credit to us and to our customers and businesses generally. To the extent that disruption in the financial markets occurs, it has the potential to materially affect our and our customers’ ability to tap into debt and/or equity markets to continue ongoing operations, have access to cash and/or pay debts as they come due. These events could negatively impact our results of operations and financial conditions. Although we monitor our credit risks to specific clients that we believe may present credit concerns, default risk or lack of access to liquidity may result from events or circumstances that are difficult to detect or foresee. Conditions in the credit markets and the economy generally could adversely impact our business and limit or prohibit us from refinancing our credit agreements on terms favorable to us when they become due.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issuable under our stock option plans are presently in effect and sales of this stock could cause our stock price to decline.</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registered 4,398,001 shares of common stock for issuance under our 1999 stock option plan, and 3,500,000 shares of common stock for issuance under our 2007 Stock Incentive Plan. In 2014 and 2017, we amended and restated that Plan to issue an additional 600,000 shares and 2,000,000 shares, respectively, all of which have been registered. Fully vested stock appreciation rights of 94,500 were issued and outstanding as of February 26, 2018. Shares of restricted stock outstanding as of February 26, 2018, were 511,599. In addition, a target of 256,371 performance stock awards were issued and outstanding as of February 26, 2018. See Note 14 - Stockholders' Equity to our consolidated financial statements. Common stock issued upon exercise of stock options, stock appreciation rights and restricted stock, under our benefit plans, is eligible for resale in the public market without restriction. We cannot predict what effect, if any, market sales of shares held by any stockholder or the availability of these shares for future sale will have on the market price of our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proper functioning of our information systems and applications hosted by our vendors.</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dependent on the proper functioning of our information systems in operating our business, including those applications hosted by our vendors. Critical information systems used in daily operations identify and match staffing resources and client assignments and perform billing and accounts receivable functions. Additionally, we rely on our information systems in managing our accounting and financial reporting. These systems are subject to certain risks, including technological obsolescence. We are currently evaluating the technology platforms of our businesses. If our proprietary systems of Software as a Service applications fail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spacing w:after="0" w:line="10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addition,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identify business opportunities quickly, to, among other things, maintain billing and clinical records reliably, to bill for services efficiently and to maintain our accounting and financial reporting accurately.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are increasingly dependent on third parties for the execution of certain critical functions.</w:t>
      </w:r>
    </w:p>
    <w:p>
      <w:pPr>
        <w:spacing w:after="0" w:line="14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outsourced certain critical applications or business processes to external providers, including but not limited to, cloud-based services. We exercise care in the selection and oversight of these providers. However, the failure or inability to perform on the part of one or more of these critical suppliers could cause significant disruptions and increased costs to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collection, use, and retention of personal information and personal health information create risks that may harm our business.</w:t>
      </w:r>
    </w:p>
    <w:p>
      <w:pPr>
        <w:spacing w:after="0" w:line="14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part of our business model, we collect, transmit and retain personal information of our employees and contract professionals and their dependents, including, without limitation, full names, social security numbers, addresses, birth dates, and payroll-related information. We use commercially available information security technologies to protect such information in digital format and have security and business controls to limit access to such information. In addition, we periodically perform penetration tests and respond to those findings. However, employees or third parties may be able to circumvent these measures and acquire or misuse such information, resulting in breaches of privacy, and errors in the storage, use or transmission of such information may result in breaches of privacy. Privacy breaches may require notification and other remedies, which can be costly, and which may have other serious adverse consequences for our business, including regulatory penalties and fines, claims for breach of contract, claims for damages, adverse publicity, reduced demand for our services by clients and/or healthcare professional candidates, harm to our reputation, and regulatory oversight by state or federal agencies. The possession and use of personal information and data in conducting our business subjects us to legislative and regulatory burdens. We may be required to incur significant expenses to comply with mandatory privacy and security standards and protocols imposed by law, regulation, industry standards, or contractual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security risks and cyber incidents could adversely affect our business and disrupt operations.</w:t>
      </w:r>
    </w:p>
    <w:p>
      <w:pPr>
        <w:spacing w:after="0" w:line="14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 security protection costs, litigation and reputational damage adversely affecting customer or investor confidence. We have implemented systems and processes to focus on identification, prevention, mitigation and resolution. However, these measures cannot provide absolute security, and our systems may be vulnerable to cyber-security breaches such as viruses, hacking, and similar disruptions from unauthorized intrusions. In addition, we rely on third party service providers to perform certain services, such as payroll and tax services. Any failure of our systems or third party systems may compromise our sensitive information and/or personally identifiable information of our employees. While we have secured cyber insurance to potentially cover certain risks associated with cyber incidents, there can be no assurance the insurance will be sufficient to cover any such liability.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natural disasters, such as hurricanes and fires, could cause us to suffer material financial losses.</w:t>
      </w:r>
    </w:p>
    <w:p>
      <w:pPr>
        <w:spacing w:after="0" w:line="14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Catastrophes can be caused by various events, including, but not limited to, hurricanes, fires, and other severe weather. The incidence and severity of catastrophes are inherently unpredictable. With our headquarters and shared services located in South Florida, we are more vulnerable to possible disruptions from hurricanes and the impacts resulting therefrom, such as tornadoes, flooding, fuel shortages, and disruption of internet services. 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and other catastrophes.</w:t>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a level of indebtedness which may have an adverse effect on our business or limit our ability to take advantage of business, strategic or financing opportunities.</w:t>
      </w:r>
    </w:p>
    <w:p>
      <w:pPr>
        <w:spacing w:after="0" w:line="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indicated below, we have and will continue to have a significant amount of indebtedness relative to our equity. The following table sets forth our total principal amount of debt and stockholders’ equity.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352"/>
              <w:spacing w:after="0"/>
              <w:rPr>
                <w:sz w:val="20"/>
                <w:szCs w:val="20"/>
                <w:color w:val="auto"/>
              </w:rPr>
            </w:pPr>
            <w:r>
              <w:rPr>
                <w:rFonts w:ascii="Arial" w:cs="Arial" w:eastAsia="Arial" w:hAnsi="Arial"/>
                <w:sz w:val="18"/>
                <w:szCs w:val="18"/>
                <w:color w:val="auto"/>
                <w:w w:val="99"/>
              </w:rPr>
              <w:t>December 31, 2017</w:t>
            </w:r>
          </w:p>
        </w:tc>
      </w:tr>
      <w:tr>
        <w:trPr>
          <w:trHeight w:val="27"/>
        </w:trPr>
        <w:tc>
          <w:tcPr>
            <w:tcW w:w="9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9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92"/>
              <w:spacing w:after="0"/>
              <w:rPr>
                <w:sz w:val="20"/>
                <w:szCs w:val="20"/>
                <w:color w:val="auto"/>
              </w:rPr>
            </w:pPr>
            <w:r>
              <w:rPr>
                <w:rFonts w:ascii="Arial" w:cs="Arial" w:eastAsia="Arial" w:hAnsi="Arial"/>
                <w:sz w:val="16"/>
                <w:szCs w:val="16"/>
                <w:color w:val="auto"/>
                <w:w w:val="98"/>
              </w:rPr>
              <w:t>(amounts in thousands)</w:t>
            </w:r>
          </w:p>
        </w:tc>
      </w:tr>
      <w:tr>
        <w:trPr>
          <w:trHeight w:val="303"/>
        </w:trPr>
        <w:tc>
          <w:tcPr>
            <w:tcW w:w="9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at par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51"/>
        </w:trPr>
        <w:tc>
          <w:tcPr>
            <w:tcW w:w="9140" w:type="dxa"/>
            <w:vAlign w:val="bottom"/>
          </w:tcPr>
          <w:p>
            <w:pPr>
              <w:ind w:left="40"/>
              <w:spacing w:after="0"/>
              <w:rPr>
                <w:sz w:val="20"/>
                <w:szCs w:val="20"/>
                <w:color w:val="auto"/>
              </w:rPr>
            </w:pPr>
            <w:r>
              <w:rPr>
                <w:rFonts w:ascii="Arial" w:cs="Arial" w:eastAsia="Arial" w:hAnsi="Arial"/>
                <w:sz w:val="18"/>
                <w:szCs w:val="18"/>
                <w:color w:val="auto"/>
              </w:rPr>
              <w:t>Total Cross Country Healthcare, Inc.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237,089</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level of indebtedness increases the possibility that we may be unable to generate cash sufficient to pay the principal, interest or other amounts due on our indebtedness. Subject to certain restrictions under our existing indebtedness, we and our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9" w:name="page20"/>
    <w:bookmarkEnd w:id="19"/>
    <w:p>
      <w:pPr>
        <w:ind w:right="180"/>
        <w:spacing w:after="0" w:line="257" w:lineRule="auto"/>
        <w:rPr>
          <w:sz w:val="20"/>
          <w:szCs w:val="20"/>
          <w:color w:val="auto"/>
        </w:rPr>
      </w:pPr>
      <w:r>
        <w:rPr>
          <w:rFonts w:ascii="Arial" w:cs="Arial" w:eastAsia="Arial" w:hAnsi="Arial"/>
          <w:sz w:val="18"/>
          <w:szCs w:val="18"/>
          <w:color w:val="auto"/>
        </w:rPr>
        <w:t>subsidiaries may also incur significant additional indebtedness in the future, some of which may be secured debt. This may have the effect of increasing our total leverage. As a consequence of our indebtedness, (1) demands on our cash resources may increase, (2) we are subject to restrictive covenants that limit our financial and operating flexibility, and (3)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10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have to pay higher interest rates upon refinancing or on our variable rate indebtedness if interest rates rise, thereby reducing our cash flows;</w:t>
      </w:r>
    </w:p>
    <w:p>
      <w:pPr>
        <w:spacing w:after="0" w:line="155" w:lineRule="exact"/>
        <w:rPr>
          <w:rFonts w:ascii="Arial" w:cs="Arial" w:eastAsia="Arial" w:hAnsi="Arial"/>
          <w:sz w:val="17"/>
          <w:szCs w:val="17"/>
          <w:color w:val="auto"/>
        </w:rPr>
      </w:pPr>
    </w:p>
    <w:p>
      <w:pPr>
        <w:ind w:left="180" w:right="260" w:hanging="172"/>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find it more difficult to obtain additional financing to fund future working capital, capital expenditures and other general corporate requirements that would be in our long-term interests;</w:t>
      </w:r>
    </w:p>
    <w:p>
      <w:pPr>
        <w:spacing w:after="0" w:line="89" w:lineRule="exact"/>
        <w:rPr>
          <w:rFonts w:ascii="Arial" w:cs="Arial" w:eastAsia="Arial" w:hAnsi="Arial"/>
          <w:sz w:val="18"/>
          <w:szCs w:val="18"/>
          <w:color w:val="auto"/>
        </w:rPr>
      </w:pPr>
    </w:p>
    <w:p>
      <w:pPr>
        <w:ind w:left="180" w:right="360" w:hanging="172"/>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 from operations to the payment of principal and interest on our debt, reducing the available cash flow to fund other investments;</w:t>
      </w:r>
    </w:p>
    <w:p>
      <w:pPr>
        <w:spacing w:after="0" w:line="89"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limited flexibility in planning for, or reacting to, changes in our business or in the industry;</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a competitive disadvantage relative to other companies in our industry that are less leveraged; and</w:t>
      </w:r>
    </w:p>
    <w:p>
      <w:pPr>
        <w:spacing w:after="0" w:line="144" w:lineRule="exact"/>
        <w:rPr>
          <w:rFonts w:ascii="Arial" w:cs="Arial" w:eastAsia="Arial" w:hAnsi="Arial"/>
          <w:sz w:val="18"/>
          <w:szCs w:val="18"/>
          <w:color w:val="auto"/>
        </w:rPr>
      </w:pPr>
    </w:p>
    <w:p>
      <w:pPr>
        <w:ind w:right="300" w:firstLine="8"/>
        <w:spacing w:after="0" w:line="407" w:lineRule="auto"/>
        <w:tabs>
          <w:tab w:leader="none" w:pos="162"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sell debt or equity securities or sell some of our core assets, possibly on unfavorable terms, in order to meet payment obligations. These restrictions could have a material adverse effect on our business.</w:t>
      </w:r>
    </w:p>
    <w:p>
      <w:pPr>
        <w:ind w:right="380"/>
        <w:spacing w:after="0" w:line="277" w:lineRule="auto"/>
        <w:rPr>
          <w:sz w:val="20"/>
          <w:szCs w:val="20"/>
          <w:color w:val="auto"/>
        </w:rPr>
      </w:pPr>
      <w:r>
        <w:rPr>
          <w:rFonts w:ascii="Arial" w:cs="Arial" w:eastAsia="Arial" w:hAnsi="Arial"/>
          <w:sz w:val="18"/>
          <w:szCs w:val="18"/>
          <w:b w:val="1"/>
          <w:bCs w:val="1"/>
          <w:i w:val="1"/>
          <w:iCs w:val="1"/>
          <w:color w:val="auto"/>
        </w:rPr>
        <w:t>We could fail to generate sufficient cash to fund our liquidity needs and/or fail to satisfy the financial and other restrictive covenants to which we are subject under our existing indebtedness.</w:t>
      </w:r>
    </w:p>
    <w:p>
      <w:pPr>
        <w:spacing w:after="0" w:line="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have sufficient liquidity to operate our business in the normal course. If, however, we were to make an acquisition or enter into a similar type of transaction, our liquidity needs may exceed our current capacity. In addition, our existing credit facilities currently contain financial covenants that require us to operate above a minimum fixed charge coverage ratio and below a consolidated leverage ratio. Deterioration in our operating results could result in our inability to comply with these covenants and would result in a default under our credit facility. If an event of default exists, our lenders could call the indebtedness and we may be unable to renegotiate or secure other financing.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risks associated with international operations.</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fluctuations in currency exchange rates; changes in regulations; varying economic and political conditions; overlapping or differing tax structures; and regulations (pertaining to, among other things, compensation and benefits, vacation, and the termination of employment). Our inability to effectively manage our international operations or to violate a regulation could result in increased costs and adversely affect our results of operations.</w:t>
      </w:r>
    </w:p>
    <w:p>
      <w:pPr>
        <w:spacing w:after="0" w:line="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Due to inherent limitations, there can be no assurance that our system of disclosure and internal controls and procedures will be successful in preventing all errors and fraud, or in making all material information known in a timely manner to management.</w:t>
      </w:r>
    </w:p>
    <w:p>
      <w:pPr>
        <w:spacing w:after="0" w:line="8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management, including our Chief Executive Officer (CEO) and Chief Financial Officer (CFO),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w:t>
      </w:r>
    </w:p>
    <w:p>
      <w:pPr>
        <w:spacing w:after="0" w:line="8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procedures may deteriorate. Because of the inherent limitations, misstatements due to error or fraud may occur and not be detected.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in the value of our goodwill, trade names, or other intangible assets could negatively impact our net income and earnings per share.</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 non-cash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potential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 At December 31, 2017, goodwill, trade names not subject to amortization, and other intangible assets represented 44% of our total assets. In 2017 and 2016, we recorded impairment charges of $14.4 million and $24.3 million, respectively.</w:t>
      </w:r>
    </w:p>
    <w:p>
      <w:pPr>
        <w:spacing w:after="0" w:line="9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taxing authorities do not agree with our tax positions, if there are further legislative tax changes, or if we are unable to utilize our net operating losses.</w:t>
      </w:r>
    </w:p>
    <w:p>
      <w:pPr>
        <w:spacing w:after="0" w:line="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periodically subject to a number of tax examinations by taxing authorities in the states and countries where we do business. We also have significant deferred tax assets related to our net operating losses (NOLs) in U.S. federal and state taxing jurisdictions, which, generally, for U.S. federal and state tax purposes, carry forward for up to twenty years.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taxing authority. If there are tax benefits, including, but not limited to, the use of NOLs, expense reimbursements, or other tax attributes, that are challenged successfully by a taxing authority, we may be required to pay additional taxes or we may seek to enter into settlements with the taxing authorities, which could require significant payments or otherwise have a material adverse effect on our business, results of operations, and financial condition.</w:t>
      </w:r>
    </w:p>
    <w:p>
      <w:pPr>
        <w:spacing w:after="0" w:line="10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U.S. federal, state and local, as well as international, tax laws and regulations are extremely complex and subject to varying interpretations. Most recently, on December 22, 2017, the President signed the 2017 Tax Act into law. The 2017 Tax Act contains substantial changes to the U.S. federal income tax code effective January 1, 2018, including a reduction in the federal corporate rate from 35% to 21%. In the long-term, we anticipate that we will have an overall benefit from the reduction in the tax rate slightly offset by potential deductions disallowed under the current law. However, we recognized an $8.0 million tax charge in 2017 primarily the result of the lower corporate tax rate, which required us to remeasure our net deferred tax asset to reflect the lower corporate tax rate. Although we are not aware of any provision in the 2017 Tax Act or any other pending tax legislation that would have a material adverse impact on our financial performance, the ultimate impact of the 2017 Tax Act may differ from our current assessment due to changes in interpretations and assumptions made by us as well as the issuance of any further regulations or guidance regarding the U.S. federal income tax code. At this time, it is unclear how many U.S. states will incorporate these federal law changes, or portions thereof, into their tax codes. There can be no assurance that the 2017 Tax Act or any other legislative changes will not negatively impact our operating results, financial condition, and future business operations.</w:t>
      </w:r>
    </w:p>
    <w:p>
      <w:pPr>
        <w:spacing w:after="0" w:line="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we may be limited in our ability to utilize our NOLs to offset future taxable income and thereby reduce our otherwise payable income taxes. Our ability to utilize our NOLs is also dependent, in part, upon us having sufficient future earnings to utilize our NOLs before they expire. If market conditions change materially and we determine that we will be unable to generate sufficient taxable income in the future to utilize our NOLs, we could be required to record an additional valuation allowance. We review the valuation allowances for our NOLs periodically and make adjustments from time to time, which can result in an increase or decrease to the net deferred tax asset related to our NOLs. If we are unable to use our NOLs or use of our NOLs is limited, we may have to make significant payments or reduce our deferred tax assets, which could have a material adverse effect on our business, results of operations and financial condition.</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800" w:right="279" w:bottom="1440" w:gutter="0" w:footer="0" w:header="0"/>
        </w:sectPr>
      </w:pPr>
    </w:p>
    <w:bookmarkStart w:id="21" w:name="page22"/>
    <w:bookmarkEnd w:id="21"/>
    <w:p>
      <w:pPr>
        <w:ind w:right="540"/>
        <w:spacing w:after="0" w:line="277" w:lineRule="auto"/>
        <w:rPr>
          <w:sz w:val="20"/>
          <w:szCs w:val="20"/>
          <w:color w:val="auto"/>
        </w:rPr>
      </w:pPr>
      <w:r>
        <w:rPr>
          <w:rFonts w:ascii="Arial" w:cs="Arial" w:eastAsia="Arial" w:hAnsi="Arial"/>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Federal or state taxing authorities could re-classify our locum tenens physicians, CRNAs and other independent contractors as employees, despite both the general industry standard to treat them as independent contractors and many state laws prohibiting non-physician owned companies from employing physicians (e.g., the “corporate practice of medicine”).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method for paying locum tenens physicians changes, it could negatively impact our profitability.</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Medicare Access and CHIP Reauthorization Act of 2015 (MACRA) creates a new framework for rewarding physicians for providing higher quality care by establishing two tracks of payment: a merit-based incentive payment system (MIPS), and Advanced Alternative Payment Models (AAPMs). If hospitals change the method for paying locum tenens physicians to meet their performance goals or other criteria for Medicaid or Medicare reimbursements, the profitability of our business could be adversely impacted.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impacted by the loss of key management.</w:t>
      </w:r>
    </w:p>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the successful execution of our business strategy and our ability to build upon significant recent investments and acquisitions depends on the continued employment of key members of our senior management team.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any real property. Our principal leases as of February 1, 2018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Square</w:t>
            </w:r>
          </w:p>
        </w:tc>
        <w:tc>
          <w:tcPr>
            <w:tcW w:w="2500" w:type="dxa"/>
            <w:vAlign w:val="bottom"/>
          </w:tcPr>
          <w:p>
            <w:pPr>
              <w:spacing w:after="0"/>
              <w:rPr>
                <w:sz w:val="18"/>
                <w:szCs w:val="18"/>
                <w:color w:val="auto"/>
              </w:rPr>
            </w:pPr>
          </w:p>
        </w:tc>
      </w:tr>
      <w:tr>
        <w:trPr>
          <w:trHeight w:val="234"/>
        </w:trPr>
        <w:tc>
          <w:tcPr>
            <w:tcW w:w="3460" w:type="dxa"/>
            <w:vAlign w:val="bottom"/>
            <w:gridSpan w:val="2"/>
          </w:tcPr>
          <w:p>
            <w:pPr>
              <w:ind w:left="1320"/>
              <w:spacing w:after="0"/>
              <w:rPr>
                <w:sz w:val="20"/>
                <w:szCs w:val="20"/>
                <w:color w:val="auto"/>
              </w:rPr>
            </w:pPr>
            <w:r>
              <w:rPr>
                <w:rFonts w:ascii="Arial" w:cs="Arial" w:eastAsia="Arial" w:hAnsi="Arial"/>
                <w:sz w:val="18"/>
                <w:szCs w:val="18"/>
                <w:b w:val="1"/>
                <w:bCs w:val="1"/>
                <w:color w:val="auto"/>
              </w:rPr>
              <w:t>Location</w:t>
            </w:r>
          </w:p>
        </w:tc>
        <w:tc>
          <w:tcPr>
            <w:tcW w:w="3980" w:type="dxa"/>
            <w:vAlign w:val="bottom"/>
            <w:gridSpan w:val="2"/>
          </w:tcPr>
          <w:p>
            <w:pPr>
              <w:ind w:left="1600"/>
              <w:spacing w:after="0"/>
              <w:rPr>
                <w:sz w:val="20"/>
                <w:szCs w:val="20"/>
                <w:color w:val="auto"/>
              </w:rPr>
            </w:pPr>
            <w:r>
              <w:rPr>
                <w:rFonts w:ascii="Arial" w:cs="Arial" w:eastAsia="Arial" w:hAnsi="Arial"/>
                <w:sz w:val="18"/>
                <w:szCs w:val="18"/>
                <w:b w:val="1"/>
                <w:bCs w:val="1"/>
                <w:color w:val="auto"/>
              </w:rPr>
              <w:t>Function</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Feet</w:t>
            </w:r>
          </w:p>
        </w:tc>
        <w:tc>
          <w:tcPr>
            <w:tcW w:w="2500" w:type="dxa"/>
            <w:vAlign w:val="bottom"/>
          </w:tcPr>
          <w:p>
            <w:pPr>
              <w:ind w:left="600"/>
              <w:spacing w:after="0"/>
              <w:rPr>
                <w:sz w:val="20"/>
                <w:szCs w:val="20"/>
                <w:color w:val="auto"/>
              </w:rPr>
            </w:pPr>
            <w:r>
              <w:rPr>
                <w:rFonts w:ascii="Arial" w:cs="Arial" w:eastAsia="Arial" w:hAnsi="Arial"/>
                <w:sz w:val="18"/>
                <w:szCs w:val="18"/>
                <w:b w:val="1"/>
                <w:bCs w:val="1"/>
                <w:color w:val="auto"/>
              </w:rPr>
              <w:t>Lease Expiration</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Boca Raton, Florida</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Nurse and Allied Staffing administration and general</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70,406</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r>
      <w:tr>
        <w:trPr>
          <w:trHeight w:val="237"/>
        </w:trPr>
        <w:tc>
          <w:tcPr>
            <w:tcW w:w="3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office use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Boca Raton, Florida</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Corporate headquarters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48,154</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November 30, 2025</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Berkeley Lake, Georgia</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Physician Staffing office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41,607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31, 2024</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Creve Coeur, Missouri</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Physician and Executive search headquarters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27,051</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August 31, 2024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9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currently trades under the symbol “CCRN” on the NASDAQ Global Select Market (NASDAQ). Our common stock commenced trading on the NASDAQ National Market under the symbol “CCRN” on October 25, 2001.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2" w:name="page23"/>
    <w:bookmarkEnd w:id="22"/>
    <w:p>
      <w:pPr>
        <w:ind w:right="320"/>
        <w:spacing w:after="0" w:line="277" w:lineRule="auto"/>
        <w:rPr>
          <w:sz w:val="20"/>
          <w:szCs w:val="20"/>
          <w:color w:val="auto"/>
        </w:rPr>
      </w:pPr>
      <w:r>
        <w:rPr>
          <w:rFonts w:ascii="Arial" w:cs="Arial" w:eastAsia="Arial" w:hAnsi="Arial"/>
          <w:sz w:val="18"/>
          <w:szCs w:val="18"/>
          <w:color w:val="auto"/>
        </w:rPr>
        <w:t>following table sets forth, for the periods indicated, the high and low sale prices per share of CCRN common stock. Such prices reflect inter-dealer prices, without retail mark-up, mark-down or commission and may not represent actual transactions.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Sale Prices</w:t>
            </w:r>
          </w:p>
        </w:tc>
        <w:tc>
          <w:tcPr>
            <w:tcW w:w="8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Calendar Period</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Low</w:t>
            </w:r>
          </w:p>
        </w:tc>
      </w:tr>
      <w:tr>
        <w:trPr>
          <w:trHeight w:val="27"/>
        </w:trPr>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493"/>
        </w:trPr>
        <w:tc>
          <w:tcPr>
            <w:tcW w:w="400" w:type="dxa"/>
            <w:vAlign w:val="bottom"/>
            <w:gridSpan w:val="2"/>
          </w:tcPr>
          <w:p>
            <w:pPr>
              <w:ind w:left="40"/>
              <w:spacing w:after="0"/>
              <w:rPr>
                <w:sz w:val="20"/>
                <w:szCs w:val="20"/>
                <w:color w:val="auto"/>
              </w:rPr>
            </w:pPr>
            <w:r>
              <w:rPr>
                <w:rFonts w:ascii="Arial" w:cs="Arial" w:eastAsia="Arial" w:hAnsi="Arial"/>
                <w:sz w:val="18"/>
                <w:szCs w:val="18"/>
                <w:b w:val="1"/>
                <w:bCs w:val="1"/>
                <w:color w:val="auto"/>
                <w:w w:val="84"/>
              </w:rPr>
              <w:t>2017</w:t>
            </w:r>
          </w:p>
        </w:tc>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Quarter Ended March 31,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14.48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Quarter Ended June 30,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w:t>
            </w:r>
          </w:p>
        </w:tc>
      </w:tr>
      <w:tr>
        <w:trPr>
          <w:trHeight w:val="243"/>
        </w:trPr>
        <w:tc>
          <w:tcPr>
            <w:tcW w:w="40" w:type="dxa"/>
            <w:vAlign w:val="bottom"/>
          </w:tcPr>
          <w:p>
            <w:pPr>
              <w:spacing w:after="0"/>
              <w:rPr>
                <w:sz w:val="21"/>
                <w:szCs w:val="21"/>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Quarter Ended September 30,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12.32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Quarter Ended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r>
      <w:tr>
        <w:trPr>
          <w:trHeight w:val="500"/>
        </w:trPr>
        <w:tc>
          <w:tcPr>
            <w:tcW w:w="400" w:type="dxa"/>
            <w:vAlign w:val="bottom"/>
            <w:gridSpan w:val="2"/>
          </w:tcPr>
          <w:p>
            <w:pPr>
              <w:ind w:left="40"/>
              <w:spacing w:after="0"/>
              <w:rPr>
                <w:sz w:val="20"/>
                <w:szCs w:val="20"/>
                <w:color w:val="auto"/>
              </w:rPr>
            </w:pPr>
            <w:r>
              <w:rPr>
                <w:rFonts w:ascii="Arial" w:cs="Arial" w:eastAsia="Arial" w:hAnsi="Arial"/>
                <w:sz w:val="18"/>
                <w:szCs w:val="18"/>
                <w:b w:val="1"/>
                <w:bCs w:val="1"/>
                <w:color w:val="auto"/>
                <w:w w:val="84"/>
              </w:rPr>
              <w:t>2016</w:t>
            </w:r>
          </w:p>
        </w:tc>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Quarter Ended March 31,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12.31</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Quarter Ended June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r>
      <w:tr>
        <w:trPr>
          <w:trHeight w:val="243"/>
        </w:trPr>
        <w:tc>
          <w:tcPr>
            <w:tcW w:w="40" w:type="dxa"/>
            <w:vAlign w:val="bottom"/>
          </w:tcPr>
          <w:p>
            <w:pPr>
              <w:spacing w:after="0"/>
              <w:rPr>
                <w:sz w:val="21"/>
                <w:szCs w:val="21"/>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Quarter Ended September 30,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December 31, 2016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13.45</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graph below 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December 31, 2012 and tracks it through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848985" cy="4107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800" w:right="239" w:bottom="1440" w:gutter="0" w:footer="0" w:header="0"/>
          <w:type w:val="continuous"/>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t>As of February 21, 2018, there were 135 stockholders of record of our common stock. In addition, there were 4,396 beneficial owners of our common stock held by brokers or other institutions on behalf of stockholders.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never paid or declared cash dividends on our common stock. Covenants in our credit agreement limit our ability to repurchase our common stock and declare and pay cash dividends on our common stock. On February 28, 2008, our Board of Directors authorized our most recent stock repurchase program whereby we may purchase up to 1.5 million of our common shares, subject to the terms of our current credit agreement. The shares may be repurchased from time-to-time in the open market and the repurchase program may be discontinued at any time at our discretion. At December 31, 2017, we had 942,443 shares of common stock left remaining to repurchase under this authorization, subject to the limitations of our credit agreement as described in Note 14 - Stockholders' Equity to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selected consolidated financial data as of December 31, 2017 and 2016 and for the years ended December 31, 2017, 2016, and 2015 are derived from the audited consolidated financial statements of Cross Country Healthcare, Inc., included elsewhere in this Report. The selected consolidated financial data as of December 31, 2015, 2014, and 2013 and for the years ended December 31, 2014 and 2013 are derived from the consolidated financial statements of Cross Country Healthcare, Inc., that have been audited but not included in this Report on Form 10-K.</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of Cross Country Healthcare, Inc., “Management’s Discussion and Analysis of Financial Condition and Results of Operations” and other financial information included elsewhere in this report.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20"/>
                <w:szCs w:val="20"/>
                <w:color w:val="auto"/>
              </w:rPr>
            </w:pPr>
          </w:p>
        </w:tc>
        <w:tc>
          <w:tcPr>
            <w:tcW w:w="8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auto"/>
                <w:w w:val="90"/>
              </w:rPr>
              <w:t>(Amounts in thousands, except per share data)</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865,048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833,537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767,421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617,825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438,311</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11,748</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6,184</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20,565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(10,468)</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Consolidated net income (loss)</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38,802</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8,731</w:t>
            </w: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4,954</w:t>
            </w:r>
          </w:p>
        </w:tc>
        <w:tc>
          <w:tcPr>
            <w:tcW w:w="3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(31,534)</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(54,250)</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37,513</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7,967</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(31,783)</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(51,969)</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Per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(loss) per share attributable to common shareholders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0.25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income (loss) per share attributable to common shareholders - 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0.15</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35,018</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32,132</w:t>
            </w: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31,514</w:t>
            </w:r>
          </w:p>
        </w:tc>
        <w:tc>
          <w:tcPr>
            <w:tcW w:w="3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31,190</w:t>
            </w: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31,009</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36,166</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36,246</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32,162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31,190</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31,009</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Operating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25,537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20,630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2,453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4,995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8,055</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467,687</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388,378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365,595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324,502</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248,245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debt at par</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100,000</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64,523</w:t>
            </w: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63,094</w:t>
            </w:r>
          </w:p>
        </w:tc>
        <w:tc>
          <w:tcPr>
            <w:tcW w:w="3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58,702</w:t>
            </w: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8,576</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237,719</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151,802</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141,344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130,332</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160,667</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45,508</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30,145</w:t>
            </w:r>
          </w:p>
        </w:tc>
        <w:tc>
          <w:tcPr>
            <w:tcW w:w="3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18,235</w:t>
            </w:r>
          </w:p>
        </w:tc>
        <w:tc>
          <w:tcPr>
            <w:tcW w:w="3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(4,072)</w:t>
            </w:r>
          </w:p>
        </w:tc>
        <w:tc>
          <w:tcPr>
            <w:tcW w:w="3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8,659</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and presentation of our consolidated data:</w:t>
      </w:r>
    </w:p>
    <w:p>
      <w:pPr>
        <w:spacing w:after="0" w:line="225" w:lineRule="exact"/>
        <w:rPr>
          <w:sz w:val="20"/>
          <w:szCs w:val="20"/>
          <w:color w:val="auto"/>
        </w:rPr>
      </w:pPr>
    </w:p>
    <w:p>
      <w:pPr>
        <w:ind w:left="820" w:right="320" w:hanging="326"/>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net income (loss) for the years ended December 31, 2017, 2016, 2015, and 2014, respectively, includes amounts attributable to noncontrolling interest of $1.3 million, $0.8 million, $0.5 million, and $0.2 million. See Note 1 - Organization and Basis of Presentation to our consolidated financial statements.</w:t>
      </w:r>
    </w:p>
    <w:p>
      <w:pPr>
        <w:spacing w:after="0" w:line="181" w:lineRule="exact"/>
        <w:rPr>
          <w:rFonts w:ascii="Arial" w:cs="Arial" w:eastAsia="Arial" w:hAnsi="Arial"/>
          <w:sz w:val="18"/>
          <w:szCs w:val="18"/>
          <w:color w:val="auto"/>
        </w:rPr>
      </w:pPr>
    </w:p>
    <w:p>
      <w:pPr>
        <w:ind w:left="820" w:right="140" w:hanging="326"/>
        <w:spacing w:after="0" w:line="25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all of the assets of Advantage effective July 1, 2017, all of the membership interests of Mediscan on October 30, 2015, substantially all of the assets and certain liabilities of MSN on June 30, 2014, and the operating assets of On Assignment, Inc.'s Allied Healthcare Staffing division on December 2, 2013. The results of these acquisition's operations have been included in our consolidated statements of operations since their respective effective dates of acquisition. For the years ended December 31, 2017, 2016, 2015, 2014, and 2013, we recognized $2.0 million, $0.1 million, $0.9 million, $8.0 million, and $0.5 million of acquisition and integration costs, respectively. See Note 3 - Acquisitions to our consolidated financial statements.</w:t>
      </w:r>
    </w:p>
    <w:p>
      <w:pPr>
        <w:spacing w:after="0" w:line="193" w:lineRule="exact"/>
        <w:rPr>
          <w:rFonts w:ascii="Arial" w:cs="Arial" w:eastAsia="Arial" w:hAnsi="Arial"/>
          <w:sz w:val="18"/>
          <w:szCs w:val="18"/>
          <w:color w:val="auto"/>
        </w:rPr>
      </w:pPr>
    </w:p>
    <w:p>
      <w:pPr>
        <w:ind w:left="820" w:right="100" w:hanging="326"/>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years ended December 31, 2017 and 2016 include less than $0.1 million and $0.8 million, respectively, of acquisition-related contingent consideration expense primarily related to the USR and Mediscan acquisitions. See Note 3 - Acquisitions and Note 10 - Fair Value Measurements to our consolidated financial statements.</w:t>
      </w:r>
    </w:p>
    <w:p>
      <w:pPr>
        <w:spacing w:after="0" w:line="181"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incurred restructuring costs in the years ended December 31, 2017, 2016, 2015, 2014, and 2013, for $1.0 million, $0.8 million, $1.3 million, $0.8 million, and $0.5 million, respectively. Restructuring costs relate to discrete cost savings initiatives in each year.</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year ended December 31, 2013 includes a legal settlement charge of $0.8 million related to a wage and hour class action lawsuit in California.</w:t>
      </w:r>
    </w:p>
    <w:p>
      <w:pPr>
        <w:spacing w:after="0" w:line="248" w:lineRule="exact"/>
        <w:rPr>
          <w:rFonts w:ascii="Arial" w:cs="Arial" w:eastAsia="Arial" w:hAnsi="Arial"/>
          <w:sz w:val="16"/>
          <w:szCs w:val="16"/>
          <w:color w:val="auto"/>
        </w:rPr>
      </w:pPr>
    </w:p>
    <w:p>
      <w:pPr>
        <w:ind w:left="820" w:right="380" w:hanging="326"/>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Non-cash impairment charges of $14.4 million, $24.3 million, $2.1 million, $10.0 million, and $6.4 million, respectively, were incurred in the years ended December 31, 2017, 2016, 2015, 2014, and 2013. See Note 5 - Goodwill, Trade Names, and Other Intangible Assets to our consolidated financial statements.</w:t>
      </w:r>
    </w:p>
    <w:p>
      <w:pPr>
        <w:spacing w:after="0" w:line="181" w:lineRule="exact"/>
        <w:rPr>
          <w:rFonts w:ascii="Arial" w:cs="Arial" w:eastAsia="Arial" w:hAnsi="Arial"/>
          <w:sz w:val="18"/>
          <w:szCs w:val="18"/>
          <w:color w:val="auto"/>
        </w:rPr>
      </w:pPr>
    </w:p>
    <w:p>
      <w:pPr>
        <w:ind w:left="820" w:right="80" w:hanging="326"/>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years ended December 31, 2017 and 2016 include the impact of a gain on derivative liability of $1.6 million and $5.8 million, while the years ended December 31, 2015 and 2014 include the impact of a loss on derivative liability of $9.9 million and $16.7 million, respectively. The derivative liability related to the Convertible Notes issued in conjunction with the acquisition of MSN. See Note 9 - Convertible Notes Derivative Liability to our consolidated financial statements.</w:t>
      </w:r>
    </w:p>
    <w:p>
      <w:pPr>
        <w:spacing w:after="0" w:line="186" w:lineRule="exact"/>
        <w:rPr>
          <w:rFonts w:ascii="Arial" w:cs="Arial" w:eastAsia="Arial" w:hAnsi="Arial"/>
          <w:sz w:val="18"/>
          <w:szCs w:val="18"/>
          <w:color w:val="auto"/>
        </w:rPr>
      </w:pPr>
    </w:p>
    <w:p>
      <w:pPr>
        <w:ind w:left="820" w:hanging="326"/>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incurred a loss on sale of business of $2.2 million (an after-tax gain of $1.3 million), in the year ended December 31, 2015, related to the sale of our education seminars business, Cross Country Education, LLC (CCE) on August 31, 2015. See Note 4 - Disposal to our consolidated financial statements.</w:t>
      </w:r>
    </w:p>
    <w:p>
      <w:pPr>
        <w:spacing w:after="0" w:line="181" w:lineRule="exact"/>
        <w:rPr>
          <w:rFonts w:ascii="Arial" w:cs="Arial" w:eastAsia="Arial" w:hAnsi="Arial"/>
          <w:sz w:val="18"/>
          <w:szCs w:val="18"/>
          <w:color w:val="auto"/>
        </w:rPr>
      </w:pPr>
    </w:p>
    <w:p>
      <w:pPr>
        <w:ind w:left="820" w:right="140" w:hanging="326"/>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years ended December 31, 2017, 2016, and 2013 include a loss on early extinguishment of debt of $5.0 million, $1.6 million, and $1.4 million, respectively, related to extinguishment fees and the write-off of unamortized loan fees and net debt discount and issuance costs related to prior credit agreements. See Note 8 - Debt to our consolidated financial statements.</w:t>
      </w:r>
    </w:p>
    <w:p>
      <w:pPr>
        <w:spacing w:after="0" w:line="181" w:lineRule="exact"/>
        <w:rPr>
          <w:rFonts w:ascii="Arial" w:cs="Arial" w:eastAsia="Arial" w:hAnsi="Arial"/>
          <w:sz w:val="18"/>
          <w:szCs w:val="18"/>
          <w:color w:val="auto"/>
        </w:rPr>
      </w:pPr>
    </w:p>
    <w:p>
      <w:pPr>
        <w:ind w:left="820" w:right="80" w:hanging="326"/>
        <w:spacing w:after="0" w:line="25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income tax benefit for the year ended December 31, 2017 was primarily the result of reducing federal and certain state valuation allowances on our deferred tax assets totaling $45.4 million, offset by an $8.0 million reduction in our net deferred tax assets (relating to the impact from the 2017 Tax Act signed into legislation on December 22, 2017). Previously, in the year ended December 31, 2013, we recorded valuation allowances of $52.0 million covering all of our net deferred tax assets. The valuation allowance was maintained and reflected in the years ended December 31, 2014 through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Item 1. Business, Item 6. Selected Financial Data, Item 1A. Risk Factors, Forward-Looking Statements and Item 15. Consolidated Financial Statements and the accompanying notes and other data, all of which appear elsewhere in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provide healthcare staffing, recruiting and workforce solutions to our customers through a network of 76 office locations throughout the U.S. Our services include placing clinicians on travel and per diem assignments, local short-term contracts, and permanent positions. In addition, we offer flexible workforce management solutions to our customers including: MSP, education healthcare, RPO, and other outsourcing and value-added services as described in Item 1. Business. In addition, we provide both retained and contingent placement services for healthcare executives, physicians, and other healthcare professionals.</w:t>
      </w:r>
    </w:p>
    <w:p>
      <w:pPr>
        <w:spacing w:after="0" w:line="15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manage and segment our business based on the nature of our services we offer to our customers. As a result,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we report three business segments – Nurse and Allied Staffing, Physician Staffing, and Other Human Capital Management Services.</w:t>
      </w:r>
    </w:p>
    <w:p>
      <w:pPr>
        <w:spacing w:after="0" w:line="124" w:lineRule="exact"/>
        <w:rPr>
          <w:sz w:val="20"/>
          <w:szCs w:val="20"/>
          <w:color w:val="auto"/>
        </w:rPr>
      </w:pPr>
    </w:p>
    <w:p>
      <w:pPr>
        <w:ind w:left="660" w:right="12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For the year ended December 31, 2017, Nurse and Allied Staffing represented approximately 88% of our total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Nurse and Allied Staffing provides traditional staffing, recruiting, and value-added workforce solutions including: temporary and permanent placement of travel and local branch-based nurse and allied professionals, MSP services, education healthcare services, and outsourcing services. Substantially all of the results of the acquisition of Advantage have been aggregated with our Nurse and Allied Staffing business segment. See Note 3 - Acquisitions to our consolidated financial statements.</w:t>
      </w:r>
    </w:p>
    <w:p>
      <w:pPr>
        <w:spacing w:after="0" w:line="188"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For the year ended December 31, 2017, Physician Staffing represented approximately 11% of our total revenue. Physician</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provides physicians in many specialties, as well as CRNAs, NP, and PAs under our Medical Doctor Associates (MDA) brand as independent contractors on temporary assignments throughout the U.S. Less than 2% of the business related to the Advantage acquisition is managed by, and included in, the Physician Staffing business segment.</w:t>
      </w:r>
    </w:p>
    <w:p>
      <w:pPr>
        <w:spacing w:after="0" w:line="186"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Other Human Capital Management Services </w:t>
      </w:r>
      <w:r>
        <w:rPr>
          <w:rFonts w:ascii="Arial" w:cs="Arial" w:eastAsia="Arial" w:hAnsi="Arial"/>
          <w:sz w:val="16"/>
          <w:szCs w:val="16"/>
          <w:color w:val="auto"/>
        </w:rPr>
        <w:t>– For the year ended December 31, 2017, Other Human Capital Management Services (OHCMS)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approximately 1% of our total revenue. Subsequent to the sale of our education seminars business, CCE, on August 31, 2015, OHCMS is comprised of retained and contingent search services for physicians, healthcare executives, and other healthcare professionals within the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For the year ended December 31, 2017, revenue from services grew 3.8% to $865.0 million, entirely from our Nurse and Allied Staffing business, driven by the acquisition of Advantage effective July 1, 2017, and partly offset by declines in our other segments. Demand in our Nurse and Allied Staffing segment remained relatively stable. However, our fourth quarter revenue was impacted by, in part, what we believe are some short-term pressures on our business including: the impact severe weather had on our operations, particularly due to office closures; lower demand for premium rate specialties; fewer overall placements; and a lower renewal rate. These pressures are expected to continue to impact our first quarter 2018 results, but we expect to recover in the latter part of 2018. The slight decline in our Physician Staffing segment is due to lower volume of days filled and the impact of specialty mix. Our volume of days filled increased for advanced practices compared to a decline for physician specialties. Generally, our pricing remained strong across all segments and we continued to add a growing number of MSPs that should drive continued growth in demand for our services. Excluding the impact of the Advantage acquisition, we continued to manage our selling, general, and administrative expenses as we remain committed to improving operating leverage and overall profitability. Net income attributable to common shareholders was $37.5 million, or $1.01 per diluted share and was impacted by noncash items including an income tax benefit resulting from the reversal of substantially all of the our valuation allowances on net deferred tax assets, partly offset by impairment charges related to Physician Staffing, and income tax expense attributable to the remeasurement of deferred tax assets under the 2017 Tax Act. As a result of the valuation allowance release, we expect our ongoing effective tax rate to be more normalized and our remaining net operating losses should offset the majority of cash taxes paid until 2019.</w:t>
      </w:r>
    </w:p>
    <w:p>
      <w:pPr>
        <w:spacing w:after="0" w:line="18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the year ended December 31, 2017, we generated cash flow from operating activities of $45.5 million. In the third quarter of 2017, we financed the acquisition of Advantage using available cash and an incremental term loan. We renewed and increased the size of our Credit Agreement to a total of $215.0 million, leaving us with extra capacity for further growth. As of December 31, 2017, we had $25.5 million of cash and cash equivalents and a $100.0 million term loan outstanding. There were no borrowings drawn on our $115.0 million revolving credit facility, with $21.6 million of letters of credit outstanding, leaving $93.4 million available for borrowings under the revolving credit facility. See Note 8 - Debt to our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gross profit margins, operating expenses, and contribution income. In addition, we monitor cash flow as well as operating and leverage ratios to help us assess our liquidity needs.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900" w:type="dxa"/>
            <w:vAlign w:val="bottom"/>
          </w:tcPr>
          <w:p>
            <w:pPr>
              <w:ind w:left="154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20" w:type="dxa"/>
            <w:vAlign w:val="bottom"/>
            <w:tcBorders>
              <w:bottom w:val="single" w:sz="8" w:color="auto"/>
            </w:tcBorders>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r>
      <w:tr>
        <w:trPr>
          <w:trHeight w:val="222"/>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900" w:type="dxa"/>
            <w:vAlign w:val="bottom"/>
          </w:tcPr>
          <w:p>
            <w:pPr>
              <w:ind w:left="1540"/>
              <w:spacing w:after="0"/>
              <w:rPr>
                <w:sz w:val="20"/>
                <w:szCs w:val="20"/>
                <w:color w:val="auto"/>
              </w:rPr>
            </w:pPr>
            <w:r>
              <w:rPr>
                <w:rFonts w:ascii="Arial" w:cs="Arial" w:eastAsia="Arial" w:hAnsi="Arial"/>
                <w:sz w:val="18"/>
                <w:szCs w:val="18"/>
                <w:color w:val="auto"/>
                <w:w w:val="91"/>
              </w:rPr>
              <w:t>FTEs represent the average number of Nurse and Allied Staffing contract personnel on</w:t>
            </w:r>
          </w:p>
        </w:tc>
      </w:tr>
      <w:tr>
        <w:trPr>
          <w:trHeight w:val="230"/>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rPr>
              <w:t>a full-time equivalent basis.</w:t>
            </w:r>
          </w:p>
        </w:tc>
      </w:tr>
      <w:tr>
        <w:trPr>
          <w:trHeight w:val="256"/>
        </w:trPr>
        <w:tc>
          <w:tcPr>
            <w:tcW w:w="3520" w:type="dxa"/>
            <w:vAlign w:val="bottom"/>
          </w:tcPr>
          <w:p>
            <w:pPr>
              <w:spacing w:after="0"/>
              <w:rPr>
                <w:sz w:val="22"/>
                <w:szCs w:val="22"/>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rPr>
              <w:t>Average revenue per FTE per day is calculated by dividing the Nurse and Allied</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w w:val="97"/>
              </w:rPr>
              <w:t>Staffing revenue per FTE by the number of days worked in the respective periods.</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w w:val="90"/>
              </w:rPr>
              <w:t>Nurse and Allied Staffing revenue also includes revenue from the permanent placement</w:t>
            </w:r>
          </w:p>
        </w:tc>
      </w:tr>
      <w:tr>
        <w:trPr>
          <w:trHeight w:val="230"/>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rPr>
              <w:t>of nurses.</w:t>
            </w:r>
          </w:p>
        </w:tc>
      </w:tr>
      <w:tr>
        <w:trPr>
          <w:trHeight w:val="607"/>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900" w:type="dxa"/>
            <w:vAlign w:val="bottom"/>
          </w:tcPr>
          <w:p>
            <w:pPr>
              <w:ind w:left="1540"/>
              <w:spacing w:after="0"/>
              <w:rPr>
                <w:sz w:val="20"/>
                <w:szCs w:val="20"/>
                <w:color w:val="auto"/>
              </w:rPr>
            </w:pPr>
            <w:r>
              <w:rPr>
                <w:rFonts w:ascii="Arial" w:cs="Arial" w:eastAsia="Arial" w:hAnsi="Arial"/>
                <w:sz w:val="18"/>
                <w:szCs w:val="18"/>
                <w:color w:val="auto"/>
                <w:w w:val="98"/>
              </w:rPr>
              <w:t>Days filled is calculated by dividing the total hours invoiced during the period by 8</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rPr>
              <w:t>hours. This method does not reflect the impact of</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rPr>
              <w:t>revenue generated from permanent placements, reimbursed</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rPr>
              <w:t>expenses, discounts and allowances, and the impact from accruals</w:t>
            </w:r>
          </w:p>
        </w:tc>
      </w:tr>
      <w:tr>
        <w:trPr>
          <w:trHeight w:val="230"/>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rPr>
              <w:t>and adjustments recorded for financial statement purposes.</w:t>
            </w:r>
          </w:p>
        </w:tc>
      </w:tr>
      <w:tr>
        <w:trPr>
          <w:trHeight w:val="256"/>
        </w:trPr>
        <w:tc>
          <w:tcPr>
            <w:tcW w:w="3520" w:type="dxa"/>
            <w:vAlign w:val="bottom"/>
          </w:tcPr>
          <w:p>
            <w:pPr>
              <w:spacing w:after="0"/>
              <w:rPr>
                <w:sz w:val="22"/>
                <w:szCs w:val="22"/>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w w:val="93"/>
              </w:rPr>
              <w:t>Revenue per day filled is calculated by dividing revenue invoiced by days filled for the</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w w:val="92"/>
              </w:rPr>
              <w:t>period presented. Invoiced revenue excludes revenue from permanent placement and</w:t>
            </w:r>
          </w:p>
        </w:tc>
      </w:tr>
      <w:tr>
        <w:trPr>
          <w:trHeight w:val="230"/>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Arial" w:cs="Arial" w:eastAsia="Arial" w:hAnsi="Arial"/>
                <w:sz w:val="18"/>
                <w:szCs w:val="18"/>
                <w:color w:val="auto"/>
              </w:rPr>
              <w:t>accrued revenue.</w:t>
            </w:r>
          </w:p>
        </w:tc>
      </w:tr>
      <w:tr>
        <w:trPr>
          <w:trHeight w:val="486"/>
        </w:trPr>
        <w:tc>
          <w:tcPr>
            <w:tcW w:w="3520" w:type="dxa"/>
            <w:vAlign w:val="bottom"/>
          </w:tcPr>
          <w:p>
            <w:pPr>
              <w:spacing w:after="0"/>
              <w:rPr>
                <w:sz w:val="24"/>
                <w:szCs w:val="24"/>
                <w:color w:val="auto"/>
              </w:rPr>
            </w:pPr>
          </w:p>
        </w:tc>
        <w:tc>
          <w:tcPr>
            <w:tcW w:w="7900" w:type="dxa"/>
            <w:vAlign w:val="bottom"/>
          </w:tcPr>
          <w:p>
            <w:pPr>
              <w:ind w:left="21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10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for the periods indicated, selected consolidated statements of operations data expressed as a percentage of revenue. Our historical results of operations are not necessarily indicative of future operating results.</w:t>
      </w:r>
    </w:p>
    <w:p>
      <w:pPr>
        <w:spacing w:after="0" w:line="329"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34290</wp:posOffset>
            </wp:positionV>
            <wp:extent cx="3738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ind w:left="6300"/>
              <w:spacing w:after="0"/>
              <w:rPr>
                <w:sz w:val="20"/>
                <w:szCs w:val="20"/>
                <w:color w:val="auto"/>
              </w:rPr>
            </w:pPr>
            <w:r>
              <w:rPr>
                <w:rFonts w:ascii="Arial" w:cs="Arial" w:eastAsia="Arial" w:hAnsi="Arial"/>
                <w:sz w:val="18"/>
                <w:szCs w:val="18"/>
                <w:b w:val="1"/>
                <w:bCs w:val="1"/>
                <w:color w:val="auto"/>
                <w:w w:val="99"/>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Direct operating expenses</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74.3</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r>
      <w:tr>
        <w:trPr>
          <w:trHeight w:val="24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Bad debt expense</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4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Loss on sale of business</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Impairment charges</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4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loss on derivative liability</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Loss on early extinguishment of debt</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96"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Comparison of Results for the Year Ended December 31, 2017 compared to the Year Ended December 31, 2016</w:t>
      </w:r>
    </w:p>
    <w:p>
      <w:pPr>
        <w:spacing w:after="0" w:line="38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Year Ended December 31,</w:t>
            </w:r>
          </w:p>
        </w:tc>
        <w:tc>
          <w:tcPr>
            <w:tcW w:w="146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Increase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4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(Dollars in thousands)</w:t>
            </w:r>
          </w:p>
        </w:tc>
        <w:tc>
          <w:tcPr>
            <w:tcW w:w="146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865,048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636,462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611,802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24,660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208.3 %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2,432.1 %</w:t>
            </w: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Gain on derivative liability</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72.8 %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216.9 %</w:t>
            </w: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32.6 %</w:t>
            </w:r>
          </w:p>
        </w:tc>
      </w:tr>
      <w:tr>
        <w:trPr>
          <w:trHeight w:val="27"/>
        </w:trPr>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(30,315)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(724.2)%</w:t>
            </w:r>
          </w:p>
        </w:tc>
      </w:tr>
      <w:tr>
        <w:trPr>
          <w:trHeight w:val="27"/>
        </w:trPr>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w w:val="96"/>
              </w:rPr>
              <w:t>Less: Net income attributable to noncontrolling interest in</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subsidiary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68.7 %</w:t>
            </w:r>
          </w:p>
        </w:tc>
      </w:tr>
      <w:tr>
        <w:trPr>
          <w:trHeight w:val="27"/>
        </w:trPr>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29,546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370.9 %</w:t>
            </w:r>
          </w:p>
        </w:tc>
      </w:tr>
      <w:tr>
        <w:trPr>
          <w:trHeight w:val="20"/>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services increased $31.5 million, or 3.8%, to $865.0 million for the year ended December 31, 2017, as compared to $833.5 million for the year ended December 31, 2016. The increase was entirely from Nurse and Allied Staffing primarily due to the Advantage acquisition, and partially offset by lower revenue from Physician Staffing and OHCMS.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$24.7 million, or 4.0%, to $636.5 million for the year ended December 31, 2017, as compared to $611.8 million for the year ended December 31, 2016, entirely due to the Advantage acquisition. As a percentage of total revenue, direct operating expenses increased to 73.6% compared to 73.4% in the prior year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Selling, general, and administrative expenses increased $7.6 million, or 4.2%, to $187.4 million for the year ended December 31, 2017, as compared to $179.8 million for the year ended December 31, 2016, partly due to the impact of the acquisition of Advantage. Excluding the impact of Advantage, the increase was primarily due to investments in revenue-producing headcount, higher marketing costs for candidate attraction, and higher compensation and benefit costs. As a percentage of total revenue, selling, general, and administrative expenses were 21.7% and 21.5% for the year ended December 31, 2017 and December 31, 2016, respectively.</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796"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Depreciation and amortization expense in the year ended December 31, 2017 increased to $10.2 million as compared to $9.2 million for the year ended December 31, 2016, partly due to the additional amortization of other intangible assets of Advantage. As a percentage of revenue, depreciation and amortization expense was 1.2% for the year ended December 31, 2017 and 1.1%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Acquisition-related contingent consideration totaled less than $0.1 million for the year ended December 31, 2017, related to the accretion on earnouts, partly offset by the reversal of an earnout liability related to Mediscan which was determined would not be achieved, as compared to $0.8 million for the year ended December 31, 2016, primarily related to accretion of the Mediscan earnouts. In the fourth quarter of 2017, we also recognized a decrease in the fair value of the USR earnout liability of $1.3 million, driven by the decrease in the projected USR 2018 and 2019 revenue and EBITDA amounts, offset by a $1.2 million increase in the projected fair value of Mediscan's DirectEd earnout liability, as a result of an increase in their projected 2018 and 2019 gross profit amounts. See Note 9 - Fair Value Measurements to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years ended December 31, 2017 and 2016, we incurred acquisition and integration costs of $2.0 million and $0.1 million, respectively. The 2017 costs consisted primarily of transaction, advisory, and legal fees related to the acquisition of Advantage. See Note 3 - Acquisitions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Restructuring costs include severance and exit costs incurred as part of separate and discrete cost savings initiatives. We recorded restructuring costs of $1.0 million for the year ended December 31, 2017 and $0.8 million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fourth quarter of 2017, we recorded non-cash impairment charges of $14.4 million relating to the Physician Staffing reporting unit. We reduced our long-range forecast for the Physician Staffing business segment in the fourth quarter of 2017. The lower than expected revenue was driven by lower booking volumes, partly due to the loss of customers. In addition, margins of the reporting unit were negatively impacted from continued investments in the business. As a result, we recorded non-cash impairment charges of $8.7 million related to trade names and $5.7 million related to goodwill.</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quarter of 2016, we recorded non-cash impairment charges of $24.3 million relating to the Physician Staffing reporting unit. Based on its under-performance to plan through the six months ended June 30, 2016, we revised our growth assumptions for the Physician Staffing reporting unit which triggered our evaluation.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totaled $4.2 million for the year ended December 31, 2017 and $6.1 million for the year ended December 31, 2016. The decrease was due to a lower effective interest rate partially offset by higher average borrowings. The effective interest rate on our borrowings decreased to 4.6% for the year ended December 31, 2017 compared to 8.4% for the year ended December 31, 2016, primarily due to the payoff of our $25.0 million 8% fixed rate Convertible Notes on March 17, 2017. See Note 7 - Debt to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Gain on derivative liability of $1.6 million and $5.8 million for the years ended December 31, 2017 and December 31, 2016, respectively, related to the change in the fair value of embedded features of our Convertible Notes. The gains in both periods primarily resulted from decreases in our share price from the end of the respective prior years through the 2017 payoff date and through December 31, 2016. The gain in 2016 was partially offset by a reduction in credit risk. See Note 8 - Debt and Note 9 - Convertible Notes Derivative Liability to our consolidated financial statements.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4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Loss on early extinguishment of debt of $5.0 million for the year ended December 31, 2017 relates to the write-off of original issue discount and debt issuance costs of $4.4 million and a pre-payment fee of $0.6 million due to the early settlement of our Convertible Notes. Loss on early extinguishment of debt was $1.6 million for the year ended December 31, 2016 and related to the write-off of unamortized net debt discount and issuance costs, including a redemption premium of $0.6 million, related to our Second Lien Term Loan. See Note 8 - Debt to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 benefit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Income tax benefit from continuing operations totaled $34.5 million for the year ended December 31, 2017, compared to $4.2 million for the year ended December 31, 2016. The effective tax rate was negative 802.2% and negative 92.1%, including the impact of discrete items, for the years ended December 31, 2017 and 2016, respectively. The effective tax rate in 2017 was impacted by the reversal of valuation allowances, partially offset by the changes in estimated deferred tax assets resulting from the 2017 Tax Act. The effective tax rate in 2016 is different than the statutory rates primarily due to the impact from amortization of indefinite-lived intangible assets for tax purposes and the partial non-deductibility of certain per diem expenses and international and state minimum taxes. See Note 13 - Income Taxes to our consolidated financial statements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2016 compared to the Year Ended December 31,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Year Ended December 31,</w:t>
            </w:r>
          </w:p>
        </w:tc>
        <w:tc>
          <w:tcPr>
            <w:tcW w:w="146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4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(Dollars in thousands)</w:t>
            </w:r>
          </w:p>
        </w:tc>
        <w:tc>
          <w:tcPr>
            <w:tcW w:w="146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611,802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570,056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41,746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22,211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1,057.7 %</w:t>
            </w:r>
          </w:p>
        </w:tc>
      </w:tr>
      <w:tr>
        <w:trPr>
          <w:trHeight w:val="27"/>
        </w:trPr>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76.2 %</w:t>
            </w:r>
          </w:p>
        </w:tc>
      </w:tr>
      <w:tr>
        <w:trPr>
          <w:trHeight w:val="27"/>
        </w:trPr>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Less: Net income attributable to noncontrolling interest 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subsidiary</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3,549</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80.3 %</w:t>
            </w:r>
          </w:p>
        </w:tc>
      </w:tr>
      <w:tr>
        <w:trPr>
          <w:trHeight w:val="20"/>
        </w:trPr>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 from services increased $66.1 million, or 8.6%, to $833.5 million for the year ended December 31, 2016, as compared to $767.4 million for the year ended December 31, 2015. The increase was entirely from Nurse and Allied Staffing,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31" w:name="page32"/>
    <w:bookmarkEnd w:id="31"/>
    <w:p>
      <w:pPr>
        <w:ind w:right="280"/>
        <w:spacing w:after="0" w:line="277" w:lineRule="auto"/>
        <w:rPr>
          <w:sz w:val="20"/>
          <w:szCs w:val="20"/>
          <w:color w:val="auto"/>
        </w:rPr>
      </w:pPr>
      <w:r>
        <w:rPr>
          <w:rFonts w:ascii="Arial" w:cs="Arial" w:eastAsia="Arial" w:hAnsi="Arial"/>
          <w:sz w:val="18"/>
          <w:szCs w:val="18"/>
          <w:color w:val="auto"/>
        </w:rPr>
        <w:t>including the impact from the Mediscan acquisition, and partially offset by lower revenue from Physician Staffing and Other Human Capital Management Services, partly due to the divestiture of CCE. See further discussion in Segment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$41.7 million, or 7.3%, to $611.8 million for the year ended December 31, 2016, as compared to $570.1 million for year ended December 31, 2015. The increase was due to both higher volume of business driven by organic growth and the result of the Mediscan acquisition, as well as increases in certain costs such as compensation for healthcare professionals and related benefits. These increases were partly offset by the impact of the divestiture of CCE.</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a percentage of total revenue, direct operating expenses represented 73.4% of revenue for the year ended December 31, 2016, and 74.3% for the year ended December 31, 2015 primarily due to improved pricing.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Selling, general, and administrative expenses increased $18.5 million, or 11.5%, to $179.8 million for the year ended December 31, 2016, as compared to $161.3 million for the year ended December 31, 2015. The increase was primarily due to investments in our IT infrastructure, growth in revenue producing headcount such as recruiters and workforce solutions specialists, higher marketing costs for candidate attraction, and the impact of the acquisition of Mediscan. These were partially offset by a reduction in expenses related to the CCE divestiture. As a percentage of total revenue, selling, general, and administrative expenses were 21.5% and 21.0% for the year ended December 31, 2016 and December 31, 2015,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in the year ended December 31, 2016 increased to $9.2 million as compared to $8.1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as a result of the Mediscan acquisition. As a percentage of revenue, depreciation and amortization expense was 1.1%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1.0% for the year ended 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business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year ended December 31, 2015, we sold our education seminars business and recognized a pre-tax loss of $2.2 million related to the divestiture of the business. There were no such transactions during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Acquisition-related contingent consideration totaled $0.8 million for the year ended December 31, 2016, primarily related to the Mediscan acquisition. There were no such costs for the year ended December 31, 2015. See Note 3 - Acquisitions to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years ended December 31, 2016 and 2015, we incurred acquisition and integration costs of $0.1 million and $0.9 million, respectively. The 2016 costs related to the acquisition of USR, while the 2015 costs related to the acquisition of Mediscan. See Note 3 - Acquisitions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Restructuring costs include severance and lease consolidations as part of our specific cost savings initiatives. We recorded restructuring costs of $0.8 million for the year ended December 31, 2016, related to the centralization of corporate functions and optimizing our branch footprint. We recorded restructuring costs of $1.3 million for the year ended December 31, 2015, related to severance and office consolidations.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second quarter of 2016, we recorded non-cash impairment charges of $24.3 million relating to the Physician Staffing reporting unit. Based on its under-performance to plan through the six months ended June 30, 2016, we revised our growth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00" w:right="259" w:bottom="1440" w:gutter="0" w:footer="0" w:header="0"/>
        </w:sectPr>
      </w:pPr>
    </w:p>
    <w:bookmarkStart w:id="32" w:name="page33"/>
    <w:bookmarkEnd w:id="32"/>
    <w:p>
      <w:pPr>
        <w:spacing w:after="0" w:line="276" w:lineRule="auto"/>
        <w:rPr>
          <w:sz w:val="20"/>
          <w:szCs w:val="20"/>
          <w:color w:val="auto"/>
        </w:rPr>
      </w:pPr>
      <w:r>
        <w:rPr>
          <w:rFonts w:ascii="Arial" w:cs="Arial" w:eastAsia="Arial" w:hAnsi="Arial"/>
          <w:sz w:val="17"/>
          <w:szCs w:val="17"/>
          <w:color w:val="auto"/>
        </w:rPr>
        <w:t>assumptions for the Physician Staffing reporting unit which triggered our evaluation. In the fourth quarter of 2016, we determined that no additional impairment of goodwill or other intangible assets was warranted. In the fourth quarter of 2015, we conducted an assessment of our indefinite-lived intangible assets and recorded non-cash impairment charges of $2.1 million relating to the Physician Staffing trade names. We determined that based on our projected revenue stream, our estimated fair value was less than the carrying amount of the trade names. See Critical Accounting Principles and Estimates and Note 5 - Goodwill, Trade Names, and Other Intangible Assets to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expense totaled $6.1 million for the year ended December 31, 2016 and $6.8 million for the year ended December 31, 2015. We refinanced our debt structure late in the second quarter of 2016, which resulted in lower overall borrowing costs. The effective interest rate on our borrowings was 8.4% for the year ended December 31, 2016 compared to 10.1% in the year ended December 31, 2015. Our $25.0 million in Convertible Notes which bear an interest rate of 8.00% will become callable by us in July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liability</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Gain on derivative liability of $5.8 million and loss on derivative liability of $9.9 million for the years ended December 31, 2016 and December 31, 2015, respectively, relate to the change in the fair value of embedded features of our Convertible Notes from the end of the respective prior year. The gain and loss were primarily a result of a corresponding decrease and increase, respectively, in our share price in the respective periods. The Convertible Notes include terms that are considered to be embedded derivatives, including conversion and redemption features that primarily protect the investors' investment with us. Each reporting period we are required to fair value the embedded derivative with the changes being recorded as a component of other expense (income) on our consolidated statements of operations. See Note 9 - Convertible Notes Derivative Liability to our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Loss on early extinguishment of debt was $1.6 million for the year ended December 31, 2016 and related to the write-off of unamortized net debt discount and issuance costs, including a redemption premium of $0.6 million, related to our Second Lien Term Loan. See Note 8 - Debt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 benefit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benefit from continuing operations totaled $4.2 million for the year ended December 31, 2016, compared to $0.8 million for the year ended December 31, 2015. The effective tax rate was negative 92.1% and negative 19.1%, including the impact of discrete items, for the years ended December 31, 2016 and 2015, respectively. Excluding discrete items, our effective tax rate for these years was negative 89.8% and 41.1%,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800"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53"/>
        </w:trPr>
        <w:tc>
          <w:tcPr>
            <w:tcW w:w="9600" w:type="dxa"/>
            <w:vAlign w:val="bottom"/>
            <w:gridSpan w:val="8"/>
          </w:tcPr>
          <w:p>
            <w:pPr>
              <w:spacing w:after="0"/>
              <w:rPr>
                <w:sz w:val="20"/>
                <w:szCs w:val="20"/>
                <w:color w:val="auto"/>
              </w:rPr>
            </w:pPr>
            <w:r>
              <w:rPr>
                <w:rFonts w:ascii="Arial" w:cs="Arial" w:eastAsia="Arial" w:hAnsi="Arial"/>
                <w:sz w:val="18"/>
                <w:szCs w:val="18"/>
                <w:color w:val="auto"/>
                <w:w w:val="94"/>
              </w:rPr>
              <w:t>Information on operating segments and a reconciliation to income (loss) from operations for the periods indicated are as follows: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(amounts 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758,267</w:t>
            </w:r>
          </w:p>
        </w:tc>
        <w:tc>
          <w:tcPr>
            <w:tcW w:w="520" w:type="dxa"/>
            <w:vAlign w:val="bottom"/>
            <w:gridSpan w:val="2"/>
          </w:tcPr>
          <w:p>
            <w:pPr>
              <w:jc w:val="right"/>
              <w:ind w:right="21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721,486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621,258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115,336</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13,171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30,827</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865,048</w:t>
            </w:r>
          </w:p>
        </w:tc>
        <w:tc>
          <w:tcPr>
            <w:tcW w:w="520" w:type="dxa"/>
            <w:vAlign w:val="bottom"/>
            <w:tcBorders>
              <w:bottom w:val="single" w:sz="8" w:color="CCEEFF"/>
            </w:tcBorders>
            <w:gridSpan w:val="2"/>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833,537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767,421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Contribution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73,614</w:t>
            </w:r>
          </w:p>
        </w:tc>
        <w:tc>
          <w:tcPr>
            <w:tcW w:w="520" w:type="dxa"/>
            <w:vAlign w:val="bottom"/>
            <w:gridSpan w:val="2"/>
          </w:tcPr>
          <w:p>
            <w:pPr>
              <w:jc w:val="right"/>
              <w:ind w:right="21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71,992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55,718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10,213</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1,863</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67,794</w:t>
            </w:r>
          </w:p>
        </w:tc>
      </w:tr>
      <w:tr>
        <w:trPr>
          <w:trHeight w:val="297"/>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32,703</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10,174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8,066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902</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Restructuring costs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r>
      <w:tr>
        <w:trPr>
          <w:trHeight w:val="25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6,184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20,565</w:t>
            </w:r>
          </w:p>
        </w:tc>
      </w:tr>
      <w:tr>
        <w:trPr>
          <w:trHeight w:val="20"/>
        </w:trPr>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17 - Segment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Nurse and Allied Staffing statistical data: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FTEs</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7,397</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6,953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Average Nurse and Allied Staffing revenue per FTE per day</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Physician Staffing statistical data: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Days filled</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61,148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62,482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(1,334)</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Revenue per day filled</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1,549</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83"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Nurse and Allied Staffing statistical data: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FTEs</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6,953</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6,624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Average Nurse and Allied Staffing revenue per FTE per day</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70"/>
        </w:trPr>
        <w:tc>
          <w:tcPr>
            <w:tcW w:w="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Physician Staffing statistical data: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Days filled</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62,482</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77,601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(15,119)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Revenue per day filled</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1,549</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1,463</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33"/>
        </w:trPr>
        <w:tc>
          <w:tcPr>
            <w:tcW w:w="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Measurements under the Operating Metrics section of our Management's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Comparison - Year Ended December 31, 2017 compared to the Year Ended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 and Allied Staffing</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Revenue from the Nurse and Allied Staffing business segment increased $36.8 million, or 5.1% to $758.3 million for the year ended December 31, 2017, from $721.5 million for the year ended December 31, 2016. The year-over-year increase was entirely due the impact of the Advantage acquisition. Excluding the impact of the Advantage acquisition, revenue declined 1.3%, primarily due to the impact of higher average bill rates partly related to specific project revenue in the prior year and lower premium rate business in 2017, partially offset by growth in our education healthcare staffing operations.</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Contribution income from Nurse and Allied Staffing for the year ended December 31, 2017, increased $1.6 million or 2.3%, to $73.6 million from $72.0 million in year ended December 31, 2016. As a percentage of segment revenue, contribution income margin decreased to 9.7% for the year ended December 31, 2017 from 10.0% for the year ended December 31, 2016, primarily due to higher compensation packages for our field staff that were in place in the early part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average number of Nurse and Allied Staffing FTEs on contract during the year ended December 31, 2017 increased 6.4% over the year ended December 31, 2016, in part due to the impact of the acquisition of Advantage. Average Nurse and Allied Staffing revenue per FTE per day decreased approximately 1.1% in the year ended December 31, 2017 compared to the year ended December 31, 2016, primarily due to less premium rate business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from Physician Staffing decreased $4.7 million, or 4.8% to $93.6 million for the year ended December 31, 2017, compared to $98.3 million for the year ended December 31, 2016, primarily due to a decrease in volume of days filled.</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Contribution income from Physician Staffing for the year ended December 31, 2017, decreased $3.0 million or 36.4% to $5.3 million compared to $8.3 million in the year ended December 31, 2016. As a percentage of segment revenue, contribution income was 5.6% for the year ended December 31, 2017 and 8.4% for the year ended December 31, 2016. The margins were negatively impacted from continued investments in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Physician Staffing days filled decreased 2.1% to 61,148 in the year ended December 31, 2017, compared to 62,482 in the year ended December 31, 2016, primarily due to a decline in physician specialties, partly offset by an increase in advanced practices. Part of the volume decline in physician specialties is due to a reduction in orders from government customers. Revenue per day filled was $1,549 for the years ended December 31, 2017 and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Revenue from OHCMS for the year ended December 31, 2017, decreased $0.6 million, or 4.3%, to $13.2 million from $13.8 million in the year ended December 31, 2016, primarily due to a decrease in executive searches and placements, partially offset by higher physician searches.</w:t>
      </w:r>
    </w:p>
    <w:p>
      <w:pPr>
        <w:sectPr>
          <w:pgSz w:w="11900" w:h="16838" w:orient="portrait"/>
          <w:cols w:equalWidth="0" w:num="1">
            <w:col w:w="11420"/>
          </w:cols>
          <w:pgMar w:left="240" w:top="97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977" w:right="239" w:bottom="1440" w:gutter="0" w:footer="0" w:header="0"/>
          <w:type w:val="continuous"/>
        </w:sectPr>
      </w:pPr>
    </w:p>
    <w:bookmarkStart w:id="35" w:name="page36"/>
    <w:bookmarkEnd w:id="35"/>
    <w:p>
      <w:pPr>
        <w:ind w:right="240"/>
        <w:spacing w:after="0" w:line="277" w:lineRule="auto"/>
        <w:rPr>
          <w:sz w:val="20"/>
          <w:szCs w:val="20"/>
          <w:color w:val="auto"/>
        </w:rPr>
      </w:pPr>
      <w:r>
        <w:rPr>
          <w:rFonts w:ascii="Arial" w:cs="Arial" w:eastAsia="Arial" w:hAnsi="Arial"/>
          <w:sz w:val="18"/>
          <w:szCs w:val="18"/>
          <w:color w:val="auto"/>
        </w:rPr>
        <w:t>Contribution loss from OHCMS for the year ended December 31, 2017, decreased by $0.1 million, or 33.3%, to $0.4 million, compared to $0.5 million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$39.2 million for the year ended December 31, 2017, compared to $38.4 million for the year ended December 31, 2016, primarily due to an increase in compensation and benefits. As a percentage of consolidated revenue, unallocated corporate overhead was 4.5% for the year ended December 31, 2017, and 4.6% for the year ended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Comparison - Year Ended December 31, 2016 compared to the Year Ended December 31,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 and Allied Staffing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Nurse and Allied Staffing business segment increased $100.2 million, or 16.1%, to $721.5 million for the year ended December 31, 2016, from $621.3 million for the year ended December 31, 2015. The year-over-year increase was primarily due to a combination of improved pricing and the impact of the Mediscan acquisition.</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Contribution income from Nurse and Allied Staffing for the year ended December 31, 2016, increased $16.3 million or 29.2%, to $72.0 million from $55.7 million in year ended December 31, 2015. As a percentage of segment revenue, contribution income margin increased to 10.0% for the year ended December 31, 2016 from 9.0% for the year ended December 31, 2015, reflecting improvements in bill/pay spread partially offset by an increase in our compensation packages.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average number of Nurse and Allied Staffing FTEs on contract during the year ended December 31, 2016 increased 5.0% over the year ended December 31, 2015, primarily due to increased demand and the impact of the Mediscan acquisition. Average Nurse and Allied Staffing revenue per FTE per day increased approximately 10.5% in the year ended December 31, 2016 compared to the year ended December 31, 2015, primarily due to improved pricing.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Revenue from Physician Staffing decreased $17.1 million, or 14.8% to $98.3 million for the year ended December 31, 2016, compared to $115.3 million for the year ended December 31, 2015. The decrease in revenue was due to lower volume of days filled during the period, and was partially offset by favorable pricing.</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Contribution income from Physician Staffing for the year ended December 31, 2016, decreased $1.9 million or 19.1% to $8.3 million compared to $10.2 million in the year ended December 31, 2015. As a percentage of segment revenue, contribution income was 8.4% for the year ended December 31, 2016 and 8.9% for the year ended December 31, 2015. The margin decline was primarily due to lower gross profit and reduced operating leverage on the lower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39"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Physician Staffing days filled decreased 19.5% to 62,482 in the year ended December 31, 2016, compared to 77,601 in the year ended December 31, 2015. Revenue per day filled for the year ended December 31, 2016 was $1,549, a 5.9% increase from the year ended December 31, 2015, reflecting higher average prices. The primary decline in days filled was due to lower demand from our customers and partly due to the loss of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from OHCMS for the year ended December 31, 2016, decreased $17.1 million, or 55.3%, to $13.8 million from $30.8 million in the year ended December 31, 2015, as a result of the divestiture of our education seminars business in the third quarter of 2015. In addition, revenue from our physician and executive search business decreased 15.2% on a lower level of retained and executive searches.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6" w:name="page37"/>
    <w:bookmarkEnd w:id="36"/>
    <w:p>
      <w:pPr>
        <w:ind w:right="20"/>
        <w:spacing w:after="0" w:line="279" w:lineRule="auto"/>
        <w:rPr>
          <w:sz w:val="20"/>
          <w:szCs w:val="20"/>
          <w:color w:val="auto"/>
        </w:rPr>
      </w:pPr>
      <w:r>
        <w:rPr>
          <w:rFonts w:ascii="Arial" w:cs="Arial" w:eastAsia="Arial" w:hAnsi="Arial"/>
          <w:sz w:val="17"/>
          <w:szCs w:val="17"/>
          <w:color w:val="auto"/>
        </w:rPr>
        <w:t>Contribution income from OHCMS for the year ended December 31, 2016, decreased by $2.4 million, or 128.7%, to a loss of $0.5 million, compared to income of $1.9 million in the year ended December 31, 2015. The decrease in contribution income was primarily due to the revenue decrease in our physician and executive search business resulting in lower operating leverage for the business. Contribution income as a percentage of segment revenue decreased to a negative 3.9% for the year ended December 31, 2016 from a positive 6.0% for the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$38.4 million for the year ended December 31, 2016, compared to $32.7 million for the year ended December 31, 2015. The increase is primarily due to higher compensation and benefits and professional expenses as we have been centralizing administrative functions. In addition, we made investments in company-wide projects and IT infrastructure. As a percentage of consolidated revenue, unallocated corporate overhead was 4.6% for the year ended December 31, 2016, and 4.3%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Related Party Transactions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At December 31, 2017, we had $25.5 million in cash and cash equivalents, and $100.0 million of Term Loan outstanding. Working capital increased by $5.8 million to $114.3 million as of December 31, 2017, compared to $108.5 million as of December 31, 2016. Our net days' sales outstanding (DSO), which excludes amounts owed to subcontractors, increased 3 days to 58 days as of December 31, 2017, compared to 55 days as of December 31, 2016.</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Amended and Restated Credit Agreement. See debt discussion which follows. In 2018, we are planning to launch a new initiative to replace our legacy system which supports the travel nurse staffing operations. The total cost of the initiative is expected to be approximately $10 million to $12 million through 2019, with approximately $5 million to $6 million being incurred in 2018. We expect the majority of the costs for the initiative to be capitalized. Operating cash flows and cash on hand, along with amounts available under our revolving credit facility, should be sufficient to meet these needs during the next twelve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Comparisons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Net cash provided by operating activities during the year ended December 31, 2017 was $45.5 million compared to $30.1 million during the year ended December 31, 2016, primarily due to higher collections partly offset by the timing of payments for the year ended December 31, 2017.</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Investing activities used a net of $91.4 million in the year ended December 31, 2017 compared to $9.8 million in the year ended December 31, 2016. Net cash used in the year ended December 31, 2017 was for the Advantage acquisition and for capital expenditures, of which $2.9 million was reimbursed from our landlord for tenant improvements and is reflected in operating activities. Net cash used in investing activities in the year ended December 31, 2016 included $6.5 million for capital expenditures, $1.9 million for the acquisition of USR, and $1.9 million of other acquisition-related settlements, which was partially offset by the receipt of $0.5 million related to proceeds from the sale of CCE. See Note 3 - Acquisitions and Note 4 - Disposal to our consolidated financial statements.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provided by financing activities during the year ended December 31, 2017 was $50.8 million, compared to $2.2 million net cash used during the year ended December 31, 2016. During the year ended December 31, 2017, in the first quarter, we paid off our Convertible Notes with a partial cash payment of $5.0 million and extinguishment fees of $0.6 million. We also funded the acquisition of Advantage using our Senior Credit Facility and subsequently refinanced, resulting in net borrowings of $68.5 million on the Senior Credit Facility ($62.0 million in Term Loans and $6.5 million on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7" w:name="page38"/>
    <w:bookmarkEnd w:id="37"/>
    <w:p>
      <w:pPr>
        <w:ind w:right="80"/>
        <w:spacing w:after="0" w:line="272" w:lineRule="auto"/>
        <w:rPr>
          <w:sz w:val="20"/>
          <w:szCs w:val="20"/>
          <w:color w:val="auto"/>
        </w:rPr>
      </w:pPr>
      <w:r>
        <w:rPr>
          <w:rFonts w:ascii="Arial" w:cs="Arial" w:eastAsia="Arial" w:hAnsi="Arial"/>
          <w:sz w:val="17"/>
          <w:szCs w:val="17"/>
          <w:color w:val="auto"/>
        </w:rPr>
        <w:t>Revolving Credit Facility which was subsequently repaid) and debt issuance costs of $0.9 million. In addition, we used cash to repay $1.5 million on our Term Loan, pay $1.8 million for shares withheld for taxes, $1.2 million for noncontrolling shareholder payments, and $0.3 million of contingent consideration. During the year ended December 31, 2016, we entered into the 2016 Senior Credit Facility which provided us with $40.0 million of borrowings under the Term Loan Facility. Part of the proceeds from the borrowings were used to prepay our $30.0 million Second Lien Term Loan including a prepayment penalty of $0.6 million and $1.2 million of debt issuance costs. During the year ended December 31, 2016, we also repaid a net of $8.0 million on our senior secured asset-based credit facility and $0.5 million on our term loan facility, and used cash to pay $0.9 million for shares withheld for taxes, $0.7 million for noncontrolling shareholder payments, and $0.2 million of contingent consideration.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Compared to Year Ended December 31, 2015</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Net cash provided by operating activities during the year ended December 31, 2016 was $30.1 million compared to $18.2 million during the year ended December 31, 2015, primarily due to higher revenue from services coupled with a 2 day improvement in net DSO for the year ended December 31, 2016.</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Investing activities used a net of $9.8 million in the year ended December 31, 2016 compared to $24.1 million in the year ended December 31, 2015. Net cash used in investing activities in the year ended December 31, 2016 included $6.5 million for capital expenditures in 2016 (of which $1.3 million has been reimbursed from our landlord for tenant improvements and is reflected in operating activities), and $2.4 million for capital expenditures in 2015. During the year ended December 31, 2016, we used $1.9 million for the acquisition of USR, and $1.9 million of acquisition-related settlements, which was partially offset by the receipt of $0.5 million related to proceeds from the sale of CCE. See Note 4 - Disposals to our consolidated financial statements. This compares to a use of $28.7 million for the Mediscan acquisition and $0.1 million of acquisition-related settlements related to MSN, partially offset by proceeds from the sale of our education seminars business of $7.2 million, net of related costs for the year ended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during the year ended December 31, 2016 was $2.2 million, compared to net cash provided by financing activities of</w:t>
      </w:r>
    </w:p>
    <w:p>
      <w:pPr>
        <w:spacing w:after="0" w:line="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$3.4 million during the year ended December 31, 2015. During the year ended December 31, 2016, we used a total of $1.8 million for debt issuance costs and extinguishment fees related to refinancing our debt and we increased the principal amount of our debt by $1.4 million. See Note 8 - Debt to our consolidated financial statements. During 2016, we also paid $0.2 million for contingent consideration related to the Mediscan acquisition. During the year ended December 31, 2015, we increased the principal amount of our debt by $4.5 million primarily to fund the acquisition of Mediscan, including acquisition-related expenses. In addition, we used cash to pay $0.9 million and $0.5 million for shares withheld for taxes, and $0.7 million and $0.5 million for noncontrolling shareholder payments, for the years ended December 31, 2016 and 2015,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more fully described in Note 8 - Debt to our consolidated financial statements, on June 22, 2016, we entered into a senior credit agreement (2016 Credit Agreement), which provided a term loan of $40.0 million (Term Loan) and a revolving credit facility of up to $100.0 million (Revolving Credit Facility) (together with the Term Loan, the 2016 Senior Credit Facilities) both of which would have matured in five years.</w:t>
      </w:r>
    </w:p>
    <w:p>
      <w:pPr>
        <w:spacing w:after="0" w:line="16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Effective July 1, 2017, we completed the acquisition of substantially all of the assets of Advantage, for cash consideration of $86.6 million, net of cash acquired, using available cash and $66.9 million in borrowings under the 2016 Credit Facility, including a $40.0 million Incremental Term Loan.</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Effective July 1, 2017, we entered into a Second Amendment to our 2016 Credit Agreement to permit the acquisition of Advantage. Also in connection with the acquisition of Advantage, pursuant to the 2016 Credit Agreement, we entered into an Incremental Term Loan Agreement which provided us with an incremental term loan of $40.0 million to pay for part of the consideration of the acquisition.</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August 1, 2017, we entered into an Amendment and Restatement to our Credit Agreement (Amended and Restated Credit Agreement) to refinance and increase the current aggregate committed size of the facility to $215.0 million, including a term loan of $100.0 million (Amended Term Loan) and a $115.0 million revolving credit facility (Amended Revolving Credit Facility) (together with the Amended Term Loan, the Amended Credit Facilities). The proceeds of $106.5 million from this refinancing included $6.5 million under the new revolving credit facility, and were used to repay borrowings under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00" w:right="259" w:bottom="1440" w:gutter="0" w:footer="0" w:header="0"/>
        </w:sectPr>
      </w:pPr>
    </w:p>
    <w:bookmarkStart w:id="38" w:name="page39"/>
    <w:bookmarkEnd w:id="38"/>
    <w:p>
      <w:pPr>
        <w:ind w:right="200"/>
        <w:spacing w:after="0" w:line="259" w:lineRule="auto"/>
        <w:rPr>
          <w:sz w:val="20"/>
          <w:szCs w:val="20"/>
          <w:color w:val="auto"/>
        </w:rPr>
      </w:pPr>
      <w:r>
        <w:rPr>
          <w:rFonts w:ascii="Arial" w:cs="Arial" w:eastAsia="Arial" w:hAnsi="Arial"/>
          <w:sz w:val="18"/>
          <w:szCs w:val="18"/>
          <w:color w:val="auto"/>
        </w:rPr>
        <w:t>previously existing credit facilities, as well as to pay related interest, fees and expenses. As of December 31, 2017 the Applicable Margin is 2.25% for Eurodollar Loans and LIBOR Index Rate Loans and 1.25% for Base Rate Loans. As of December 31, 2017, we had a $100.0 million Amended Term Loan and $21.6 million in letters of credit outstanding, leaving $93.4 million available under the Amended Revolving Credit Facility. We believe this provides us with the ability to continue to execute our strategy to grow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17, 2017, we paid in full our fixed rate 8% Convertible Notes. The Convertible Notes, had an aggregate principal amount of $25.0 million, and were convertible into shares of our Common Stock, at a conversion price of $7.10 per share. As a result of the early repayment, we recognized $5.0 million as loss on early extinguishment of debt.</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inception of the notes, and at the time of the payoff, the conversion price of $7.10 was below the market price. The initial agreement allowed us to force conversion of the Notes only after three years, beginning July 1, 2017, and if the VWAP exceeded 125% of the Conversion Price for 20 days of a 30 day trading period (the threshold was $8.88, which we were well above). As such, we and the Noteholders agreed to an early settlement at fair value based on the stock price. In connection with the repayment, we issued to the Noteholders an aggregate of 3,175,584 shares of Common Stock and cash in the aggregate amount of $5.6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14 - Stockholders' Equity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116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8"/>
          </w:tcPr>
          <w:p>
            <w:pPr>
              <w:ind w:left="10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32,741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900" w:right="60" w:hanging="325"/>
        <w:spacing w:after="0" w:line="28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our Amended Term Loan, we are required to comply with certain financial covenants. Our inability to comply with the required covenants or other provisions could result in default under our amended credit facilities. In the event of any such default and our inability to obtain a waiver of the default, all amounts outstanding under the Amended Credit Facilities could be declared immediately due and payable. As of December 31, 2017, we are in compliance with the financial covenants and other covenants contained in the Credit Agreement.</w:t>
      </w:r>
    </w:p>
    <w:p>
      <w:pPr>
        <w:spacing w:after="0" w:line="2" w:lineRule="exact"/>
        <w:rPr>
          <w:rFonts w:ascii="Arial" w:cs="Arial" w:eastAsia="Arial" w:hAnsi="Arial"/>
          <w:sz w:val="16"/>
          <w:szCs w:val="16"/>
          <w:color w:val="auto"/>
        </w:rPr>
      </w:pPr>
    </w:p>
    <w:p>
      <w:pPr>
        <w:ind w:left="900" w:right="300" w:hanging="325"/>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December 31, 2017 applicable LIBOR and margin rate totaling 3.6%.</w:t>
      </w:r>
    </w:p>
    <w:p>
      <w:pPr>
        <w:ind w:left="900" w:right="40" w:hanging="325"/>
        <w:spacing w:after="0" w:line="265"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contingent consideration represents the estimated payments due to the sellers related to the Mediscan and USR acquisitions, including accretion. In the third quarter of 2017, we determined that one of the contingent consideration earnouts related to the Mediscan acquisition would not be achieved for 2017 and, as a result, the entire earnout liability was reversed. See Note 3 - Acquisitions to our consolidated financial statements. While it is not certain if, or when, the remaining contingent payments will be made, we have included the payments in the table based on our best estimates of the amounts and dates when the contingencies may be resolved.</w:t>
      </w:r>
    </w:p>
    <w:p>
      <w:pPr>
        <w:spacing w:after="0" w:line="1"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12 - Commitments and Contingencies to our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9" w:name="page40"/>
    <w:bookmarkEnd w:id="39"/>
    <w:p>
      <w:pPr>
        <w:ind w:right="120"/>
        <w:spacing w:after="0" w:line="264" w:lineRule="auto"/>
        <w:rPr>
          <w:sz w:val="20"/>
          <w:szCs w:val="20"/>
          <w:color w:val="auto"/>
        </w:rPr>
      </w:pPr>
      <w:r>
        <w:rPr>
          <w:rFonts w:ascii="Arial" w:cs="Arial" w:eastAsia="Arial" w:hAnsi="Arial"/>
          <w:sz w:val="18"/>
          <w:szCs w:val="18"/>
          <w:color w:val="auto"/>
        </w:rPr>
        <w:t xml:space="preserve">In addition to the above disclosed contractual obligations, we have accrued uncertain tax positions, pursuant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of $3.8 million at December 31, 2017. Based on the uncertainties associated with the settlement of these items, we are unable to make reasonably reliable estimates of the period of potential settlements, if any, with the taxing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2017, contained herein. These estimates are based on information that is currently available to us and on various assumptions that we believe to be reasonable under the circumstances. Actual results could vary from those estimates under different assumptions or conditions.</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believe that the following critical accounting policies affect the more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For intangible assets purchased in a business combination, the estimated fair values of the assets received are used to establish their recorded values.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w:t>
      </w:r>
    </w:p>
    <w:p>
      <w:pPr>
        <w:spacing w:after="0" w:line="19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Impairment Charges</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October 1, 2017, we performed our annual quantitative impairment test of goodwill, trade names, and other indefinite-lived intangible assets. Upon completion of the impairment testing, we determined that the estimated fair value of the Physician Staffing reporting unit’s trade name was less than its carrying amount resulting in impairment. For our goodwill impairment testing, with the exception of the Physician Staffing reporting unit, the estimated fair value of our Nurse and Allied and OHCMS reporting units exceeded their respective carrying values. The fair value of the Nurse and Allied Staffing reporting unit substantially exceeded its carrying amount. For the OHCMS reporting unit, there was less than 20% of excess fair value over its carrying amount leaving it at risk of impairment in future periods if forecasted results are not achieved.</w:t>
      </w:r>
    </w:p>
    <w:p>
      <w:pPr>
        <w:spacing w:after="0" w:line="178" w:lineRule="exact"/>
        <w:rPr>
          <w:sz w:val="20"/>
          <w:szCs w:val="20"/>
          <w:color w:val="auto"/>
        </w:rPr>
      </w:pPr>
    </w:p>
    <w:p>
      <w:pPr>
        <w:ind w:right="2420"/>
        <w:spacing w:after="0" w:line="291" w:lineRule="auto"/>
        <w:rPr>
          <w:sz w:val="20"/>
          <w:szCs w:val="20"/>
          <w:color w:val="auto"/>
        </w:rPr>
      </w:pPr>
      <w:r>
        <w:rPr>
          <w:rFonts w:ascii="Arial" w:cs="Arial" w:eastAsia="Arial" w:hAnsi="Arial"/>
          <w:sz w:val="16"/>
          <w:szCs w:val="16"/>
          <w:color w:val="auto"/>
        </w:rPr>
        <w:t>Projections of revenue, operating costs, and expected cash flows of each reporting unit are inputs into the quantitative testing for goodwill and intangible assets. We reduced our long-term revenue forecast for the Physician Staffing business</w:t>
      </w:r>
    </w:p>
    <w:p>
      <w:pPr>
        <w:ind w:right="2260"/>
        <w:spacing w:after="0" w:line="254" w:lineRule="auto"/>
        <w:rPr>
          <w:sz w:val="20"/>
          <w:szCs w:val="20"/>
          <w:color w:val="auto"/>
        </w:rPr>
      </w:pPr>
      <w:r>
        <w:rPr>
          <w:rFonts w:ascii="Arial" w:cs="Arial" w:eastAsia="Arial" w:hAnsi="Arial"/>
          <w:sz w:val="18"/>
          <w:szCs w:val="18"/>
          <w:color w:val="auto"/>
        </w:rPr>
        <w:t>segment in the fourth quarter. The lower than expected revenue was driven by lower booking volumes, partly due to the loss of customers. In addition, margins of the reporting unit were negatively impacted from continued investments in the business. As a result, we recorded non-cash impairment charges of $8.7 million related to our trade names and $5.7 million related to goodwill during the fourth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Impairment Charges</w:t>
      </w:r>
    </w:p>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performed our annual impairment test as of October 1, 2016. Upon completion of the impairment testing, we determined that no impairment of goodwill, trade names, or other intangible assets was warranted.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40" w:name="page41"/>
    <w:bookmarkEnd w:id="40"/>
    <w:p>
      <w:pPr>
        <w:ind w:right="20"/>
        <w:spacing w:after="0" w:line="297" w:lineRule="auto"/>
        <w:rPr>
          <w:sz w:val="20"/>
          <w:szCs w:val="20"/>
          <w:color w:val="auto"/>
        </w:rPr>
      </w:pPr>
      <w:r>
        <w:rPr>
          <w:rFonts w:ascii="Arial" w:cs="Arial" w:eastAsia="Arial" w:hAnsi="Arial"/>
          <w:sz w:val="16"/>
          <w:szCs w:val="16"/>
          <w:color w:val="auto"/>
        </w:rPr>
        <w:t>During an evaluation of goodwill, trade names, and other intangible assets at June 30, 2016, we determined that indicators were present in the Physician Staffing reporting unit which would suggest the fair value of the reporting unit may have declined below its carrying value. As a result, an interim impairment test of goodwill, trade names, and other intangible assets was performed as of June 30, 2016. The evaluation resulted in the carrying value of goodwill, trade names, and other intangible assets for Physician Staffing to exceed the estimated fair value. As a result, we recorded a non-cash impairment charge totaling $24.3 million: $17.7 million related to goodwill, $0.6 million related to trade names, and $6.0 million related to customer relationships.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Impairment Charges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fourth quarter of 2015, we determined that no goodwill impairment charges were warranted since the estimated fair value of our reporting units exceeded their respective carrying values. As of December 31, 2015, the fair value of our Physician Staffing reporting unit exceeded its carrying value by less than 20%. The rest of our reporting units had fair values that were substantially in excess of their carrying values.</w:t>
      </w:r>
    </w:p>
    <w:p>
      <w:pPr>
        <w:spacing w:after="0" w:line="1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fourth quarter of 2015, in conjunction with our annual testing of indefinite-lived intangible assets not subject to amortization, we recorded a non-cash impairment charge of approximately $2.1 million related to Physician Staffing trade names. We reduced our long-term revenue forecast in the fourth quarter for this business and, as a result, our calculation of estimated fair value was less than the carrying amount of the trade names, resulting in a non-cash impairment charge. See Note 5 - Goodwill, Trade Names, and Other Intangible Assets to our consolidated financial statements.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There can be no assurance that the estimates and assumptions made for purposes of the annual goodwill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and Uncertainties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calculation of fair value used in these impairment assessments included a number of estimates and assumptions that required significant judgments, including projections of future income and cash flows, the identification of appropriate market multiples and the choice of an appropriate discount rate. See Note 10 - Fair Value Measurements. Changes in these assumptions could materially affect the determination of fair value for each reporting unit. Specifically, further deterioration of demand for our services, further deterioration of labor market conditions, reduction of our stock price for an extended period, or other factors as described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may affect our determination of fair value of each reporting unit. This evaluation can also be triggered by various indicators of impairment which could cause the estimated discounted cash flows to be less than the carrying amount of net assets. If we are required to record an impairment charge in the future, it could have an adverse impact on our results of operations. Under the current credit agreement an impairment charge will not have an impact on our liquidity. As of December 31, 2017, we had total goodwill and intangible assets not subject to amortization of $144.3 million or 30.9% of our total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workers' compensation, and professional liability expense</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adjust accruals as appropriate. Healthcare insurance accruals have fluctuated with increases or decreases in the average number of temporary healthcare professionals on assignment as well as actual company experience and increases in national healthcare costs. As of December 31, 2017 and 2016, we had $5.1 million and $4.1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2017, and 2016, we had $11.4 million and $11.0 million accrued for case reserves and for incurred but not reported workers’ compensation claims, net of insurance receivables, respectively. The accrual for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1" w:name="page42"/>
    <w:bookmarkEnd w:id="41"/>
    <w:p>
      <w:pPr>
        <w:ind w:right="200"/>
        <w:spacing w:after="0" w:line="312" w:lineRule="auto"/>
        <w:rPr>
          <w:sz w:val="20"/>
          <w:szCs w:val="20"/>
          <w:color w:val="auto"/>
        </w:rPr>
      </w:pPr>
      <w:r>
        <w:rPr>
          <w:rFonts w:ascii="Arial" w:cs="Arial" w:eastAsia="Arial" w:hAnsi="Arial"/>
          <w:sz w:val="16"/>
          <w:szCs w:val="16"/>
          <w:color w:val="auto"/>
        </w:rPr>
        <w:t>workers’ compensation is based on an actuarial model which is prepared or reviewed by an independent actuary semi-annually. As of December 31, 2017, and 2016, we had $6.4 million and $6.6 million accrued, respectively, for case reserves and for incurred but not reported professional liability claims, net of insurance receivables. The accrual for professional liability is based on actuarial models which are prepared by an independent actuary semi-annually.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Revenue from services consists primarily of temporary staffing revenue. Revenue is recognized when services are rendered and all of the following criteria are met: persuasive evidence of the arrangement exists; service has been provided; and we have no remaining obligations; the fee is fixed and determinable; and collectability is reasonably assured. Accounts receivable includes an accrual for employees’ and independent contractors’ estimated time worked but not yet invoiced. We maintain a sales allowance for estimated future billing adjustments resulting from client concessions or resolutions of billing disputes.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record revenue on a gross basis as a principal or on a net basis as an agent depending on the arrangement, as follows:</w:t>
      </w:r>
    </w:p>
    <w:p>
      <w:pPr>
        <w:spacing w:after="0" w:line="144" w:lineRule="exact"/>
        <w:rPr>
          <w:sz w:val="20"/>
          <w:szCs w:val="20"/>
          <w:color w:val="auto"/>
        </w:rPr>
      </w:pPr>
    </w:p>
    <w:p>
      <w:pPr>
        <w:ind w:left="660" w:right="22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also entered into certain contracts with acute care facilities to provide comprehensive MSP solutions. Under these contract arrangements, we use our nurses primarily, along with those of third 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from our Physician Staffing business is recognized on a gross basis as we believe we are the principal in the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write-off specific accounts based on an ongoing review of collectability as well as our past experience with the customer. In addition, we maintain a sales allowance for customer disputes which may arise in the ordinary course, which is recorded as contra-revenue. Historically, losses on uncollectible accounts and sales allowances have not exceeded our allowances. As of December 31, 2017, our total allowances were $3.7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subject to various claims and legal actions in the ordinary course of our business. Some of these matters include professional liability and employee-related matters. Our healthcare facility clients may also become subject to claims, governmental inquiries and investigations, and legal actions to which we may become a party relating to services provided by our professionals. From time to time, and depending upon the particular facts and circumstances, we may be subject to indemnification obligations under our contracts with our healthcare facility clients relating to these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account for income taxes 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 As of December 31, 2017, we have deferred tax assets related to certain federal, state, and foreign net operating loss carryforwards of $18.2 million. The carryforwards will expire as follows: federal between 2032 and 2037, state between 2018 and 2037, and foreign between 2019 and 2022.</w:t>
      </w:r>
    </w:p>
    <w:p>
      <w:pPr>
        <w:spacing w:after="0" w:line="19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As of December 31, 2017 and 2016, we had valuation allowances on our deferred tax assets of $1.1 million and $46.5 million, respectively. For the year ended December 31, 2017, we reduced the valuation allowance recorded by $45.4 million (comprised of $15.7 million related to U.S. net operating losses, $4.4 million related to state net operating losses, and $25.3 million related to other net deferred tax assets) predominantly on the basis of management’s reassessment of deferred tax assets that are more likely than not to be realized. The valuation allowance on a portion of state net operating losses not more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2" w:name="page43"/>
    <w:bookmarkEnd w:id="42"/>
    <w:p>
      <w:pPr>
        <w:ind w:right="100"/>
        <w:spacing w:after="0" w:line="277" w:lineRule="auto"/>
        <w:rPr>
          <w:sz w:val="20"/>
          <w:szCs w:val="20"/>
          <w:color w:val="auto"/>
        </w:rPr>
      </w:pPr>
      <w:r>
        <w:rPr>
          <w:rFonts w:ascii="Arial" w:cs="Arial" w:eastAsia="Arial" w:hAnsi="Arial"/>
          <w:sz w:val="18"/>
          <w:szCs w:val="18"/>
          <w:color w:val="auto"/>
        </w:rPr>
        <w:t>likely than not realizable was not released due to the respective expiration periods and specific state taxable income projections. See Note 13 - Income Taxes to our consolidated financial statements.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each reporting date, management considers new evidence, both positive and negative, that could impact its position relative to the future realization of deferred tax assets. As of December 31, 2017, management determined that there was sufficient positive evidence to conclude that it was more likely than not that our net deferred tax assets are realizable. We therefore reduced the valuation allowance accordingly.</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arriving at our conclusion to release the valuation allowance, we considered several positive and negative factors. For the twelve quarters ended December 31, 2017, we had $27.7 million in cumulative pre-tax income adjusted for permanent items. We have a history of utilizing net operating losses prior to expiration. Further, the five-year forecast of pre-tax book income is expected to exceed future tax deductions. Our growth estimates are tied to the growing demand for healthcare solutions for our customers, including a growing aging U.S. population, and our customers’ pressure to keep costs down by using our staffing solutions. With regard to negative evidence, we do not have any material taxable temporary differences to offset deductible temporary differences and do not have any net operating losses available for carryback. Additionally, we are not considering and are not aware of any tax planning strategies that would impact the valuation allowance analysis. As such, the primary focus of our analysis emphasized the positive evidence of our three-year cumulative pre-tax income position adjusted for permanent items and projections of future taxable income that outweighed any negative evidence available.</w:t>
      </w:r>
    </w:p>
    <w:p>
      <w:pPr>
        <w:spacing w:after="0" w:line="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December 22, 2017, the 2017 Tax Act was signed into legislation which, among other changes, reduced the Corporate federal income tax rate from 35% to 21%, effective for our year ended December 31, 2018. Because a change in tax law is accounted for in the period of enactment, we have recorded income tax expense of $8.0 million, primarily due to a re-measurement of deferred tax assets and liabilities. The impact of the Global Intangible Low-Taxed Income provision, the transition tax on the deemed repatriation of deferred foreign income, and any future tax impact associated with basis differences on foreign subsidiaries is expected to be immaterial. The 2017 Tax Act is a comprehensive bill containing other provisions, such as limitations on the deductibility of interest expense and certain executive compensation, that are not expected to materially affect us.</w:t>
      </w:r>
    </w:p>
    <w:p>
      <w:pPr>
        <w:spacing w:after="0" w:line="9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Securities and Exchange Commission (SEC) staff issued Staff Accounting Bulletin No. 118 (SAB 118), which provides guidance on accounting for the tax effects of the 2017 Tax Act. SAB 118 provides a measurement period that should not extend beyond one year from the enactment date for companies to complete the accounting required under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In accordance with SAB 118, a company must reflect the income tax effects of those aspects of the 2017 Tax Act for which the accounting under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is complete. To the extent that a company's accounting for certain income tax effects is incomplete but it is able to determine a reasonable estimate, it must record a provisional estimate in its financial statements. If a company cannot determine a provisional estimate to be included in its financial statements, it should continue to apply the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w:t>
      </w:r>
      <w:r>
        <w:rPr>
          <w:rFonts w:ascii="Arial" w:cs="Arial" w:eastAsia="Arial" w:hAnsi="Arial"/>
          <w:sz w:val="17"/>
          <w:szCs w:val="17"/>
          <w:color w:val="auto"/>
        </w:rPr>
        <w:t>Topic of the FASB ASC on the basis of the provisions of the tax laws that were in effect immediately before the enactment. The ultimate impact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Tax Act in our financial statements is provisional with regard to certain foreign tax provisions and may differ from our estimates due to changes in the interpretations and assumptions made by us as well as additional regulatory guidance that may be issued. See Note 13 - Income Taxes to our consolidated financial statements.</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Accruals for unrecognized tax benefits are provided for 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An unrecognized tax benefit represents the difference between the recognition of benefits related to exposure items for income tax reporting purposes and financial reporting purposes. The current portion of the unrecognized tax benefit is classified as a component of other current liabilities, and the non-current portion is included within other long-term liabilities on the consolidated balance sheets. As of December 31, 2017, total unrecognized tax benefits recorded was $3.8 million. We reserve for interest and penalties on exposure items, if applicable, which is recorded as a component of the overall income tax provision.</w:t>
      </w:r>
    </w:p>
    <w:p>
      <w:pPr>
        <w:spacing w:after="0" w:line="19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9 - Convertible Notes Derivative Liability to our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0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number of healthcare professionals on assignment with us is subject to moderate seasonal fluctuations which may impact our quarterly revenue and earnings. Hospital patient census and staffing needs of our hospital and healthcare facilities fluctuate, which impact our number of orders for a particular period. Many of our hospital and healthcare facility clients are located in areas that experience seasonal fluctuations in population during the winter and summer months. These facilities adjust their staffing levels to accommodate the change in this seasonal demand and many of these facilities utilize temporary healthcare professionals to satisfy these seasonal staffing needs. Likewise, the number of nurse and allied professionals on assignment may fluctuate due to the seasonal preferences for destinations of our temporary nurse and allied professionals. In addition, we expect our Physician Staffing business to experience higher demand in the summer months as physicians take vacations. We also expect our education and school business to experience lower demand in the summer months when public and charter schools are closed. This historical seasonality of revenue and earnings may vary due to a variety of factors and the results of any one quarter are not necessarily indicative of the results to be expected for any other quarter or for any year. In addition, typically, our first quarter results are negatively impacted by the reset of payroll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exposed to the risk of fluctuation in interest rates relating to our variable rate debt related to our Amended Credit Facilities. During the year ended December 31, 2017 or 2016, we did not use interest rate swaps or other types of derivative financial instruments to hedge our interest rate risk. Our current credit agreement charges us interest at a rate of LIBOR plus a leverage-based margin. See Note 8 - Debt to our consolidated financial statements for further information.</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been exposed to interest rate risk associated with our debt instruments which have had interest based on floating rates. A 1% change in interest rates on variable rate debt would have resulted in interest expense fluctuating approximately by $0.7 million and $0.4 million in the years ended December 31, 2017 and 2016. In February 2018, we entered into an International Swap Dealers Association Master Agreement (ISDA) with a potential counterparty in anticipation of entering into a derivative to reduce our exposure to fluctuations in interest rates associated with our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minor exposure to the impact of foreign currency fluctuations. Approximately 1% of selling, general, and administrative expenses are related to certain software development and information technology support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on our consolidated balance sheets.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013"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15 – Exhibits, Financial Statement Schedules of Part IV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80"/>
        <w:spacing w:after="0" w:line="279" w:lineRule="auto"/>
        <w:rPr>
          <w:sz w:val="20"/>
          <w:szCs w:val="20"/>
          <w:color w:val="auto"/>
        </w:rPr>
      </w:pPr>
      <w:r>
        <w:rPr>
          <w:rFonts w:ascii="Arial" w:cs="Arial" w:eastAsia="Arial" w:hAnsi="Arial"/>
          <w:sz w:val="17"/>
          <w:szCs w:val="17"/>
          <w:color w:val="auto"/>
        </w:rPr>
        <w:t>We acquired all of the membership interests of Advantage in July 2017. Due to the timing of the acquisition and as allowed under SEC guidance, management’s assessment of and conclusion regarding the design and effectiveness of internal control over financial reporting excluded the internal control over financial reporting of the acquired business, which is relevant to our 2017 consolidated financial statements as of and for the year ended December 31, 2017.</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Except as disclosed above, there were no other changes in our internal controls over financial reporting during 2017 that have materially affected, or are reasonably likely to materially affect,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as of December 31, 2017. In making this assessment, management used the criteria set forth by the Committee of Sponsoring Organizations of the Treadway Commission, or COSO, in the Internal Control-Integrated Framework (2013 framework). As permitted, our</w:t>
      </w:r>
    </w:p>
    <w:p>
      <w:pPr>
        <w:spacing w:after="0"/>
        <w:rPr>
          <w:sz w:val="20"/>
          <w:szCs w:val="20"/>
          <w:color w:val="auto"/>
        </w:rPr>
      </w:pPr>
      <w:r>
        <w:rPr>
          <w:rFonts w:ascii="Arial" w:cs="Arial" w:eastAsia="Arial" w:hAnsi="Arial"/>
          <w:sz w:val="18"/>
          <w:szCs w:val="18"/>
          <w:color w:val="auto"/>
        </w:rPr>
        <w:t>management’s assessment of and conclusion on the effectiveness of our internal controls did not include the internal controls of</w:t>
      </w:r>
    </w:p>
    <w:p>
      <w:pPr>
        <w:spacing w:after="0" w:line="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Advantage, because it was acquired by us in July 2017. The total assets of the acquisition constituted $92.9 million as of December 31, 2017, and $47.0 million of revenue from services for the year ended December 31, 2017.</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its evaluation, management concluded that, as of December 31, 2017, our internal control over financial reporting is effective based on the specific criteria.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page 43.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012" w:right="2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Cross Country Healthcare,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Cross Country Healthcare, Inc.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March 2, 2018, expressed an unqualified opinion on those financial statements.</w:t>
      </w:r>
    </w:p>
    <w:p>
      <w:pPr>
        <w:spacing w:after="0" w:line="1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management excluded from its assessment the internal control over financial reporting at Advantage RN, LLC, which was acquired on July 1, 2017, and whose financial statements constituted $92.9 million of total assets and $47.0 million of revenue from services of the consolidated financial statement amounts as of and for the year ended December 31, 2017. Accordingly, our audit did not include the internal control over financial reporting at Advantage RN, LLC.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364" w:right="279" w:bottom="1440" w:gutter="0" w:footer="0" w:header="0"/>
        </w:sectPr>
      </w:pPr>
    </w:p>
    <w:bookmarkStart w:id="46" w:name="page47"/>
    <w:bookmarkEnd w:id="46"/>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Certified Public Accountants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Boca Raton, Florida</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 2018</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36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Information with respect to directors, executive officers and corporate governance is included in our Proxy Statement for the 2018 Annual Meeting of Stockholders (Proxy Statement) to be filed pursuant to Regulation 14A with the SEC and such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with respect to executive compensation is included in our Proxy Statement to be filed with the SEC and such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with respect to beneficial ownership of our common stock is included in our Proxy Statement to be filed with the SEC and such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equity compensation plans as of December 31, 2017, see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Weighted-average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be issued upon exercise</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exercise price of</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outstanding options,</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and rights</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warrants and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 in</w:t>
            </w:r>
          </w:p>
        </w:tc>
      </w:tr>
      <w:tr>
        <w:trPr>
          <w:trHeight w:val="261"/>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22"/>
                <w:szCs w:val="22"/>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rights (b)</w:t>
            </w:r>
          </w:p>
        </w:tc>
        <w:tc>
          <w:tcPr>
            <w:tcW w:w="180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8"/>
              </w:rPr>
              <w:t xml:space="preserve">column (a)) (c) </w:t>
            </w:r>
            <w:r>
              <w:rPr>
                <w:rFonts w:ascii="Arial" w:cs="Arial" w:eastAsia="Arial" w:hAnsi="Arial"/>
                <w:sz w:val="25"/>
                <w:szCs w:val="25"/>
                <w:b w:val="1"/>
                <w:bCs w:val="1"/>
                <w:color w:val="auto"/>
                <w:w w:val="88"/>
                <w:vertAlign w:val="superscript"/>
              </w:rPr>
              <w:t>(1)</w:t>
            </w:r>
          </w:p>
        </w:tc>
      </w:tr>
      <w:tr>
        <w:trPr>
          <w:trHeight w:val="209"/>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2,338,804</w:t>
            </w:r>
          </w:p>
        </w:tc>
      </w:tr>
      <w:tr>
        <w:trPr>
          <w:trHeight w:val="229"/>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security holders</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1820" w:type="dxa"/>
            <w:vAlign w:val="bottom"/>
            <w:gridSpan w:val="2"/>
          </w:tcPr>
          <w:p>
            <w:pPr>
              <w:ind w:left="128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94,500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2,338,804</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8"/>
        <w:spacing w:after="0" w:line="262" w:lineRule="auto"/>
        <w:tabs>
          <w:tab w:leader="none" w:pos="203"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For Performance Stock Awards issued under the 2014 Omnibus Incentive Plan,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See Note 14 - Stockholders' Equity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included in our Proxy Statement to be filed with the SEC and such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with respect to the fees and services of our principal accountant is included in our Proxy Statement to be filed with the SEC and such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7" w:right="239" w:bottom="1440" w:gutter="0" w:footer="0" w:header="0"/>
        </w:sectPr>
      </w:pPr>
    </w:p>
    <w:bookmarkStart w:id="48" w:name="page49"/>
    <w:bookmarkEnd w:id="48"/>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91" w:lineRule="exact"/>
        <w:rPr>
          <w:sz w:val="20"/>
          <w:szCs w:val="20"/>
          <w:color w:val="auto"/>
        </w:rPr>
      </w:pPr>
    </w:p>
    <w:p>
      <w:pPr>
        <w:ind w:left="300" w:hanging="251"/>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98" w:lineRule="exact"/>
        <w:rPr>
          <w:rFonts w:ascii="Arial" w:cs="Arial" w:eastAsia="Arial" w:hAnsi="Arial"/>
          <w:sz w:val="18"/>
          <w:szCs w:val="18"/>
          <w:color w:val="auto"/>
        </w:rPr>
      </w:pPr>
    </w:p>
    <w:p>
      <w:pPr>
        <w:ind w:left="1080" w:hanging="303"/>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333" w:lineRule="exact"/>
        <w:rPr>
          <w:rFonts w:ascii="Arial" w:cs="Arial" w:eastAsia="Arial" w:hAnsi="Arial"/>
          <w:sz w:val="18"/>
          <w:szCs w:val="18"/>
          <w:color w:val="auto"/>
        </w:rPr>
      </w:pPr>
    </w:p>
    <w:p>
      <w:pPr>
        <w:ind w:left="1080" w:right="4499"/>
        <w:spacing w:after="0" w:line="751" w:lineRule="auto"/>
        <w:rPr>
          <w:rFonts w:ascii="Arial" w:cs="Arial" w:eastAsia="Arial" w:hAnsi="Arial"/>
          <w:sz w:val="18"/>
          <w:szCs w:val="18"/>
          <w:color w:val="auto"/>
        </w:rPr>
      </w:pPr>
      <w:r>
        <w:rPr>
          <w:rFonts w:ascii="Arial" w:cs="Arial" w:eastAsia="Arial" w:hAnsi="Arial"/>
          <w:sz w:val="15"/>
          <w:szCs w:val="15"/>
          <w:color w:val="auto"/>
        </w:rPr>
        <w:t>Report of Independent Registered Public Accounting Firm Consolidated Balance Sheets as of December 31, 2017 and 2016</w:t>
      </w:r>
    </w:p>
    <w:p>
      <w:pPr>
        <w:ind w:left="1080"/>
        <w:spacing w:after="0"/>
        <w:rPr>
          <w:rFonts w:ascii="Arial" w:cs="Arial" w:eastAsia="Arial" w:hAnsi="Arial"/>
          <w:sz w:val="18"/>
          <w:szCs w:val="18"/>
          <w:color w:val="auto"/>
        </w:rPr>
      </w:pPr>
      <w:r>
        <w:rPr>
          <w:rFonts w:ascii="Arial" w:cs="Arial" w:eastAsia="Arial" w:hAnsi="Arial"/>
          <w:sz w:val="16"/>
          <w:szCs w:val="16"/>
          <w:color w:val="auto"/>
        </w:rPr>
        <w:t>Consolidated Statements of Operations for the Years Ended December 31, 2017, 2016, and 2015</w:t>
      </w:r>
    </w:p>
    <w:p>
      <w:pPr>
        <w:spacing w:after="0" w:line="356" w:lineRule="exact"/>
        <w:rPr>
          <w:rFonts w:ascii="Arial" w:cs="Arial" w:eastAsia="Arial" w:hAnsi="Arial"/>
          <w:sz w:val="18"/>
          <w:szCs w:val="18"/>
          <w:color w:val="auto"/>
        </w:rPr>
      </w:pPr>
    </w:p>
    <w:p>
      <w:pPr>
        <w:ind w:left="1220" w:right="2419" w:hanging="135"/>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2017, 2016, and 2015</w:t>
      </w:r>
    </w:p>
    <w:p>
      <w:pPr>
        <w:spacing w:after="0" w:line="278" w:lineRule="exact"/>
        <w:rPr>
          <w:rFonts w:ascii="Arial" w:cs="Arial" w:eastAsia="Arial" w:hAnsi="Arial"/>
          <w:sz w:val="18"/>
          <w:szCs w:val="18"/>
          <w:color w:val="auto"/>
        </w:rPr>
      </w:pPr>
    </w:p>
    <w:p>
      <w:pPr>
        <w:ind w:left="1220" w:right="1939" w:hanging="135"/>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 of Stockholders’ Equity for the Years Ended December 31, 2017, 2016, and 2015</w:t>
      </w:r>
    </w:p>
    <w:p>
      <w:pPr>
        <w:spacing w:after="0" w:line="278" w:lineRule="exact"/>
        <w:rPr>
          <w:rFonts w:ascii="Arial" w:cs="Arial" w:eastAsia="Arial" w:hAnsi="Arial"/>
          <w:sz w:val="18"/>
          <w:szCs w:val="18"/>
          <w:color w:val="auto"/>
        </w:rPr>
      </w:pPr>
    </w:p>
    <w:p>
      <w:pPr>
        <w:ind w:left="1080" w:right="2139"/>
        <w:spacing w:after="0" w:line="626" w:lineRule="auto"/>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2017, 2016, and 2015 Notes to Consolidated Financial Statements</w:t>
      </w:r>
    </w:p>
    <w:p>
      <w:pPr>
        <w:ind w:left="1080" w:hanging="303"/>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333" w:lineRule="exact"/>
        <w:rPr>
          <w:rFonts w:ascii="Arial" w:cs="Arial" w:eastAsia="Arial" w:hAnsi="Arial"/>
          <w:sz w:val="18"/>
          <w:szCs w:val="18"/>
          <w:color w:val="auto"/>
        </w:rPr>
      </w:pPr>
    </w:p>
    <w:p>
      <w:pPr>
        <w:ind w:left="1220" w:right="1859" w:hanging="135"/>
        <w:spacing w:after="0" w:line="277" w:lineRule="auto"/>
        <w:rPr>
          <w:rFonts w:ascii="Arial" w:cs="Arial" w:eastAsia="Arial" w:hAnsi="Arial"/>
          <w:sz w:val="18"/>
          <w:szCs w:val="18"/>
          <w:color w:val="auto"/>
        </w:rPr>
      </w:pPr>
      <w:r>
        <w:rPr>
          <w:rFonts w:ascii="Arial" w:cs="Arial" w:eastAsia="Arial" w:hAnsi="Arial"/>
          <w:sz w:val="18"/>
          <w:szCs w:val="18"/>
          <w:color w:val="auto"/>
        </w:rPr>
        <w:t>Schedule II – Valuation and Qualifying Accounts for the Years Ended December 31, 2017, 2016, and 2015</w:t>
      </w:r>
    </w:p>
    <w:p>
      <w:pPr>
        <w:spacing w:after="0" w:line="278" w:lineRule="exact"/>
        <w:rPr>
          <w:rFonts w:ascii="Arial" w:cs="Arial" w:eastAsia="Arial" w:hAnsi="Arial"/>
          <w:sz w:val="18"/>
          <w:szCs w:val="18"/>
          <w:color w:val="auto"/>
        </w:rPr>
      </w:pPr>
    </w:p>
    <w:p>
      <w:pPr>
        <w:ind w:left="1080" w:hanging="303"/>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33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See Exhibit Index immediately following signatures.</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796"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CROSS COUNTRY HEALTHCARE, INC.</w:t>
      </w:r>
    </w:p>
    <w:p>
      <w:pPr>
        <w:spacing w:after="0" w:line="33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William J. Grubbs</w:t>
            </w:r>
          </w:p>
        </w:tc>
      </w:tr>
      <w:tr>
        <w:trPr>
          <w:trHeight w:val="27"/>
        </w:trPr>
        <w:tc>
          <w:tcPr>
            <w:tcW w:w="6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Name: William J. Grubbs</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Title: President, Chief Executive Officer, Director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Date: March 2, 2018</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indicated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5240" w:type="dxa"/>
            <w:vAlign w:val="bottom"/>
            <w:gridSpan w:val="2"/>
          </w:tcPr>
          <w:p>
            <w:pPr>
              <w:ind w:left="2380"/>
              <w:spacing w:after="0"/>
              <w:rPr>
                <w:sz w:val="20"/>
                <w:szCs w:val="20"/>
                <w:color w:val="auto"/>
              </w:rPr>
            </w:pPr>
            <w:r>
              <w:rPr>
                <w:rFonts w:ascii="Arial" w:cs="Arial" w:eastAsia="Arial" w:hAnsi="Arial"/>
                <w:sz w:val="18"/>
                <w:szCs w:val="18"/>
                <w:b w:val="1"/>
                <w:bCs w:val="1"/>
                <w:color w:val="auto"/>
              </w:rPr>
              <w:t>Title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 William J. Grubbs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3"/>
              </w:rPr>
              <w:t>William J. Grubbs</w:t>
            </w:r>
          </w:p>
        </w:tc>
        <w:tc>
          <w:tcPr>
            <w:tcW w:w="120" w:type="dxa"/>
            <w:vAlign w:val="bottom"/>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 Christopher R. Pizzi</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SVP &amp; Chief Financial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Christopher R. Pizzi</w:t>
            </w:r>
          </w:p>
        </w:tc>
        <w:tc>
          <w:tcPr>
            <w:tcW w:w="1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(Principal Accounting and Financial Officer)</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W. Larry Cash</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W. Larry Cash</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Thomas C. Dircks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Thomas C. Dircks</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Gale Fitzgerald</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Gale Fitzgerald</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 Richard M. Mastaler</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3"/>
              </w:rPr>
              <w:t>Richard M. Mastaler</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 Mark Perlberg</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Mark Perlberg</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 Joseph A. Trunfio</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Joseph A. Trunfio</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40" w:type="dxa"/>
            <w:vAlign w:val="bottom"/>
          </w:tcPr>
          <w:p>
            <w:pPr>
              <w:spacing w:after="0"/>
              <w:rPr>
                <w:sz w:val="24"/>
                <w:szCs w:val="24"/>
                <w:color w:val="auto"/>
              </w:rPr>
            </w:pPr>
          </w:p>
        </w:tc>
        <w:tc>
          <w:tcPr>
            <w:tcW w:w="5260" w:type="dxa"/>
            <w:vAlign w:val="bottom"/>
            <w:gridSpan w:val="2"/>
          </w:tcPr>
          <w:p>
            <w:pPr>
              <w:jc w:val="right"/>
              <w:ind w:right="28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60" w:type="dxa"/>
            <w:vAlign w:val="bottom"/>
            <w:gridSpan w:val="37"/>
          </w:tcPr>
          <w:p>
            <w:pPr>
              <w:jc w:val="center"/>
              <w:ind w:right="41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0" w:type="dxa"/>
            <w:vAlign w:val="bottom"/>
            <w:gridSpan w:val="34"/>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1"/>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Amended and Restated Certificate of Incorporation of the Registrant (Previously filed as an exhibit to the Company’s Registration Statement on</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tcBorders>
              <w:top w:val="single" w:sz="8" w:color="0000FF"/>
            </w:tcBorders>
            <w:gridSpan w:val="38"/>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Form S-1/A, Commission File No. 333-64914, and incorporated by reference herein.)</w:t>
              </w:r>
            </w:hyperlink>
          </w:p>
        </w:tc>
        <w:tc>
          <w:tcPr>
            <w:tcW w:w="100" w:type="dxa"/>
            <w:vAlign w:val="bottom"/>
            <w:gridSpan w:val="3"/>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9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Certificate of Correction to Amended and Restated Certificate of Incorporation of the Registrant.</w:t>
              </w:r>
            </w:hyperlink>
          </w:p>
        </w:tc>
        <w:tc>
          <w:tcPr>
            <w:tcW w:w="3480" w:type="dxa"/>
            <w:vAlign w:val="bottom"/>
            <w:gridSpan w:val="28"/>
          </w:tcPr>
          <w:p>
            <w:pPr>
              <w:spacing w:after="0"/>
              <w:rPr>
                <w:sz w:val="21"/>
                <w:szCs w:val="2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300" w:type="dxa"/>
            <w:vAlign w:val="bottom"/>
            <w:tcBorders>
              <w:bottom w:val="single" w:sz="8" w:color="0000FF"/>
            </w:tcBorders>
            <w:gridSpan w:val="36"/>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Amended and Restated By-laws of the Registrant (Previously filed as an exhibit to the Company's Form 10-K for the year ended December 31,</w:t>
              </w:r>
            </w:hyperlink>
          </w:p>
        </w:tc>
        <w:tc>
          <w:tcPr>
            <w:tcW w:w="140" w:type="dxa"/>
            <w:vAlign w:val="bottom"/>
            <w:gridSpan w:val="5"/>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14">
              <w:r>
                <w:rPr>
                  <w:rFonts w:ascii="Arial" w:cs="Arial" w:eastAsia="Arial" w:hAnsi="Arial"/>
                  <w:sz w:val="18"/>
                  <w:szCs w:val="18"/>
                  <w:color w:val="0000FF"/>
                  <w:w w:val="88"/>
                </w:rPr>
                <w:t>2015 and incorporated by reference herein.)</w:t>
              </w:r>
            </w:hyperlink>
          </w:p>
        </w:tc>
        <w:tc>
          <w:tcPr>
            <w:tcW w:w="7300" w:type="dxa"/>
            <w:vAlign w:val="bottom"/>
            <w:gridSpan w:val="38"/>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540" w:type="dxa"/>
            <w:vAlign w:val="bottom"/>
            <w:tcBorders>
              <w:bottom w:val="single" w:sz="8" w:color="0000FF"/>
            </w:tcBorders>
            <w:gridSpan w:val="20"/>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Form of specimen common stock certificate (Previously filed as an exhibit to the Company’s Registration Statement on Form S-1/A,</w:t>
              </w:r>
            </w:hyperlink>
          </w:p>
        </w:tc>
        <w:tc>
          <w:tcPr>
            <w:tcW w:w="900" w:type="dxa"/>
            <w:vAlign w:val="bottom"/>
            <w:gridSpan w:val="21"/>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1"/>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Commission File No. 333-64914,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180" w:type="dxa"/>
            <w:vAlign w:val="bottom"/>
            <w:tcBorders>
              <w:bottom w:val="single" w:sz="8" w:color="0000FF"/>
            </w:tcBorders>
            <w:gridSpan w:val="32"/>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2014 Omnibus Incentive Plan - Restricted Stock Agreement Form (Previously filed as an exhibit to the Company’s Form 10-Q for the quarter</w:t>
              </w:r>
            </w:hyperlink>
          </w:p>
        </w:tc>
        <w:tc>
          <w:tcPr>
            <w:tcW w:w="260" w:type="dxa"/>
            <w:vAlign w:val="bottom"/>
            <w:gridSpan w:val="9"/>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6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16">
              <w:r>
                <w:rPr>
                  <w:rFonts w:ascii="Arial" w:cs="Arial" w:eastAsia="Arial" w:hAnsi="Arial"/>
                  <w:sz w:val="18"/>
                  <w:szCs w:val="18"/>
                  <w:color w:val="0000FF"/>
                  <w:w w:val="88"/>
                </w:rPr>
                <w:t>ended June 30, 2014 and incorporated by reference herein.)</w:t>
              </w:r>
            </w:hyperlink>
          </w:p>
        </w:tc>
        <w:tc>
          <w:tcPr>
            <w:tcW w:w="6180" w:type="dxa"/>
            <w:vAlign w:val="bottom"/>
            <w:gridSpan w:val="35"/>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20" w:type="dxa"/>
            <w:vAlign w:val="bottom"/>
            <w:tcBorders>
              <w:bottom w:val="single" w:sz="8" w:color="0000FF"/>
            </w:tcBorders>
            <w:gridSpan w:val="40"/>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2014 Omnibus Incentive Plan - Performance Share and Restricted Stock Agreement Form (Previously filed as an exhibit to the Company’s Form</w:t>
              </w:r>
            </w:hyperlink>
          </w:p>
        </w:tc>
        <w:tc>
          <w:tcPr>
            <w:tcW w:w="20" w:type="dxa"/>
            <w:vAlign w:val="bottom"/>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1"/>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10-Q for the quarter ended June 30, 2014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1"/>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Registration Rights Agreement, dated June 30, 2014, by and among Cross Country Healthcare, Inc. and the noteholders party thereto</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(Previously filed as an exhibit to the Company’s Form 8-K dated July 2, 2014 and incorporated by reference herein.)</w:t>
              </w:r>
            </w:hyperlink>
          </w:p>
        </w:tc>
        <w:tc>
          <w:tcPr>
            <w:tcW w:w="1140" w:type="dxa"/>
            <w:vAlign w:val="bottom"/>
            <w:tcBorders>
              <w:top w:val="single" w:sz="8" w:color="0000FF"/>
            </w:tcBorders>
          </w:tcPr>
          <w:p>
            <w:pPr>
              <w:spacing w:after="0"/>
              <w:rPr>
                <w:sz w:val="17"/>
                <w:szCs w:val="17"/>
                <w:color w:val="auto"/>
              </w:rPr>
            </w:pPr>
          </w:p>
        </w:tc>
        <w:tc>
          <w:tcPr>
            <w:tcW w:w="900" w:type="dxa"/>
            <w:vAlign w:val="bottom"/>
            <w:gridSpan w:val="21"/>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1"/>
          </w:tcPr>
          <w:p>
            <w:pPr>
              <w:spacing w:after="0"/>
              <w:rPr>
                <w:rFonts w:ascii="Arial" w:cs="Arial" w:eastAsia="Arial" w:hAnsi="Arial"/>
                <w:sz w:val="18"/>
                <w:szCs w:val="18"/>
                <w:color w:val="0000FF"/>
                <w:w w:val="95"/>
              </w:rPr>
            </w:pPr>
            <w:hyperlink r:id="rId19">
              <w:r>
                <w:rPr>
                  <w:rFonts w:ascii="Arial" w:cs="Arial" w:eastAsia="Arial" w:hAnsi="Arial"/>
                  <w:sz w:val="18"/>
                  <w:szCs w:val="18"/>
                  <w:color w:val="0000FF"/>
                  <w:w w:val="95"/>
                </w:rPr>
                <w:t>Employment Agreement, dated as of March 20, 2013, between William J. Grubbs and the Registrant (Previously filed as an exhibit to the</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Company’s Form 8-K dated March 22, 2013 and incorporated by reference herein.)</w:t>
              </w:r>
            </w:hyperlink>
          </w:p>
        </w:tc>
        <w:tc>
          <w:tcPr>
            <w:tcW w:w="3880" w:type="dxa"/>
            <w:vAlign w:val="bottom"/>
            <w:tcBorders>
              <w:top w:val="single" w:sz="8" w:color="0000FF"/>
            </w:tcBorders>
            <w:gridSpan w:val="16"/>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300" w:type="dxa"/>
            <w:vAlign w:val="bottom"/>
            <w:tcBorders>
              <w:bottom w:val="single" w:sz="8" w:color="0000FF"/>
            </w:tcBorders>
            <w:gridSpan w:val="36"/>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Cross Country, Inc. Deferred Compensation Plan (Previously filed as an exhibit to the Company’s Form 10-K for the year ended December 31,</w:t>
              </w:r>
            </w:hyperlink>
          </w:p>
        </w:tc>
        <w:tc>
          <w:tcPr>
            <w:tcW w:w="140" w:type="dxa"/>
            <w:vAlign w:val="bottom"/>
            <w:gridSpan w:val="5"/>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8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20">
              <w:r>
                <w:rPr>
                  <w:rFonts w:ascii="Arial" w:cs="Arial" w:eastAsia="Arial" w:hAnsi="Arial"/>
                  <w:sz w:val="18"/>
                  <w:szCs w:val="18"/>
                  <w:color w:val="0000FF"/>
                  <w:w w:val="88"/>
                </w:rPr>
                <w:t>2002, and incorporated by reference herein.)</w:t>
              </w:r>
            </w:hyperlink>
          </w:p>
        </w:tc>
        <w:tc>
          <w:tcPr>
            <w:tcW w:w="7260" w:type="dxa"/>
            <w:vAlign w:val="bottom"/>
            <w:gridSpan w:val="37"/>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1"/>
          </w:tcPr>
          <w:p>
            <w:pPr>
              <w:spacing w:after="0"/>
              <w:rPr>
                <w:rFonts w:ascii="Arial" w:cs="Arial" w:eastAsia="Arial" w:hAnsi="Arial"/>
                <w:sz w:val="18"/>
                <w:szCs w:val="18"/>
                <w:color w:val="0000FF"/>
                <w:w w:val="94"/>
              </w:rPr>
            </w:pPr>
            <w:hyperlink r:id="rId21">
              <w:r>
                <w:rPr>
                  <w:rFonts w:ascii="Arial" w:cs="Arial" w:eastAsia="Arial" w:hAnsi="Arial"/>
                  <w:sz w:val="18"/>
                  <w:szCs w:val="18"/>
                  <w:color w:val="0000FF"/>
                  <w:w w:val="94"/>
                </w:rPr>
                <w:t>Lease Agreement between Cornerstone Opportunity Ventures, LLC and Cejka Search, Inc., dated February 2, 2007 (Previously filed as an</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exhibit to the Company’s Form 10-K for the year ended December 31, 2006 and incorporated by reference herein.)</w:t>
              </w:r>
            </w:hyperlink>
          </w:p>
        </w:tc>
        <w:tc>
          <w:tcPr>
            <w:tcW w:w="520" w:type="dxa"/>
            <w:vAlign w:val="bottom"/>
            <w:gridSpan w:val="13"/>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80" w:type="dxa"/>
            <w:vAlign w:val="bottom"/>
            <w:tcBorders>
              <w:bottom w:val="single" w:sz="8" w:color="0000FF"/>
            </w:tcBorders>
            <w:gridSpan w:val="35"/>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Second Amendment to Lease Agreement by and between Meridian Commercial Properties Limited Partnership and Cross Country Healthcare,</w:t>
              </w:r>
            </w:hyperlink>
          </w:p>
        </w:tc>
        <w:tc>
          <w:tcPr>
            <w:tcW w:w="160" w:type="dxa"/>
            <w:vAlign w:val="bottom"/>
            <w:gridSpan w:val="6"/>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Inc., dated February 17, 2007 (Previously filed as an exhibit to the Company’s Form 10-K for the year ended December 31, 2006 and</w:t>
              </w:r>
            </w:hyperlink>
          </w:p>
        </w:tc>
        <w:tc>
          <w:tcPr>
            <w:tcW w:w="840" w:type="dxa"/>
            <w:vAlign w:val="bottom"/>
            <w:gridSpan w:val="19"/>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1"/>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1"/>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First Amendment to Lease Agreement dated as of September 1, 2007, by and between Cornerstone Opportunity Ventures, LLC and Cejka</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tcBorders>
              <w:top w:val="single" w:sz="8" w:color="0000FF"/>
            </w:tcBorders>
            <w:gridSpan w:val="27"/>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Search, Inc. (Previously filed as an exhibit to the Company’s Form 10-Q for the quarter ended September 30, 2008 and incorporated by</w:t>
              </w:r>
            </w:hyperlink>
          </w:p>
        </w:tc>
        <w:tc>
          <w:tcPr>
            <w:tcW w:w="540" w:type="dxa"/>
            <w:vAlign w:val="bottom"/>
            <w:gridSpan w:val="14"/>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reference herein.)</w:t>
              </w:r>
            </w:hyperlink>
          </w:p>
        </w:tc>
        <w:tc>
          <w:tcPr>
            <w:tcW w:w="720" w:type="dxa"/>
            <w:vAlign w:val="bottom"/>
            <w:gridSpan w:val="18"/>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120" w:type="dxa"/>
            <w:vAlign w:val="bottom"/>
            <w:tcBorders>
              <w:bottom w:val="single" w:sz="8" w:color="0000FF"/>
            </w:tcBorders>
            <w:gridSpan w:val="31"/>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Form of Non-Employee Directors’ Restricted Stock Agreement under Cross Country Healthcare, Inc. 2007 Stock Incentive Plan (Previously</w:t>
              </w:r>
            </w:hyperlink>
          </w:p>
        </w:tc>
        <w:tc>
          <w:tcPr>
            <w:tcW w:w="320" w:type="dxa"/>
            <w:vAlign w:val="bottom"/>
            <w:gridSpan w:val="10"/>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1"/>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filed as an exhibit to the Company’s 8-K dated May 15, 2007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60" w:type="dxa"/>
            <w:vAlign w:val="bottom"/>
            <w:tcBorders>
              <w:bottom w:val="single" w:sz="8" w:color="0000FF"/>
            </w:tcBorders>
            <w:gridSpan w:val="34"/>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Stock Appreciation Rights Agreement under Cross Country Healthcare, Inc. 2007 Stock Incentive Plan (Previously filed as an exhibit</w:t>
              </w:r>
            </w:hyperlink>
          </w:p>
        </w:tc>
        <w:tc>
          <w:tcPr>
            <w:tcW w:w="180" w:type="dxa"/>
            <w:vAlign w:val="bottom"/>
            <w:gridSpan w:val="7"/>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54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to the Company’s Form 8-K dated October 15, 2007 and incorporated by reference herein.)</w:t>
              </w:r>
            </w:hyperlink>
          </w:p>
        </w:tc>
        <w:tc>
          <w:tcPr>
            <w:tcW w:w="3900" w:type="dxa"/>
            <w:vAlign w:val="bottom"/>
            <w:gridSpan w:val="29"/>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1"/>
          </w:tcPr>
          <w:p>
            <w:pPr>
              <w:spacing w:after="0"/>
              <w:rPr>
                <w:rFonts w:ascii="Arial" w:cs="Arial" w:eastAsia="Arial" w:hAnsi="Arial"/>
                <w:sz w:val="18"/>
                <w:szCs w:val="18"/>
                <w:color w:val="0000FF"/>
                <w:w w:val="96"/>
              </w:rPr>
            </w:pPr>
            <w:hyperlink r:id="rId26">
              <w:r>
                <w:rPr>
                  <w:rFonts w:ascii="Arial" w:cs="Arial" w:eastAsia="Arial" w:hAnsi="Arial"/>
                  <w:sz w:val="18"/>
                  <w:szCs w:val="18"/>
                  <w:color w:val="0000FF"/>
                  <w:w w:val="96"/>
                </w:rPr>
                <w:t>Lease Agreement, dated July 1, 2010, between Goldberg Brothers Real Estate LLC and MCVT, Inc. (Previously filed as an exhibit to the</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Company’s Form 10-Q for the quarter ended June 30, 2010 and incorporated by reference herein.)</w:t>
              </w:r>
            </w:hyperlink>
          </w:p>
        </w:tc>
        <w:tc>
          <w:tcPr>
            <w:tcW w:w="600" w:type="dxa"/>
            <w:vAlign w:val="bottom"/>
            <w:gridSpan w:val="16"/>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0" w:type="dxa"/>
            <w:vAlign w:val="bottom"/>
            <w:tcBorders>
              <w:bottom w:val="single" w:sz="8" w:color="0000FF"/>
            </w:tcBorders>
            <w:gridSpan w:val="24"/>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Lease Agreement, dated July 18, 2013, between Peachtree II and III, LLC and MDA Holdings, Inc. (Previously filed as an exhibit to the</w:t>
              </w:r>
            </w:hyperlink>
          </w:p>
        </w:tc>
        <w:tc>
          <w:tcPr>
            <w:tcW w:w="640" w:type="dxa"/>
            <w:vAlign w:val="bottom"/>
            <w:gridSpan w:val="17"/>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1"/>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Company’s Form 10-Q for the quarter ended June 30, 2013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10.10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320" w:type="dxa"/>
            <w:vAlign w:val="bottom"/>
            <w:tcBorders>
              <w:bottom w:val="single" w:sz="8" w:color="0000FF"/>
            </w:tcBorders>
            <w:gridSpan w:val="37"/>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Amended and Restated Executive Severance Plan of Cross Country Healthcare, Inc. (Previously filed as an exhibit to the Company’s Form 8-K</w:t>
              </w:r>
            </w:hyperlink>
          </w:p>
        </w:tc>
        <w:tc>
          <w:tcPr>
            <w:tcW w:w="120" w:type="dxa"/>
            <w:vAlign w:val="bottom"/>
            <w:gridSpan w:val="4"/>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8">
              <w:r>
                <w:rPr>
                  <w:rFonts w:ascii="Arial" w:cs="Arial" w:eastAsia="Arial" w:hAnsi="Arial"/>
                  <w:sz w:val="18"/>
                  <w:szCs w:val="18"/>
                  <w:color w:val="0000FF"/>
                  <w:w w:val="89"/>
                </w:rPr>
                <w:t>dated May 28, 2010 and incorporated by reference herein.)</w:t>
              </w:r>
            </w:hyperlink>
          </w:p>
        </w:tc>
        <w:tc>
          <w:tcPr>
            <w:tcW w:w="6220" w:type="dxa"/>
            <w:vAlign w:val="bottom"/>
            <w:gridSpan w:val="36"/>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1"/>
          </w:tcPr>
          <w:p>
            <w:pPr>
              <w:spacing w:after="0"/>
              <w:rPr>
                <w:rFonts w:ascii="Arial" w:cs="Arial" w:eastAsia="Arial" w:hAnsi="Arial"/>
                <w:sz w:val="18"/>
                <w:szCs w:val="18"/>
                <w:color w:val="0000FF"/>
                <w:w w:val="97"/>
              </w:rPr>
            </w:pPr>
            <w:hyperlink r:id="rId29">
              <w:r>
                <w:rPr>
                  <w:rFonts w:ascii="Arial" w:cs="Arial" w:eastAsia="Arial" w:hAnsi="Arial"/>
                  <w:sz w:val="18"/>
                  <w:szCs w:val="18"/>
                  <w:color w:val="0000FF"/>
                  <w:w w:val="97"/>
                </w:rPr>
                <w:t>Loan and Security Agreement, dated January 9, 2013, by and among Cross Country Healthcare, Inc. and certain of its subsidiaries, as</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440" w:type="dxa"/>
            <w:vAlign w:val="bottom"/>
            <w:gridSpan w:val="7"/>
            <w:shd w:val="clear" w:color="auto" w:fill="0000FF"/>
          </w:tcPr>
          <w:p>
            <w:pPr>
              <w:spacing w:after="0" w:line="20" w:lineRule="exact"/>
              <w:rPr>
                <w:sz w:val="1"/>
                <w:szCs w:val="1"/>
                <w:color w:val="auto"/>
              </w:rPr>
            </w:pPr>
          </w:p>
        </w:tc>
        <w:tc>
          <w:tcPr>
            <w:tcW w:w="2620" w:type="dxa"/>
            <w:vAlign w:val="bottom"/>
            <w:gridSpan w:val="8"/>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Borrowers, the Lenders referenced therein, and Bank of America, N.A., as Agent (Previously filed as an exhibit to the Company’s Form 8-K</w:t>
              </w:r>
            </w:hyperlink>
          </w:p>
        </w:tc>
        <w:tc>
          <w:tcPr>
            <w:tcW w:w="340" w:type="dxa"/>
            <w:vAlign w:val="bottom"/>
            <w:gridSpan w:val="11"/>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tcBorders>
              <w:bottom w:val="single" w:sz="8" w:color="0000FF"/>
            </w:tcBorders>
            <w:gridSpan w:val="7"/>
          </w:tcPr>
          <w:p>
            <w:pPr>
              <w:spacing w:after="0" w:line="196" w:lineRule="exact"/>
              <w:rPr>
                <w:rFonts w:ascii="Arial" w:cs="Arial" w:eastAsia="Arial" w:hAnsi="Arial"/>
                <w:sz w:val="18"/>
                <w:szCs w:val="18"/>
                <w:color w:val="0000FF"/>
                <w:w w:val="88"/>
              </w:rPr>
            </w:pPr>
            <w:hyperlink r:id="rId29">
              <w:r>
                <w:rPr>
                  <w:rFonts w:ascii="Arial" w:cs="Arial" w:eastAsia="Arial" w:hAnsi="Arial"/>
                  <w:sz w:val="18"/>
                  <w:szCs w:val="18"/>
                  <w:color w:val="0000FF"/>
                  <w:w w:val="88"/>
                </w:rPr>
                <w:t>dated January 11, 2013 and incorporated by reference herein.)</w:t>
              </w:r>
            </w:hyperlink>
          </w:p>
        </w:tc>
        <w:tc>
          <w:tcPr>
            <w:tcW w:w="6000" w:type="dxa"/>
            <w:vAlign w:val="bottom"/>
            <w:gridSpan w:val="34"/>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41"/>
          </w:tcPr>
          <w:p>
            <w:pPr>
              <w:spacing w:after="0"/>
              <w:rPr>
                <w:rFonts w:ascii="Arial" w:cs="Arial" w:eastAsia="Arial" w:hAnsi="Arial"/>
                <w:sz w:val="18"/>
                <w:szCs w:val="18"/>
                <w:color w:val="0000FF"/>
                <w:w w:val="89"/>
              </w:rPr>
            </w:pPr>
            <w:hyperlink r:id="rId30">
              <w:r>
                <w:rPr>
                  <w:rFonts w:ascii="Arial" w:cs="Arial" w:eastAsia="Arial" w:hAnsi="Arial"/>
                  <w:sz w:val="18"/>
                  <w:szCs w:val="18"/>
                  <w:color w:val="0000FF"/>
                  <w:w w:val="89"/>
                </w:rPr>
                <w:t>Consent, Waiver and Third Amendment, dated as of June 30, 2014, to Loan and Security Agreement dated January 9, 2013, by and among Cross</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0" w:type="dxa"/>
            <w:vAlign w:val="bottom"/>
            <w:tcBorders>
              <w:top w:val="single" w:sz="8" w:color="0000FF"/>
            </w:tcBorders>
            <w:gridSpan w:val="39"/>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Country Healthcare, Inc. and certain of its subsidiaries, as Borrowers, the Lenders referenced therein, and Bank of America, N.A., as Agent</w:t>
              </w:r>
            </w:hyperlink>
          </w:p>
        </w:tc>
        <w:tc>
          <w:tcPr>
            <w:tcW w:w="40" w:type="dxa"/>
            <w:vAlign w:val="bottom"/>
            <w:gridSpan w:val="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(Previously filed as an exhibit to the Company’s Form 8-K dated July 2, 2014 and incorporated by reference herein.)</w:t>
              </w:r>
            </w:hyperlink>
          </w:p>
        </w:tc>
        <w:tc>
          <w:tcPr>
            <w:tcW w:w="1640" w:type="dxa"/>
            <w:vAlign w:val="bottom"/>
            <w:tcBorders>
              <w:top w:val="single" w:sz="8" w:color="0000FF"/>
            </w:tcBorders>
            <w:gridSpan w:val="11"/>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40" w:type="dxa"/>
            <w:vAlign w:val="bottom"/>
            <w:tcBorders>
              <w:bottom w:val="single" w:sz="8" w:color="0000FF"/>
            </w:tcBorders>
            <w:gridSpan w:val="33"/>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Stock Purchase Agreement, dated February 2, 2013, by and among ICON Clinical Research, Inc. and ICON Clinical Research UK Limited, as</w:t>
              </w:r>
            </w:hyperlink>
          </w:p>
        </w:tc>
        <w:tc>
          <w:tcPr>
            <w:tcW w:w="200" w:type="dxa"/>
            <w:vAlign w:val="bottom"/>
            <w:gridSpan w:val="8"/>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41"/>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Buyers, and Cross Country Healthcare, Inc., Local Staff, LLC and Cross Country Healthcare UK Holdco Ltd., as Sellers (Previously filed as an</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top w:val="single" w:sz="8" w:color="0000FF"/>
            </w:tcBorders>
            <w:gridSpan w:val="36"/>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exhibit to the Company’s Form 8-K dated February 5, 2013 and incorporated by reference herein.)</w:t>
              </w:r>
            </w:hyperlink>
          </w:p>
        </w:tc>
        <w:tc>
          <w:tcPr>
            <w:tcW w:w="140" w:type="dxa"/>
            <w:vAlign w:val="bottom"/>
            <w:gridSpan w:val="5"/>
          </w:tcPr>
          <w:p>
            <w:pPr>
              <w:spacing w:after="0"/>
              <w:rPr>
                <w:sz w:val="17"/>
                <w:szCs w:val="17"/>
                <w:color w:val="auto"/>
              </w:rPr>
            </w:pPr>
          </w:p>
        </w:tc>
      </w:tr>
      <w:tr>
        <w:trPr>
          <w:trHeight w:val="507"/>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tcBorders>
              <w:top w:val="single" w:sz="8" w:color="0000FF"/>
            </w:tcBorders>
            <w:gridSpan w:val="8"/>
          </w:tcPr>
          <w:p>
            <w:pPr>
              <w:jc w:val="right"/>
              <w:ind w:right="270"/>
              <w:spacing w:after="0"/>
              <w:rPr>
                <w:sz w:val="20"/>
                <w:szCs w:val="20"/>
                <w:color w:val="auto"/>
              </w:rPr>
            </w:pPr>
            <w:r>
              <w:rPr>
                <w:rFonts w:ascii="Arial" w:cs="Arial" w:eastAsia="Arial" w:hAnsi="Arial"/>
                <w:sz w:val="18"/>
                <w:szCs w:val="18"/>
                <w:color w:val="auto"/>
              </w:rPr>
              <w:t>48</w:t>
            </w:r>
          </w:p>
        </w:tc>
        <w:tc>
          <w:tcPr>
            <w:tcW w:w="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1" w:name="page52"/>
    <w:bookmarkEnd w:id="51"/>
    <w:p>
      <w:pPr>
        <w:ind w:left="4340"/>
        <w:spacing w:after="0"/>
        <w:rPr>
          <w:sz w:val="20"/>
          <w:szCs w:val="20"/>
          <w:color w:val="auto"/>
        </w:rPr>
      </w:pPr>
      <w:r>
        <w:rPr>
          <w:rFonts w:ascii="Arial" w:cs="Arial" w:eastAsia="Arial" w:hAnsi="Arial"/>
          <w:sz w:val="18"/>
          <w:szCs w:val="18"/>
          <w:b w:val="1"/>
          <w:bCs w:val="1"/>
          <w:color w:val="auto"/>
        </w:rPr>
        <w:t>EXHIBIT INDEX (CONTINUED)</w:t>
      </w:r>
    </w:p>
    <w:p>
      <w:pPr>
        <w:spacing w:after="0" w:line="17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92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33">
        <w:r>
          <w:rPr>
            <w:rFonts w:ascii="Arial" w:cs="Arial" w:eastAsia="Arial" w:hAnsi="Arial"/>
            <w:sz w:val="18"/>
            <w:szCs w:val="18"/>
            <w:u w:val="single" w:color="auto"/>
            <w:color w:val="0000FF"/>
          </w:rPr>
          <w:t>Asset Purchase Agreement, dated December 2, 2013, between Local Staff, LLC, as Buyer, Cross Country Healthcare, Inc., as Parent and On</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Assignment Staffing Services, Inc., Assignment Ready, Inc., and On Assignment, Inc., collectively as Seller (Previously filed as an exhibit to the</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Company’s Form 8-K dated December 3, 2013 and incorporated by reference herein.)</w:t>
        </w:r>
      </w:hyperlink>
    </w:p>
    <w:p>
      <w:pPr>
        <w:spacing w:after="0" w:line="19" w:lineRule="exact"/>
        <w:rPr>
          <w:rFonts w:ascii="Arial" w:cs="Arial" w:eastAsia="Arial" w:hAnsi="Arial"/>
          <w:sz w:val="18"/>
          <w:szCs w:val="18"/>
          <w:u w:val="single" w:color="auto"/>
          <w:color w:val="0000FF"/>
        </w:rPr>
      </w:pPr>
    </w:p>
    <w:p>
      <w:pPr>
        <w:ind w:left="920" w:right="16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 #</w:t>
      </w:r>
      <w:r>
        <w:rPr>
          <w:sz w:val="20"/>
          <w:szCs w:val="20"/>
          <w:color w:val="auto"/>
        </w:rPr>
        <w:tab/>
      </w:r>
      <w:hyperlink r:id="rId34">
        <w:r>
          <w:rPr>
            <w:rFonts w:ascii="Arial" w:cs="Arial" w:eastAsia="Arial" w:hAnsi="Arial"/>
            <w:sz w:val="18"/>
            <w:szCs w:val="18"/>
            <w:u w:val="single" w:color="auto"/>
            <w:color w:val="0000FF"/>
          </w:rPr>
          <w:t>Employment Agreement, dated March 3, 2014, between William J. Burns and Cross Country Healthcare, Inc. (Previously filed as an exhibit to</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the Company’s Form 10-K for the year ended December 31, 2013 and incorporated by reference herein.)</w:t>
        </w:r>
      </w:hyperlink>
    </w:p>
    <w:p>
      <w:pPr>
        <w:spacing w:after="0" w:line="8" w:lineRule="exact"/>
        <w:rPr>
          <w:sz w:val="20"/>
          <w:szCs w:val="20"/>
          <w:color w:val="auto"/>
        </w:rPr>
      </w:pPr>
    </w:p>
    <w:p>
      <w:pPr>
        <w:ind w:left="920" w:right="30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35">
        <w:r>
          <w:rPr>
            <w:rFonts w:ascii="Arial" w:cs="Arial" w:eastAsia="Arial" w:hAnsi="Arial"/>
            <w:sz w:val="18"/>
            <w:szCs w:val="18"/>
            <w:u w:val="single" w:color="auto"/>
            <w:color w:val="0000FF"/>
          </w:rPr>
          <w:t>Asset Purchase Agreement, dated June 2, 2014, by and among Cross Country Healthcare, Inc., as Purchaser, and MSN Holdco, LLC, MSN</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Holding Company Inc., Medical Staffing Network Healthcare, LLC and Optimal Workforce Solutions, LLC, as Seller (Previously filed as an</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exhibit to the Company’s Form 8-K dated June 3, 2014 and incorporated by reference herein.)</w:t>
        </w:r>
      </w:hyperlink>
    </w:p>
    <w:p>
      <w:pPr>
        <w:spacing w:after="0" w:line="19" w:lineRule="exact"/>
        <w:rPr>
          <w:rFonts w:ascii="Arial" w:cs="Arial" w:eastAsia="Arial" w:hAnsi="Arial"/>
          <w:sz w:val="18"/>
          <w:szCs w:val="18"/>
          <w:u w:val="single" w:color="auto"/>
          <w:color w:val="0000FF"/>
        </w:rPr>
      </w:pPr>
    </w:p>
    <w:p>
      <w:pPr>
        <w:ind w:left="920" w:right="20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36">
        <w:r>
          <w:rPr>
            <w:rFonts w:ascii="Arial" w:cs="Arial" w:eastAsia="Arial" w:hAnsi="Arial"/>
            <w:sz w:val="18"/>
            <w:szCs w:val="18"/>
            <w:u w:val="single" w:color="auto"/>
            <w:color w:val="0000FF"/>
          </w:rPr>
          <w:t>Second Lien Loan and Security Agreement, dated June 30, 2014, by and among Cross Country Healthcare, Inc., as borrower, certain of its</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domestic subsidiaries, as guarantors, and BSP Agency, LLC, as agent (Previously filed as an exhibit to the Company’s Form 8-K dated July 2,</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2014 and incorporated by reference herein.)</w:t>
        </w:r>
      </w:hyperlink>
    </w:p>
    <w:p>
      <w:pPr>
        <w:spacing w:after="0" w:line="19" w:lineRule="exact"/>
        <w:rPr>
          <w:rFonts w:ascii="Arial" w:cs="Arial" w:eastAsia="Arial" w:hAnsi="Arial"/>
          <w:sz w:val="18"/>
          <w:szCs w:val="18"/>
          <w:u w:val="single" w:color="auto"/>
          <w:color w:val="0000FF"/>
        </w:rPr>
      </w:pPr>
    </w:p>
    <w:p>
      <w:pPr>
        <w:ind w:left="920" w:right="180" w:hanging="917"/>
        <w:spacing w:after="0" w:line="305"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37">
        <w:r>
          <w:rPr>
            <w:rFonts w:ascii="Arial" w:cs="Arial" w:eastAsia="Arial" w:hAnsi="Arial"/>
            <w:sz w:val="16"/>
            <w:szCs w:val="16"/>
            <w:u w:val="single" w:color="auto"/>
            <w:color w:val="0000FF"/>
          </w:rPr>
          <w:t>Convertible Note Purchase Agreement, dated as of June 30, 2014, by and among Cross Country Healthcare, Inc. and certain of its domestic</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subsidiaries and Benefit Street Partners SMA LM L.P., PECM Strategic Funding L.P. and Providence Debt Fund III L.P. and other noteholders</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defined therein (Previously filed as an exhibit to the Company’s Form 8-K dated July 2, 2014 and incorporated by reference herein.)</w:t>
        </w:r>
      </w:hyperlink>
    </w:p>
    <w:p>
      <w:pPr>
        <w:spacing w:after="0" w:line="1" w:lineRule="exact"/>
        <w:rPr>
          <w:rFonts w:ascii="Arial" w:cs="Arial" w:eastAsia="Arial" w:hAnsi="Arial"/>
          <w:sz w:val="16"/>
          <w:szCs w:val="16"/>
          <w:u w:val="single" w:color="auto"/>
          <w:color w:val="0000FF"/>
        </w:rPr>
      </w:pPr>
    </w:p>
    <w:p>
      <w:pPr>
        <w:ind w:left="920" w:right="160" w:hanging="917"/>
        <w:spacing w:after="0" w:line="305"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38">
        <w:r>
          <w:rPr>
            <w:rFonts w:ascii="Arial" w:cs="Arial" w:eastAsia="Arial" w:hAnsi="Arial"/>
            <w:sz w:val="16"/>
            <w:szCs w:val="16"/>
            <w:u w:val="single" w:color="auto"/>
            <w:color w:val="0000FF"/>
          </w:rPr>
          <w:t>Fourth Amendment, dated as of October 20, 2014, to Loan and Security Agreement dated January 9, 2013, by and among Cross Country</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Healthcare, Inc. and certain of its subsidiaries, as Borrowers, the Lenders referenced therein, and Bank of America, N.A., as Agent (Previously</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filed as an exhibit to the Company’s Form 10-Q for the quarter ended September 30, 2014 and incorporated by reference herein.)</w:t>
        </w:r>
      </w:hyperlink>
    </w:p>
    <w:p>
      <w:pPr>
        <w:spacing w:after="0" w:line="1" w:lineRule="exact"/>
        <w:rPr>
          <w:rFonts w:ascii="Arial" w:cs="Arial" w:eastAsia="Arial" w:hAnsi="Arial"/>
          <w:sz w:val="16"/>
          <w:szCs w:val="16"/>
          <w:u w:val="single" w:color="auto"/>
          <w:color w:val="0000FF"/>
        </w:rPr>
      </w:pPr>
    </w:p>
    <w:p>
      <w:pPr>
        <w:ind w:left="920" w:right="60" w:hanging="917"/>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10.20 #</w:t>
      </w:r>
      <w:r>
        <w:rPr>
          <w:sz w:val="20"/>
          <w:szCs w:val="20"/>
          <w:color w:val="auto"/>
        </w:rPr>
        <w:tab/>
      </w:r>
      <w:hyperlink r:id="rId39">
        <w:r>
          <w:rPr>
            <w:rFonts w:ascii="Arial" w:cs="Arial" w:eastAsia="Arial" w:hAnsi="Arial"/>
            <w:sz w:val="18"/>
            <w:szCs w:val="18"/>
            <w:u w:val="single" w:color="auto"/>
            <w:color w:val="0000FF"/>
          </w:rPr>
          <w:t>Transition Agreement, dated March 3, 2014, between Emil Hensel and the Registrant (Previously filed as an exhibit to the Company’s Form 10-</w:t>
        </w:r>
      </w:hyperlink>
      <w:hyperlink r:id="rId39">
        <w:r>
          <w:rPr>
            <w:rFonts w:ascii="Arial" w:cs="Arial" w:eastAsia="Arial" w:hAnsi="Arial"/>
            <w:sz w:val="18"/>
            <w:szCs w:val="18"/>
            <w:u w:val="single" w:color="auto"/>
            <w:color w:val="0000FF"/>
          </w:rPr>
          <w:t>K for the year ended December 31, 2013 and incorporated by reference herein.)</w:t>
        </w:r>
      </w:hyperlink>
    </w:p>
    <w:p>
      <w:pPr>
        <w:spacing w:after="0" w:line="8" w:lineRule="exact"/>
        <w:rPr>
          <w:sz w:val="20"/>
          <w:szCs w:val="20"/>
          <w:color w:val="auto"/>
        </w:rPr>
      </w:pPr>
    </w:p>
    <w:p>
      <w:pPr>
        <w:ind w:left="920" w:right="160" w:hanging="917"/>
        <w:spacing w:after="0" w:line="29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40">
        <w:r>
          <w:rPr>
            <w:rFonts w:ascii="Arial" w:cs="Arial" w:eastAsia="Arial" w:hAnsi="Arial"/>
            <w:sz w:val="17"/>
            <w:szCs w:val="17"/>
            <w:u w:val="single" w:color="auto"/>
            <w:color w:val="0000FF"/>
          </w:rPr>
          <w:t>Lease Agreement, dated November 22, 1999, by and between Fairfax Boca 92, L.P. and Medical Staffing Network, Inc. (Previously filed as an</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exhibit to the Company's Form 10-K for the year ended December 31, 2014 and incorporated by reference herein.)</w:t>
        </w:r>
      </w:hyperlink>
    </w:p>
    <w:p>
      <w:pPr>
        <w:spacing w:after="0" w:line="1" w:lineRule="exact"/>
        <w:rPr>
          <w:sz w:val="20"/>
          <w:szCs w:val="20"/>
          <w:color w:val="auto"/>
        </w:rPr>
      </w:pPr>
    </w:p>
    <w:p>
      <w:pPr>
        <w:jc w:val="both"/>
        <w:ind w:left="920" w:hanging="917"/>
        <w:spacing w:after="0" w:line="29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10.22</w:t>
      </w:r>
      <w:r>
        <w:rPr>
          <w:sz w:val="20"/>
          <w:szCs w:val="20"/>
          <w:color w:val="auto"/>
        </w:rPr>
        <w:tab/>
      </w:r>
      <w:hyperlink r:id="rId41">
        <w:r>
          <w:rPr>
            <w:rFonts w:ascii="Arial" w:cs="Arial" w:eastAsia="Arial" w:hAnsi="Arial"/>
            <w:sz w:val="17"/>
            <w:szCs w:val="17"/>
            <w:u w:val="single" w:color="auto"/>
            <w:color w:val="0000FF"/>
          </w:rPr>
          <w:t>First Amendment to Lease Agreement by and between Fairfax Boca 92 L.P. and Medical Staffing Network, Inc., dated July 31, 2001 (Previously</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filed as an exhibit to the Company's Form 10-K for the year ended December 31, 2014 and incorporated by reference herein.)</w:t>
        </w:r>
      </w:hyperlink>
    </w:p>
    <w:p>
      <w:pPr>
        <w:spacing w:after="0" w:line="1" w:lineRule="exact"/>
        <w:rPr>
          <w:sz w:val="20"/>
          <w:szCs w:val="20"/>
          <w:color w:val="auto"/>
        </w:rPr>
      </w:pPr>
    </w:p>
    <w:p>
      <w:pPr>
        <w:jc w:val="right"/>
        <w:ind w:right="520"/>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      </w:t>
      </w:r>
      <w:hyperlink r:id="rId42">
        <w:r>
          <w:rPr>
            <w:rFonts w:ascii="Arial" w:cs="Arial" w:eastAsia="Arial" w:hAnsi="Arial"/>
            <w:sz w:val="17"/>
            <w:szCs w:val="17"/>
            <w:u w:val="single" w:color="auto"/>
            <w:color w:val="0000FF"/>
          </w:rPr>
          <w:t>Second Amendment to Lease Agreement by and between Fairfax Boca 92 L.P. and Medical Staffing Network, Inc., dated March 20, 2002</w:t>
        </w:r>
      </w:hyperlink>
      <w:r>
        <w:rPr>
          <w:rFonts w:ascii="Arial" w:cs="Arial" w:eastAsia="Arial" w:hAnsi="Arial"/>
          <w:sz w:val="17"/>
          <w:szCs w:val="17"/>
          <w:color w:val="auto"/>
        </w:rPr>
        <w:t xml:space="preserve"> </w:t>
      </w:r>
      <w:hyperlink r:id="rId42">
        <w:r>
          <w:rPr>
            <w:rFonts w:ascii="Arial" w:cs="Arial" w:eastAsia="Arial" w:hAnsi="Arial"/>
            <w:sz w:val="17"/>
            <w:szCs w:val="17"/>
            <w:u w:val="single" w:color="auto"/>
            <w:color w:val="0000FF"/>
          </w:rPr>
          <w:t>(Previously filed as an exhibit to the Company's Form 10-K for the year ended December 31, 2014 and incorporated by reference herein.)</w:t>
        </w:r>
      </w:hyperlink>
    </w:p>
    <w:p>
      <w:pPr>
        <w:spacing w:after="0" w:line="1" w:lineRule="exact"/>
        <w:rPr>
          <w:sz w:val="20"/>
          <w:szCs w:val="20"/>
          <w:color w:val="auto"/>
        </w:rPr>
      </w:pPr>
    </w:p>
    <w:p>
      <w:pPr>
        <w:ind w:left="920" w:right="540" w:hanging="917"/>
        <w:spacing w:after="0" w:line="317"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43">
        <w:r>
          <w:rPr>
            <w:rFonts w:ascii="Arial" w:cs="Arial" w:eastAsia="Arial" w:hAnsi="Arial"/>
            <w:sz w:val="16"/>
            <w:szCs w:val="16"/>
            <w:u w:val="single" w:color="auto"/>
            <w:color w:val="0000FF"/>
          </w:rPr>
          <w:t>Third Amendment to Lease Agreement by and between Fairfax Boca 92 L.P. and Medical Staffing Network, Inc., dated May 14, 2002</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(Previously filed as an exhibit to the Company's Form 10-K for the year ended December 31, 2014 and incorporated by reference herein.)</w:t>
        </w:r>
      </w:hyperlink>
    </w:p>
    <w:p>
      <w:pPr>
        <w:ind w:left="920" w:right="300" w:hanging="917"/>
        <w:spacing w:after="0" w:line="317"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44">
        <w:r>
          <w:rPr>
            <w:rFonts w:ascii="Arial" w:cs="Arial" w:eastAsia="Arial" w:hAnsi="Arial"/>
            <w:sz w:val="16"/>
            <w:szCs w:val="16"/>
            <w:u w:val="single" w:color="auto"/>
            <w:color w:val="0000FF"/>
          </w:rPr>
          <w:t>Fourth Amendment to Lease Agreement by and between Fairfax Boca 92 L.P. and Medical Staffing Network, Inc., dated December 13, 2002</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(Previously filed as an exhibit to the Company's Form 10-K for the year ended December 31, 2014 and incorporated by reference herein.)</w:t>
        </w:r>
      </w:hyperlink>
    </w:p>
    <w:p>
      <w:pPr>
        <w:jc w:val="right"/>
        <w:ind w:right="520"/>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10.26      </w:t>
      </w:r>
      <w:hyperlink r:id="rId45">
        <w:r>
          <w:rPr>
            <w:rFonts w:ascii="Arial" w:cs="Arial" w:eastAsia="Arial" w:hAnsi="Arial"/>
            <w:sz w:val="17"/>
            <w:szCs w:val="17"/>
            <w:u w:val="single" w:color="auto"/>
            <w:color w:val="0000FF"/>
          </w:rPr>
          <w:t>Fifth Amendment to Lease Agreement by and between Fairfax Boca 92 L.P. and Medical Staffing Network, Inc., dated February 11, 2003</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FF"/>
          </w:rPr>
          <w:t>(Previously filed as an exhibit to the Company's Form 10-K for the year ended December 31, 2014 and incorporated by reference herein.)</w:t>
        </w:r>
      </w:hyperlink>
    </w:p>
    <w:p>
      <w:pPr>
        <w:spacing w:after="0" w:line="1" w:lineRule="exact"/>
        <w:rPr>
          <w:sz w:val="20"/>
          <w:szCs w:val="20"/>
          <w:color w:val="auto"/>
        </w:rPr>
      </w:pPr>
    </w:p>
    <w:p>
      <w:pPr>
        <w:jc w:val="both"/>
        <w:ind w:left="920" w:right="2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46">
        <w:r>
          <w:rPr>
            <w:rFonts w:ascii="Arial" w:cs="Arial" w:eastAsia="Arial" w:hAnsi="Arial"/>
            <w:sz w:val="18"/>
            <w:szCs w:val="18"/>
            <w:u w:val="single" w:color="auto"/>
            <w:color w:val="0000FF"/>
          </w:rPr>
          <w:t>Sixth Amendment to Lease Agreement by and between Teachers Insurance and Annuity Association of America and Medical Staffing Network,</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LLC, dated January 3, 2011 (Previously filed as an exhibit to the Company's Form 10-K for the year ended December 31, 2014 and incorporated</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by reference herein.)</w:t>
        </w:r>
      </w:hyperlink>
    </w:p>
    <w:p>
      <w:pPr>
        <w:spacing w:after="0" w:line="19" w:lineRule="exact"/>
        <w:rPr>
          <w:rFonts w:ascii="Arial" w:cs="Arial" w:eastAsia="Arial" w:hAnsi="Arial"/>
          <w:sz w:val="18"/>
          <w:szCs w:val="18"/>
          <w:u w:val="single" w:color="auto"/>
          <w:color w:val="0000FF"/>
        </w:rPr>
      </w:pPr>
    </w:p>
    <w:p>
      <w:pPr>
        <w:ind w:left="920" w:right="34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47">
        <w:r>
          <w:rPr>
            <w:rFonts w:ascii="Arial" w:cs="Arial" w:eastAsia="Arial" w:hAnsi="Arial"/>
            <w:sz w:val="18"/>
            <w:szCs w:val="18"/>
            <w:u w:val="single" w:color="auto"/>
            <w:color w:val="0000FF"/>
          </w:rPr>
          <w:t>Seventh Amendment to Lease Agreement by and between Teachers Insurance and Annuity Association of America and Medical Staffing</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Network, LLC, dated March 1, 2011 (Previously filed as an exhibit to the Company's Form 10-K for the year ended December 31, 2014 and</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incorporated by reference herein.)</w:t>
        </w:r>
      </w:hyperlink>
    </w:p>
    <w:p>
      <w:pPr>
        <w:spacing w:after="0" w:line="19" w:lineRule="exact"/>
        <w:rPr>
          <w:rFonts w:ascii="Arial" w:cs="Arial" w:eastAsia="Arial" w:hAnsi="Arial"/>
          <w:sz w:val="18"/>
          <w:szCs w:val="18"/>
          <w:u w:val="single" w:color="auto"/>
          <w:color w:val="0000FF"/>
        </w:rPr>
      </w:pPr>
    </w:p>
    <w:p>
      <w:pPr>
        <w:ind w:left="920" w:right="28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48">
        <w:r>
          <w:rPr>
            <w:rFonts w:ascii="Arial" w:cs="Arial" w:eastAsia="Arial" w:hAnsi="Arial"/>
            <w:sz w:val="18"/>
            <w:szCs w:val="18"/>
            <w:u w:val="single" w:color="auto"/>
            <w:color w:val="0000FF"/>
          </w:rPr>
          <w:t>Eighth Amendment to Lease Agreement by and between Teachers Insurance and Annuity Association of America, and Medical Staffing</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Network, LLC, dated November 22, 2011 (Previously filed as an exhibit to the Company's Form 10-K for the year ended December 31, 2014</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and incorporated by reference herein.)</w:t>
        </w:r>
      </w:hyperlink>
    </w:p>
    <w:p>
      <w:pPr>
        <w:spacing w:after="0" w:line="19" w:lineRule="exact"/>
        <w:rPr>
          <w:rFonts w:ascii="Arial" w:cs="Arial" w:eastAsia="Arial" w:hAnsi="Arial"/>
          <w:sz w:val="18"/>
          <w:szCs w:val="18"/>
          <w:u w:val="single" w:color="auto"/>
          <w:color w:val="0000FF"/>
        </w:rPr>
      </w:pPr>
    </w:p>
    <w:p>
      <w:pPr>
        <w:ind w:left="920" w:right="260" w:hanging="917"/>
        <w:spacing w:after="0" w:line="286"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10.30</w:t>
      </w:r>
      <w:r>
        <w:rPr>
          <w:sz w:val="20"/>
          <w:szCs w:val="20"/>
          <w:color w:val="auto"/>
        </w:rPr>
        <w:tab/>
      </w:r>
      <w:hyperlink r:id="rId49">
        <w:r>
          <w:rPr>
            <w:rFonts w:ascii="Arial" w:cs="Arial" w:eastAsia="Arial" w:hAnsi="Arial"/>
            <w:sz w:val="17"/>
            <w:szCs w:val="17"/>
            <w:u w:val="single" w:color="auto"/>
            <w:color w:val="0000FF"/>
          </w:rPr>
          <w:t>Second Amendment to Second Lien Loan and Security Agreement, dated July 22, 2015, by and among Cross Country Healthcare, Inc., as</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borrower, certain of its domestic subsidiaries, as guarantors, the lenders party thereto, and BSP Agency, LLC, as agent (Previously filed as an</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exhibit to the Company’s Form 8-K dated July 23, 2015 and incorporated by reference herein.)</w:t>
        </w:r>
      </w:hyperlink>
    </w:p>
    <w:p>
      <w:pPr>
        <w:spacing w:after="0" w:line="220" w:lineRule="exact"/>
        <w:rPr>
          <w:rFonts w:ascii="Arial" w:cs="Arial" w:eastAsia="Arial" w:hAnsi="Arial"/>
          <w:sz w:val="17"/>
          <w:szCs w:val="17"/>
          <w:u w:val="single" w:color="auto"/>
          <w:color w:val="0000FF"/>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80" w:top="796" w:right="2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40" w:type="dxa"/>
            <w:vAlign w:val="bottom"/>
            <w:gridSpan w:val="30"/>
          </w:tcPr>
          <w:p>
            <w:pPr>
              <w:jc w:val="center"/>
              <w:ind w:right="1540"/>
              <w:spacing w:after="0"/>
              <w:rPr>
                <w:sz w:val="20"/>
                <w:szCs w:val="20"/>
                <w:color w:val="auto"/>
              </w:rPr>
            </w:pPr>
            <w:r>
              <w:rPr>
                <w:rFonts w:ascii="Arial" w:cs="Arial" w:eastAsia="Arial" w:hAnsi="Arial"/>
                <w:sz w:val="18"/>
                <w:szCs w:val="18"/>
                <w:b w:val="1"/>
                <w:bCs w:val="1"/>
                <w:color w:val="auto"/>
              </w:rPr>
              <w:t>EXHIBIT INDEX (CONTINUED)</w:t>
            </w:r>
          </w:p>
        </w:tc>
      </w:tr>
      <w:tr>
        <w:trPr>
          <w:trHeight w:val="378"/>
        </w:trPr>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0" w:type="dxa"/>
            <w:vAlign w:val="bottom"/>
            <w:gridSpan w:val="28"/>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Agreement and Plan of Merger, dated as of July 27, 2015, by and among Cross Country Education, LLC, Cross Country Healthcare, Inc., CC</w:t>
              </w:r>
            </w:hyperlink>
          </w:p>
        </w:tc>
        <w:tc>
          <w:tcPr>
            <w:tcW w:w="1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Education, LLC and PES, Inc. (Previously filed as an exhibit to the Company's Form 8-K dated July 30, 2015 and incorporated by reference</w:t>
              </w:r>
            </w:hyperlink>
          </w:p>
        </w:tc>
        <w:tc>
          <w:tcPr>
            <w:tcW w:w="2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Fourth Amendment to Lease Agreement by and between Granite Meridian LLC and Cross Country Healthcare, Inc., dated September 29, 2015</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(Previously filed as an exhibit to the Company’s Form 8-K dated October 2, 2015 and incorporated by reference herein.)</w:t>
              </w:r>
            </w:hyperlink>
          </w:p>
        </w:tc>
        <w:tc>
          <w:tcPr>
            <w:tcW w:w="1620" w:type="dxa"/>
            <w:vAlign w:val="bottom"/>
            <w:tcBorders>
              <w:top w:val="single" w:sz="8" w:color="0000FF"/>
            </w:tcBorders>
            <w:gridSpan w:val="19"/>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tcBorders>
              <w:bottom w:val="single" w:sz="8" w:color="0000FF"/>
            </w:tcBorders>
            <w:gridSpan w:val="25"/>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Ninth Amendment to Lease Agreement by and between Mainstreet CV North 40, LLC and Cross Country Healthcare, Inc., dated September</w:t>
              </w:r>
            </w:hyperlink>
          </w:p>
        </w:tc>
        <w:tc>
          <w:tcPr>
            <w:tcW w:w="220" w:type="dxa"/>
            <w:vAlign w:val="bottom"/>
            <w:gridSpan w:val="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29, 2015 (Previously filed as an exhibit to the Company’s Form 8-K dated October 2, 2015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tcBorders>
              <w:bottom w:val="single" w:sz="8" w:color="0000FF"/>
            </w:tcBorders>
            <w:gridSpan w:val="24"/>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Lease Agreement by and between Mainstreet CV North 40, LLC and Cross Country Healthcare, Inc., dated September 29, 2015 (Previously</w:t>
              </w:r>
            </w:hyperlink>
          </w:p>
        </w:tc>
        <w:tc>
          <w:tcPr>
            <w:tcW w:w="240" w:type="dxa"/>
            <w:vAlign w:val="bottom"/>
            <w:gridSpan w:val="7"/>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filed as an exhibit to the Company’s Form 8-K dated October 2, 2015 and incorporated by reference herein.)</w:t>
              </w:r>
            </w:hyperlink>
          </w:p>
        </w:tc>
        <w:tc>
          <w:tcPr>
            <w:tcW w:w="2540" w:type="dxa"/>
            <w:vAlign w:val="bottom"/>
            <w:gridSpan w:val="21"/>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60" w:type="dxa"/>
            <w:vAlign w:val="bottom"/>
            <w:tcBorders>
              <w:bottom w:val="single" w:sz="8" w:color="0000FF"/>
            </w:tcBorders>
            <w:gridSpan w:val="22"/>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Stock Purchase Agreement, dated October 19, 2015, by and among Cross Country Healthcare, Inc. and Dennis Ducham, Emily Serebryany,</w:t>
              </w:r>
            </w:hyperlink>
          </w:p>
        </w:tc>
        <w:tc>
          <w:tcPr>
            <w:tcW w:w="280" w:type="dxa"/>
            <w:vAlign w:val="bottom"/>
            <w:gridSpan w:val="9"/>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Emily Serebryany Trust dated 4/16/14, Val Serebryany, and Val Serebryany Family Trust dated 2/18/14 (Previously filed as an exhibit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Company's Form 8-K dated October 20, 2015 and incorporated by reference herein)</w:t>
              </w:r>
            </w:hyperlink>
          </w:p>
        </w:tc>
        <w:tc>
          <w:tcPr>
            <w:tcW w:w="260" w:type="dxa"/>
            <w:vAlign w:val="bottom"/>
            <w:gridSpan w:val="8"/>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80" w:type="dxa"/>
            <w:vAlign w:val="bottom"/>
            <w:tcBorders>
              <w:bottom w:val="single" w:sz="8" w:color="0000FF"/>
            </w:tcBorders>
            <w:gridSpan w:val="28"/>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Asset Purchase Agreement between Mediscan, Inc. and Direct Ed Solutions, Inc. and Mihal Spiegel, dated August 19, 2014 (Previously filed</w:t>
              </w:r>
            </w:hyperlink>
          </w:p>
        </w:tc>
        <w:tc>
          <w:tcPr>
            <w:tcW w:w="160" w:type="dxa"/>
            <w:vAlign w:val="bottom"/>
            <w:gridSpan w:val="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as an exhibit to the Company's Form 8-K dated November 3, 2015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10.37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0" w:type="dxa"/>
            <w:vAlign w:val="bottom"/>
            <w:tcBorders>
              <w:bottom w:val="single" w:sz="8" w:color="0000FF"/>
            </w:tcBorders>
            <w:gridSpan w:val="29"/>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Employment Agreement between Cross Country Healthcare, Inc. and Dennis Ducham, dated October 30, 2015 (Previously filed as an exhibit</w:t>
              </w:r>
            </w:hyperlink>
          </w:p>
        </w:tc>
        <w:tc>
          <w:tcPr>
            <w:tcW w:w="140" w:type="dxa"/>
            <w:vAlign w:val="bottom"/>
            <w:gridSpan w:val="2"/>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to the Company's Form 8-K dated November 3, 2015 and incorporated by reference herein.)</w:t>
              </w:r>
            </w:hyperlink>
          </w:p>
        </w:tc>
        <w:tc>
          <w:tcPr>
            <w:tcW w:w="3700" w:type="dxa"/>
            <w:vAlign w:val="bottom"/>
            <w:gridSpan w:val="25"/>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10.38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Employment Agreement between Cross Country Healthcare, Inc. and Val Serebryany, dated October 30, 2015 (Previously filed as an exhibit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0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the Company's Form 8-K dated November 3, 2015 and incorporated by reference herein.)</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10.39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Restricted Stock Agreement between Cross Country Healthcare, Inc. and New Mediscan Diagnostic Services, Inc., dated October 30, 2015</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(Previously filed as an exhibit to the Company's Form 8-K dated November 3, 2015 and incorporated by reference herein.)</w:t>
              </w:r>
            </w:hyperlink>
          </w:p>
        </w:tc>
        <w:tc>
          <w:tcPr>
            <w:tcW w:w="1160" w:type="dxa"/>
            <w:vAlign w:val="bottom"/>
            <w:tcBorders>
              <w:top w:val="single" w:sz="8" w:color="0000FF"/>
            </w:tcBorders>
            <w:gridSpan w:val="9"/>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00" w:type="dxa"/>
            <w:vAlign w:val="bottom"/>
            <w:tcBorders>
              <w:bottom w:val="single" w:sz="8" w:color="0000FF"/>
            </w:tcBorders>
            <w:gridSpan w:val="24"/>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Lease Agreement between Golden Egg, LLC and Mediscan Staffing Services, dba Mediscan Diagnostics, Mediscan Therapy Inc., Direct Ed</w:t>
              </w:r>
            </w:hyperlink>
          </w:p>
        </w:tc>
        <w:tc>
          <w:tcPr>
            <w:tcW w:w="240" w:type="dxa"/>
            <w:vAlign w:val="bottom"/>
            <w:gridSpan w:val="7"/>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w w:val="97"/>
              </w:rPr>
            </w:pPr>
            <w:hyperlink r:id="rId59">
              <w:r>
                <w:rPr>
                  <w:rFonts w:ascii="Arial" w:cs="Arial" w:eastAsia="Arial" w:hAnsi="Arial"/>
                  <w:sz w:val="18"/>
                  <w:szCs w:val="18"/>
                  <w:color w:val="0000FF"/>
                  <w:w w:val="97"/>
                </w:rPr>
                <w:t>Solutions, and Direct Ed Specialized Services, dated August 4, 2015 (Previously filed as an exhibit to the Company's Form 8-K dated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November 3, 2015 and incorporated by reference herein.)</w:t>
              </w:r>
            </w:hyperlink>
          </w:p>
        </w:tc>
        <w:tc>
          <w:tcPr>
            <w:tcW w:w="5480" w:type="dxa"/>
            <w:vAlign w:val="bottom"/>
            <w:tcBorders>
              <w:top w:val="single" w:sz="8" w:color="0000FF"/>
            </w:tcBorders>
            <w:gridSpan w:val="12"/>
          </w:tcPr>
          <w:p>
            <w:pPr>
              <w:spacing w:after="0"/>
              <w:rPr>
                <w:sz w:val="17"/>
                <w:szCs w:val="17"/>
                <w:color w:val="auto"/>
              </w:rPr>
            </w:pPr>
          </w:p>
        </w:tc>
        <w:tc>
          <w:tcPr>
            <w:tcW w:w="720" w:type="dxa"/>
            <w:vAlign w:val="bottom"/>
            <w:gridSpan w:val="16"/>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First Amendment to Lease Agreement between Golden Egg, LLC and Mediscan Diagnostic Services, Mediscan Nursing Staffing, Direct 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Solutions, and Direct Ed Specialized Services, dated October 30, 2015 (Previously filed as an exhibit to the Company's Form 8-K dated</w:t>
              </w:r>
            </w:hyperlink>
          </w:p>
        </w:tc>
        <w:tc>
          <w:tcPr>
            <w:tcW w:w="300" w:type="dxa"/>
            <w:vAlign w:val="bottom"/>
            <w:tcBorders>
              <w:top w:val="single" w:sz="8" w:color="0000FF"/>
            </w:tcBorders>
            <w:gridSpan w:val="5"/>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November 3, 2015 and incorporated by reference herein.)</w:t>
              </w:r>
            </w:hyperlink>
          </w:p>
        </w:tc>
        <w:tc>
          <w:tcPr>
            <w:tcW w:w="6200" w:type="dxa"/>
            <w:vAlign w:val="bottom"/>
            <w:gridSpan w:val="28"/>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Third Amendment to Lease Agreement between RNSI City Place Owner, LLC and Cejka Search, Inc., dated December 2, 2015 (Previously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22"/>
          </w:tcPr>
          <w:p>
            <w:pPr>
              <w:spacing w:after="0" w:line="196"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filed as an exhibit to the Company's Form 10-KA for the year ended December 31, 2015 and incorporated by reference herein.)</w:t>
              </w:r>
            </w:hyperlink>
          </w:p>
        </w:tc>
        <w:tc>
          <w:tcPr>
            <w:tcW w:w="280" w:type="dxa"/>
            <w:vAlign w:val="bottom"/>
            <w:gridSpan w:val="9"/>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10.43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Employment Agreement, dated as of March 9, 2016, between William J. Grubbs and the Registrant (Previously filed as an exhibit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Company's Form 10-K for the year ended December 31, 2015 and incorporated by reference herein.)</w:t>
              </w:r>
            </w:hyperlink>
          </w:p>
        </w:tc>
        <w:tc>
          <w:tcPr>
            <w:tcW w:w="2540" w:type="dxa"/>
            <w:vAlign w:val="bottom"/>
            <w:tcBorders>
              <w:top w:val="single" w:sz="8" w:color="0000FF"/>
            </w:tcBorders>
            <w:gridSpan w:val="12"/>
          </w:tcPr>
          <w:p>
            <w:pPr>
              <w:spacing w:after="0"/>
              <w:rPr>
                <w:sz w:val="17"/>
                <w:szCs w:val="17"/>
                <w:color w:val="auto"/>
              </w:rPr>
            </w:pPr>
          </w:p>
        </w:tc>
        <w:tc>
          <w:tcPr>
            <w:tcW w:w="540" w:type="dxa"/>
            <w:vAlign w:val="bottom"/>
            <w:gridSpan w:val="12"/>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Credit Agreement, dated June 22, 2016, by and among Cross Country Healthcare, Inc., as borrower, certain of its domestic subsidiaries, as</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guarantors, the Lenders referenced therein, and Suntrust Bank, as agent (previously filed as an exhibit to the Company's Form 8-K dated June</w:t>
              </w:r>
            </w:hyperlink>
          </w:p>
        </w:tc>
        <w:tc>
          <w:tcPr>
            <w:tcW w:w="1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1"/>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22, 2016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Tenth Amendment to Lease agreement between Mainstreet CV North 40, LLC and Cross Country Healthcare, Inc., dated September 19, 2016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top w:val="single" w:sz="8" w:color="0000FF"/>
              <w:bottom w:val="single" w:sz="8" w:color="0000FF"/>
            </w:tcBorders>
            <w:gridSpan w:val="27"/>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(Previously filed as an exhibit to the Company’s Form 10-Q for the quarter ended September 30, 2016 and incorporated by reference herein.)</w:t>
              </w:r>
            </w:hyperlink>
          </w:p>
        </w:tc>
        <w:tc>
          <w:tcPr>
            <w:tcW w:w="40" w:type="dxa"/>
            <w:vAlign w:val="bottom"/>
            <w:tcBorders>
              <w:top w:val="single" w:sz="8" w:color="0000FF"/>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60" w:type="dxa"/>
            <w:vAlign w:val="bottom"/>
            <w:tcBorders>
              <w:bottom w:val="single" w:sz="8" w:color="0000FF"/>
            </w:tcBorders>
            <w:gridSpan w:val="17"/>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Amendment to Lease agreement between Mainstreet CV North 40, LLC and Cross Country Healthcare, Inc., dated September 19, 2016</w:t>
              </w:r>
            </w:hyperlink>
          </w:p>
        </w:tc>
        <w:tc>
          <w:tcPr>
            <w:tcW w:w="580" w:type="dxa"/>
            <w:vAlign w:val="bottom"/>
            <w:gridSpan w:val="14"/>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(Previously filed as an exhibit to the Company’s Form 10-Q for the quarter ended September 30, 2016 and incorporated by reference herein.)</w:t>
              </w:r>
            </w:hyperlink>
          </w:p>
        </w:tc>
        <w:tc>
          <w:tcPr>
            <w:tcW w:w="180" w:type="dxa"/>
            <w:vAlign w:val="bottom"/>
            <w:gridSpan w:val="4"/>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Amendment No. 2, dated October 31, 2016 to Convertible Note Purchase Agreement, dated June 30, 2014,among Cross Country Healthcare,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40" w:type="dxa"/>
            <w:vAlign w:val="bottom"/>
            <w:tcBorders>
              <w:top w:val="single" w:sz="8" w:color="0000FF"/>
            </w:tcBorders>
            <w:gridSpan w:val="26"/>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Inc., the Guarantor subsidiaries of the Company named therein, and theNoteholders named therein (Previously filed as an exhibit to the</w:t>
              </w:r>
            </w:hyperlink>
          </w:p>
        </w:tc>
        <w:tc>
          <w:tcPr>
            <w:tcW w:w="2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Company’s Form 10-Q for the quarter ended September 30, 2016 and incorporated by reference herein.)</w:t>
              </w:r>
            </w:hyperlink>
          </w:p>
        </w:tc>
        <w:tc>
          <w:tcPr>
            <w:tcW w:w="600" w:type="dxa"/>
            <w:vAlign w:val="bottom"/>
            <w:gridSpan w:val="1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6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0" w:type="dxa"/>
            <w:vAlign w:val="bottom"/>
            <w:gridSpan w:val="2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1"/>
          </w:tcPr>
          <w:p>
            <w:pPr>
              <w:spacing w:after="0"/>
              <w:rPr>
                <w:rFonts w:ascii="Arial" w:cs="Arial" w:eastAsia="Arial" w:hAnsi="Arial"/>
                <w:sz w:val="18"/>
                <w:szCs w:val="18"/>
                <w:color w:val="0000FF"/>
                <w:w w:val="89"/>
              </w:rPr>
            </w:pPr>
            <w:hyperlink r:id="rId67">
              <w:r>
                <w:rPr>
                  <w:rFonts w:ascii="Arial" w:cs="Arial" w:eastAsia="Arial" w:hAnsi="Arial"/>
                  <w:sz w:val="18"/>
                  <w:szCs w:val="18"/>
                  <w:color w:val="0000FF"/>
                  <w:w w:val="89"/>
                </w:rPr>
                <w:t>Amendment No. 3, dated December 27, 2016 to Convertible Note Purchase Agreement, dated June 30, 2014,among Cross Country Healthcare,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00" w:type="dxa"/>
            <w:vAlign w:val="bottom"/>
            <w:tcBorders>
              <w:top w:val="single" w:sz="8" w:color="0000FF"/>
            </w:tcBorders>
            <w:gridSpan w:val="30"/>
          </w:tcPr>
          <w:p>
            <w:pPr>
              <w:spacing w:after="0" w:line="19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Inc., the Guarantor subsidiaries of the Company named therein, and theNoteholders named therein (Previously filed as an exhibit to the</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Company's Form 10-K for the year ended December 31, 2016 and incorporated by reference herein.)</w:t>
              </w:r>
            </w:hyperlink>
          </w:p>
        </w:tc>
        <w:tc>
          <w:tcPr>
            <w:tcW w:w="2480" w:type="dxa"/>
            <w:vAlign w:val="bottom"/>
            <w:tcBorders>
              <w:top w:val="single" w:sz="8" w:color="0000FF"/>
            </w:tcBorders>
            <w:gridSpan w:val="9"/>
          </w:tcPr>
          <w:p>
            <w:pPr>
              <w:spacing w:after="0"/>
              <w:rPr>
                <w:sz w:val="17"/>
                <w:szCs w:val="17"/>
                <w:color w:val="auto"/>
              </w:rPr>
            </w:pPr>
          </w:p>
        </w:tc>
        <w:tc>
          <w:tcPr>
            <w:tcW w:w="600" w:type="dxa"/>
            <w:vAlign w:val="bottom"/>
            <w:gridSpan w:val="15"/>
          </w:tcPr>
          <w:p>
            <w:pPr>
              <w:spacing w:after="0"/>
              <w:rPr>
                <w:sz w:val="17"/>
                <w:szCs w:val="17"/>
                <w:color w:val="auto"/>
              </w:rPr>
            </w:pPr>
          </w:p>
        </w:tc>
      </w:tr>
      <w:tr>
        <w:trPr>
          <w:trHeight w:val="507"/>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80" w:type="dxa"/>
            <w:vAlign w:val="bottom"/>
            <w:gridSpan w:val="5"/>
          </w:tcPr>
          <w:p>
            <w:pPr>
              <w:jc w:val="right"/>
              <w:ind w:right="123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0" w:type="dxa"/>
            <w:vAlign w:val="bottom"/>
            <w:gridSpan w:val="26"/>
          </w:tcPr>
          <w:p>
            <w:pPr>
              <w:ind w:left="580"/>
              <w:spacing w:after="0"/>
              <w:rPr>
                <w:sz w:val="20"/>
                <w:szCs w:val="20"/>
                <w:color w:val="auto"/>
              </w:rPr>
            </w:pPr>
            <w:r>
              <w:rPr>
                <w:rFonts w:ascii="Arial" w:cs="Arial" w:eastAsia="Arial" w:hAnsi="Arial"/>
                <w:sz w:val="18"/>
                <w:szCs w:val="18"/>
                <w:b w:val="1"/>
                <w:bCs w:val="1"/>
                <w:color w:val="auto"/>
              </w:rPr>
              <w:t>EXHIBIT INDEX (CONTINUED)</w:t>
            </w:r>
          </w:p>
        </w:tc>
      </w:tr>
      <w:tr>
        <w:trPr>
          <w:trHeight w:val="378"/>
        </w:trPr>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6"/>
          </w:tcPr>
          <w:p>
            <w:pPr>
              <w:ind w:left="19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10.49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4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Asset Purchase Agreement, dated June 13, 2017, among Cross Country Healthcare, Inc., as Buyer,Advantage RN, LLC, Advantage On Call,</w:t>
              </w:r>
            </w:hyperlink>
          </w:p>
        </w:tc>
        <w:tc>
          <w:tcPr>
            <w:tcW w:w="20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LLC, Advantage Locums, LLC, and Advantage RN LocalStaffing, the Seller Parties, and Seller Representative (Previously filed as an exhibit</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to the Company's Form8-K dated June 13, 2017 and incorporated by reference herein.)</w:t>
              </w:r>
            </w:hyperlink>
          </w:p>
        </w:tc>
        <w:tc>
          <w:tcPr>
            <w:tcW w:w="14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Incremental Term Loan Agreement, dated July 1, 2017 to Credit Agreement, dated June 22, 2016, by andamong Cross Country Healthcare,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Inc., as borrower, certain of its domestic subsidiaries, as guarantors,Suntrust Bank, as lender, and Suntrust Bank, as agent (Previously filed as</w:t>
              </w:r>
            </w:hyperlink>
          </w:p>
        </w:tc>
        <w:tc>
          <w:tcPr>
            <w:tcW w:w="16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an exhibit to the Company's Form8-K dated July 6, 2017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w w:val="96"/>
              </w:rPr>
            </w:pPr>
            <w:hyperlink r:id="rId70">
              <w:r>
                <w:rPr>
                  <w:rFonts w:ascii="Arial" w:cs="Arial" w:eastAsia="Arial" w:hAnsi="Arial"/>
                  <w:sz w:val="18"/>
                  <w:szCs w:val="18"/>
                  <w:color w:val="0000FF"/>
                  <w:w w:val="96"/>
                </w:rPr>
                <w:t>Second Amendment to Credit Agreement, dated July 5, 2017 to Credit Agreement, dated June 22, 2016, byand among Cross Country</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70">
              <w:r>
                <w:rPr>
                  <w:rFonts w:ascii="Arial" w:cs="Arial" w:eastAsia="Arial" w:hAnsi="Arial"/>
                  <w:sz w:val="18"/>
                  <w:szCs w:val="18"/>
                  <w:color w:val="0000FF"/>
                  <w:w w:val="89"/>
                </w:rPr>
                <w:t>Healthcare, Inc., as borrower, certain of its domestic subsidiaries, as guarantors,the Lenders referenced therein, and Suntrust Bank, as agent</w:t>
              </w:r>
            </w:hyperlink>
          </w:p>
        </w:tc>
        <w:tc>
          <w:tcPr>
            <w:tcW w:w="30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(Previously filed as an exhibit to the Company'sForm 8-K dated July 6, 2017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60" w:type="dxa"/>
            <w:vAlign w:val="bottom"/>
            <w:tcBorders>
              <w:bottom w:val="single" w:sz="8" w:color="0000FF"/>
            </w:tcBorders>
            <w:gridSpan w:val="18"/>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Amended and Restated Credit Agreement, dated August 1, 2017 to Credit Agreement, by and among CrossCountry Healthcare, Inc., as</w:t>
              </w:r>
            </w:hyperlink>
          </w:p>
        </w:tc>
        <w:tc>
          <w:tcPr>
            <w:tcW w:w="580" w:type="dxa"/>
            <w:vAlign w:val="bottom"/>
            <w:gridSpan w:val="12"/>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borrower, certain of its domestic subsidiaries, as guarantors, the Lendersreferenced therein, SunTrust Bank, as Administrative Agent,</w:t>
              </w:r>
            </w:hyperlink>
          </w:p>
        </w:tc>
        <w:tc>
          <w:tcPr>
            <w:tcW w:w="740" w:type="dxa"/>
            <w:vAlign w:val="bottom"/>
            <w:gridSpan w:val="1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Swingline Lender and an issuing bank; BMOHarris Bank, N.A. as Syndication Agent; and Bank United N.A. and Fifth Third Bank as Co-</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2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DocumentationAgents (Previously filed as an exhibit to the Company's Form 8-K dated August 2, 2017 and incorporated byreference herein.)</w:t>
              </w:r>
            </w:hyperlink>
          </w:p>
        </w:tc>
        <w:tc>
          <w:tcPr>
            <w:tcW w:w="120" w:type="dxa"/>
            <w:vAlign w:val="bottom"/>
            <w:gridSpan w:val="2"/>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60" w:type="dxa"/>
            <w:vAlign w:val="bottom"/>
            <w:tcBorders>
              <w:bottom w:val="single" w:sz="8" w:color="0000FF"/>
            </w:tcBorders>
            <w:gridSpan w:val="25"/>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Fourth Amendment to Lease Agreement between RNSI City Place Owner, LLC and Cejka Search, Inc.,dated May 31, 2017 (Previously filed</w:t>
              </w:r>
            </w:hyperlink>
          </w:p>
        </w:tc>
        <w:tc>
          <w:tcPr>
            <w:tcW w:w="180" w:type="dxa"/>
            <w:vAlign w:val="bottom"/>
            <w:gridSpan w:val="5"/>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as an exhibit to the Company's Form 10-Q for the quarter ended September 30, 2017 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10.54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Amended and Restated Employment Agreement, dated January 28, 2018, between William J. Burns and Cross Country Healthcare, Inc.</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(Previously filed as an exhibit to the Company’s Form 8-K dated January 26, 2018 and incorporated by reference herein.)</w:t>
              </w:r>
            </w:hyperlink>
          </w:p>
        </w:tc>
        <w:tc>
          <w:tcPr>
            <w:tcW w:w="560" w:type="dxa"/>
            <w:vAlign w:val="bottom"/>
            <w:gridSpan w:val="11"/>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*10.55 #</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Cross Country Healthcare, Inc. Executive Nonqualified Excess Plan Adoption Agreement.</w:t>
              </w:r>
            </w:hyperlink>
          </w:p>
        </w:tc>
        <w:tc>
          <w:tcPr>
            <w:tcW w:w="2220" w:type="dxa"/>
            <w:vAlign w:val="bottom"/>
            <w:tcBorders>
              <w:top w:val="single" w:sz="8" w:color="0000FF"/>
            </w:tcBorders>
            <w:gridSpan w:val="3"/>
          </w:tcPr>
          <w:p>
            <w:pPr>
              <w:spacing w:after="0"/>
              <w:rPr>
                <w:sz w:val="21"/>
                <w:szCs w:val="21"/>
                <w:color w:val="auto"/>
              </w:rPr>
            </w:pPr>
          </w:p>
        </w:tc>
        <w:tc>
          <w:tcPr>
            <w:tcW w:w="1600" w:type="dxa"/>
            <w:vAlign w:val="bottom"/>
            <w:gridSpan w:val="16"/>
          </w:tcPr>
          <w:p>
            <w:pPr>
              <w:spacing w:after="0"/>
              <w:rPr>
                <w:sz w:val="21"/>
                <w:szCs w:val="2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80" w:type="dxa"/>
            <w:vAlign w:val="bottom"/>
            <w:tcBorders>
              <w:bottom w:val="single" w:sz="8" w:color="0000FF"/>
            </w:tcBorders>
            <w:gridSpan w:val="29"/>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ISDA Master Agreement between Wells Fargo Bank, N.A. and Cross Country Healthcare, Inc. dated as of February 14 2018 (with Schedule to</w:t>
              </w:r>
            </w:hyperlink>
          </w:p>
        </w:tc>
        <w:tc>
          <w:tcPr>
            <w:tcW w:w="6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FF"/>
              </w:rPr>
            </w:pPr>
            <w:hyperlink w:anchor="page115">
              <w:r>
                <w:rPr>
                  <w:rFonts w:ascii="Arial" w:cs="Arial" w:eastAsia="Arial" w:hAnsi="Arial"/>
                  <w:sz w:val="18"/>
                  <w:szCs w:val="18"/>
                  <w:color w:val="0000FF"/>
                </w:rPr>
                <w:t>the Master Agreement).</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tcBorders>
              <w:bottom w:val="single" w:sz="8" w:color="0000FF"/>
            </w:tcBorders>
            <w:gridSpan w:val="23"/>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Code of Ethics, revised February 2, 2016 (Previously filed as an exhibit to the Company's Form 10-K for the year ended December 31, 2015</w:t>
              </w:r>
            </w:hyperlink>
          </w:p>
        </w:tc>
        <w:tc>
          <w:tcPr>
            <w:tcW w:w="220" w:type="dxa"/>
            <w:vAlign w:val="bottom"/>
            <w:gridSpan w:val="7"/>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and incorporated by reference herein.)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Letter re Change in Certifying Accountant (Previously filed as exhibit to the Company's Form 8-K dated March 13, 2015 and incorporated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reference herein.)</w:t>
              </w:r>
            </w:hyperlink>
          </w:p>
        </w:tc>
        <w:tc>
          <w:tcPr>
            <w:tcW w:w="14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List of subsidiaries of the Registrant</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Consent of Deloitte &amp; Touche LLP, Independent Registered Public Accounting Firm</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w w:val="95"/>
              </w:rPr>
            </w:pPr>
            <w:hyperlink w:anchor="page155">
              <w:r>
                <w:rPr>
                  <w:rFonts w:ascii="Arial" w:cs="Arial" w:eastAsia="Arial" w:hAnsi="Arial"/>
                  <w:sz w:val="18"/>
                  <w:szCs w:val="18"/>
                  <w:color w:val="0000FF"/>
                  <w:w w:val="95"/>
                </w:rPr>
                <w:t>Certification Pursuant to Rule 13a-14(a)/15d-14(a) and pursuant to Section 302 of the Sarbanes-Oxley Act of 2002 by William J. Grubbs,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155">
              <w:r>
                <w:rPr>
                  <w:rFonts w:ascii="Arial" w:cs="Arial" w:eastAsia="Arial" w:hAnsi="Arial"/>
                  <w:sz w:val="18"/>
                  <w:szCs w:val="18"/>
                  <w:color w:val="0000FF"/>
                </w:rPr>
                <w:t>President, Chief Executive Officer, Director (Principal Executive Officer)</w:t>
              </w:r>
            </w:hyperlink>
          </w:p>
        </w:tc>
        <w:tc>
          <w:tcPr>
            <w:tcW w:w="40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w w:val="93"/>
              </w:rPr>
            </w:pPr>
            <w:hyperlink w:anchor="page156">
              <w:r>
                <w:rPr>
                  <w:rFonts w:ascii="Arial" w:cs="Arial" w:eastAsia="Arial" w:hAnsi="Arial"/>
                  <w:sz w:val="18"/>
                  <w:szCs w:val="18"/>
                  <w:color w:val="0000FF"/>
                  <w:w w:val="93"/>
                </w:rPr>
                <w:t>Certification Pursuant to Rule 13a-14(a)/15d-14(a) and pursuant to Section 302 of the Sarbanes-Oxley Act of 2002 by Christopher R. Pizzi,</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3"/>
              </w:rPr>
            </w:pPr>
            <w:hyperlink w:anchor="page156">
              <w:r>
                <w:rPr>
                  <w:rFonts w:ascii="Arial" w:cs="Arial" w:eastAsia="Arial" w:hAnsi="Arial"/>
                  <w:sz w:val="18"/>
                  <w:szCs w:val="18"/>
                  <w:color w:val="0000FF"/>
                  <w:w w:val="93"/>
                </w:rPr>
                <w:t>SVP &amp; Chief Financial Officer (Principal Accounting and Financial Officer)</w:t>
              </w:r>
            </w:hyperlink>
          </w:p>
        </w:tc>
        <w:tc>
          <w:tcPr>
            <w:tcW w:w="4520" w:type="dxa"/>
            <w:vAlign w:val="bottom"/>
            <w:tcBorders>
              <w:top w:val="single" w:sz="8" w:color="0000FF"/>
            </w:tcBorders>
            <w:gridSpan w:val="16"/>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4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57">
              <w:r>
                <w:rPr>
                  <w:rFonts w:ascii="Arial" w:cs="Arial" w:eastAsia="Arial" w:hAnsi="Arial"/>
                  <w:sz w:val="18"/>
                  <w:szCs w:val="18"/>
                  <w:color w:val="0000FF"/>
                  <w:w w:val="90"/>
                </w:rPr>
                <w:t>Certification Pursuant to 18 U.S.C. Section 1350, as adopted pursuant to Section 906 of the Sarbanes-Oxley Act of 2002, by William J.</w:t>
              </w:r>
            </w:hyperlink>
          </w:p>
        </w:tc>
        <w:tc>
          <w:tcPr>
            <w:tcW w:w="600" w:type="dxa"/>
            <w:vAlign w:val="bottom"/>
            <w:gridSpan w:val="1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FF"/>
              </w:rPr>
            </w:pPr>
            <w:hyperlink w:anchor="page157">
              <w:r>
                <w:rPr>
                  <w:rFonts w:ascii="Arial" w:cs="Arial" w:eastAsia="Arial" w:hAnsi="Arial"/>
                  <w:sz w:val="18"/>
                  <w:szCs w:val="18"/>
                  <w:color w:val="0000FF"/>
                </w:rPr>
                <w:t>Grubbs, President, Chief Executive Officer, Director (Principal Executive Officer)</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2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gridSpan w:val="1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0000FF"/>
                <w:w w:val="93"/>
              </w:rPr>
            </w:pPr>
            <w:hyperlink w:anchor="page158">
              <w:r>
                <w:rPr>
                  <w:rFonts w:ascii="Arial" w:cs="Arial" w:eastAsia="Arial" w:hAnsi="Arial"/>
                  <w:sz w:val="18"/>
                  <w:szCs w:val="18"/>
                  <w:color w:val="0000FF"/>
                  <w:w w:val="93"/>
                </w:rPr>
                <w:t>Certification Pursuant to 18 U.S.C. Section 1350, as adopted pursuant to Section 906 of the Sarbanes-Oxley Act of 2002, by Christopher 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w:anchor="page158">
              <w:r>
                <w:rPr>
                  <w:rFonts w:ascii="Arial" w:cs="Arial" w:eastAsia="Arial" w:hAnsi="Arial"/>
                  <w:sz w:val="18"/>
                  <w:szCs w:val="18"/>
                  <w:color w:val="0000FF"/>
                </w:rPr>
                <w:t>Pizzi, SVP &amp; Chief Financial Officer (Principal Accounting and Financial Officer)</w:t>
              </w:r>
            </w:hyperlink>
          </w:p>
        </w:tc>
        <w:tc>
          <w:tcPr>
            <w:tcW w:w="300" w:type="dxa"/>
            <w:vAlign w:val="bottom"/>
            <w:gridSpan w:val="8"/>
          </w:tcPr>
          <w:p>
            <w:pPr>
              <w:spacing w:after="0"/>
              <w:rPr>
                <w:sz w:val="17"/>
                <w:szCs w:val="17"/>
                <w:color w:val="auto"/>
              </w:rPr>
            </w:pPr>
          </w:p>
        </w:tc>
      </w:tr>
      <w:tr>
        <w:trPr>
          <w:trHeight w:val="642"/>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5960" w:type="dxa"/>
            <w:vAlign w:val="bottom"/>
            <w:tcBorders>
              <w:top w:val="single" w:sz="8" w:color="0000FF"/>
            </w:tcBorders>
            <w:gridSpan w:val="8"/>
          </w:tcPr>
          <w:p>
            <w:pPr>
              <w:ind w:left="680"/>
              <w:spacing w:after="0"/>
              <w:rPr>
                <w:sz w:val="20"/>
                <w:szCs w:val="20"/>
                <w:color w:val="auto"/>
              </w:rPr>
            </w:pPr>
            <w:r>
              <w:rPr>
                <w:rFonts w:ascii="Arial" w:cs="Arial" w:eastAsia="Arial" w:hAnsi="Arial"/>
                <w:sz w:val="18"/>
                <w:szCs w:val="18"/>
                <w:color w:val="auto"/>
              </w:rPr>
              <w:t>XBRL Instance Document</w:t>
            </w:r>
          </w:p>
        </w:tc>
        <w:tc>
          <w:tcPr>
            <w:tcW w:w="4380" w:type="dxa"/>
            <w:vAlign w:val="bottom"/>
            <w:gridSpan w:val="22"/>
          </w:tcPr>
          <w:p>
            <w:pPr>
              <w:spacing w:after="0"/>
              <w:rPr>
                <w:sz w:val="24"/>
                <w:szCs w:val="24"/>
                <w:color w:val="auto"/>
              </w:rPr>
            </w:pP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3"/>
                <w:szCs w:val="23"/>
                <w:color w:val="auto"/>
              </w:rPr>
            </w:pPr>
          </w:p>
        </w:tc>
        <w:tc>
          <w:tcPr>
            <w:tcW w:w="10340" w:type="dxa"/>
            <w:vAlign w:val="bottom"/>
            <w:gridSpan w:val="30"/>
          </w:tcPr>
          <w:p>
            <w:pPr>
              <w:ind w:left="6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3"/>
                <w:szCs w:val="23"/>
                <w:color w:val="auto"/>
              </w:rPr>
            </w:pPr>
          </w:p>
        </w:tc>
        <w:tc>
          <w:tcPr>
            <w:tcW w:w="10340" w:type="dxa"/>
            <w:vAlign w:val="bottom"/>
            <w:gridSpan w:val="30"/>
          </w:tcPr>
          <w:p>
            <w:pPr>
              <w:ind w:left="6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10340" w:type="dxa"/>
            <w:vAlign w:val="bottom"/>
            <w:gridSpan w:val="30"/>
          </w:tcPr>
          <w:p>
            <w:pPr>
              <w:ind w:left="6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10340" w:type="dxa"/>
            <w:vAlign w:val="bottom"/>
            <w:gridSpan w:val="30"/>
          </w:tcPr>
          <w:p>
            <w:pPr>
              <w:ind w:left="6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3"/>
                <w:szCs w:val="23"/>
                <w:color w:val="auto"/>
              </w:rPr>
            </w:pPr>
          </w:p>
        </w:tc>
        <w:tc>
          <w:tcPr>
            <w:tcW w:w="10340" w:type="dxa"/>
            <w:vAlign w:val="bottom"/>
            <w:gridSpan w:val="30"/>
          </w:tcPr>
          <w:p>
            <w:pPr>
              <w:ind w:left="680"/>
              <w:spacing w:after="0"/>
              <w:rPr>
                <w:sz w:val="20"/>
                <w:szCs w:val="20"/>
                <w:color w:val="auto"/>
              </w:rPr>
            </w:pPr>
            <w:r>
              <w:rPr>
                <w:rFonts w:ascii="Arial" w:cs="Arial" w:eastAsia="Arial" w:hAnsi="Arial"/>
                <w:sz w:val="18"/>
                <w:szCs w:val="18"/>
                <w:color w:val="auto"/>
              </w:rPr>
              <w:t>PRE 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96" w:right="239" w:bottom="1440" w:gutter="0" w:footer="0" w:header="0"/>
        </w:sectPr>
      </w:pPr>
    </w:p>
    <w:bookmarkStart w:id="54" w:name="page55"/>
    <w:bookmarkEnd w:id="54"/>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0" w:type="dxa"/>
            <w:vAlign w:val="bottom"/>
            <w:gridSpan w:val="7"/>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7"/>
        </w:trPr>
        <w:tc>
          <w:tcPr>
            <w:tcW w:w="107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Cross Country Healthcare, Inc.</w:t>
            </w: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700" w:type="dxa"/>
            <w:vAlign w:val="bottom"/>
            <w:gridSpan w:val="9"/>
            <w:vMerge w:val="continue"/>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4220" w:type="dxa"/>
            <w:vAlign w:val="bottom"/>
            <w:gridSpan w:val="2"/>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Report of Independent Registered Public Accounting Firm</w:t>
              </w:r>
            </w:hyperlink>
          </w:p>
        </w:tc>
        <w:tc>
          <w:tcPr>
            <w:tcW w:w="632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6">
              <w:r>
                <w:rPr>
                  <w:rFonts w:ascii="Arial" w:cs="Arial" w:eastAsia="Arial" w:hAnsi="Arial"/>
                  <w:sz w:val="18"/>
                  <w:szCs w:val="18"/>
                  <w:color w:val="0000FF"/>
                  <w:w w:val="87"/>
                </w:rPr>
                <w:t>F- 2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Balance Sheets as of December 31, 2017 and 2016</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F- 3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Operations for the Years Ended December 31, 2017, 2016, and 2015</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8">
              <w:r>
                <w:rPr>
                  <w:rFonts w:ascii="Arial" w:cs="Arial" w:eastAsia="Arial" w:hAnsi="Arial"/>
                  <w:sz w:val="18"/>
                  <w:szCs w:val="18"/>
                  <w:color w:val="0000FF"/>
                  <w:w w:val="87"/>
                </w:rPr>
                <w:t>F- 4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Comprehensive Income for the Years Ended December 31, 2017, 2016, and 2015</w:t>
              </w:r>
            </w:hyperlink>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9">
              <w:r>
                <w:rPr>
                  <w:rFonts w:ascii="Arial" w:cs="Arial" w:eastAsia="Arial" w:hAnsi="Arial"/>
                  <w:sz w:val="18"/>
                  <w:szCs w:val="18"/>
                  <w:color w:val="0000FF"/>
                  <w:w w:val="87"/>
                </w:rPr>
                <w:t>F- 5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Consolidated Statements of Stockholders’ Equity for the Years Ended December 31, 2017, 2016, and 2015</w:t>
              </w:r>
            </w:hyperlink>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60">
              <w:r>
                <w:rPr>
                  <w:rFonts w:ascii="Arial" w:cs="Arial" w:eastAsia="Arial" w:hAnsi="Arial"/>
                  <w:sz w:val="18"/>
                  <w:szCs w:val="18"/>
                  <w:color w:val="0000FF"/>
                  <w:w w:val="87"/>
                </w:rPr>
                <w:t>F- 6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680" w:type="dxa"/>
            <w:vAlign w:val="bottom"/>
            <w:gridSpan w:val="6"/>
          </w:tcPr>
          <w:p>
            <w:pPr>
              <w:spacing w:after="0"/>
              <w:rPr>
                <w:rFonts w:ascii="Arial" w:cs="Arial" w:eastAsia="Arial" w:hAnsi="Arial"/>
                <w:sz w:val="18"/>
                <w:szCs w:val="18"/>
                <w:color w:val="0000EE"/>
                <w:w w:val="97"/>
              </w:rPr>
            </w:pPr>
            <w:hyperlink w:anchor="page61">
              <w:r>
                <w:rPr>
                  <w:rFonts w:ascii="Arial" w:cs="Arial" w:eastAsia="Arial" w:hAnsi="Arial"/>
                  <w:sz w:val="18"/>
                  <w:szCs w:val="18"/>
                  <w:color w:val="0000EE"/>
                  <w:w w:val="97"/>
                </w:rPr>
                <w:t>Consolidated Statements of Cash Flows for the Years Ended December 31, 2017, 2016, and 2015</w:t>
              </w:r>
            </w:hyperlink>
          </w:p>
        </w:tc>
        <w:tc>
          <w:tcPr>
            <w:tcW w:w="28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61">
              <w:r>
                <w:rPr>
                  <w:rFonts w:ascii="Arial" w:cs="Arial" w:eastAsia="Arial" w:hAnsi="Arial"/>
                  <w:sz w:val="18"/>
                  <w:szCs w:val="18"/>
                  <w:color w:val="0000FF"/>
                  <w:w w:val="87"/>
                </w:rPr>
                <w:t>F- 7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00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35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62">
              <w:r>
                <w:rPr>
                  <w:rFonts w:ascii="Arial" w:cs="Arial" w:eastAsia="Arial" w:hAnsi="Arial"/>
                  <w:sz w:val="18"/>
                  <w:szCs w:val="18"/>
                  <w:color w:val="0000FF"/>
                  <w:w w:val="87"/>
                </w:rPr>
                <w:t>F- 8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70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 Schedule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Schedule II – Valuation and Qualifying Accounts for the Years Ended December 31, 2017, 2016, and 2015</w:t>
              </w:r>
            </w:hyperlink>
          </w:p>
        </w:tc>
        <w:tc>
          <w:tcPr>
            <w:tcW w:w="200" w:type="dxa"/>
            <w:vAlign w:val="bottom"/>
          </w:tcPr>
          <w:p>
            <w:pPr>
              <w:spacing w:after="0"/>
              <w:rPr>
                <w:sz w:val="24"/>
                <w:szCs w:val="24"/>
                <w:color w:val="auto"/>
              </w:rPr>
            </w:pPr>
          </w:p>
        </w:tc>
        <w:tc>
          <w:tcPr>
            <w:tcW w:w="480" w:type="dxa"/>
            <w:vAlign w:val="bottom"/>
            <w:gridSpan w:val="2"/>
          </w:tcPr>
          <w:p>
            <w:pPr>
              <w:jc w:val="center"/>
              <w:ind w:right="180"/>
              <w:spacing w:after="0"/>
              <w:rPr>
                <w:rFonts w:ascii="Arial" w:cs="Arial" w:eastAsia="Arial" w:hAnsi="Arial"/>
                <w:sz w:val="18"/>
                <w:szCs w:val="18"/>
                <w:color w:val="0000FF"/>
                <w:w w:val="96"/>
              </w:rPr>
            </w:pPr>
            <w:hyperlink w:anchor="page100">
              <w:r>
                <w:rPr>
                  <w:rFonts w:ascii="Arial" w:cs="Arial" w:eastAsia="Arial" w:hAnsi="Arial"/>
                  <w:sz w:val="18"/>
                  <w:szCs w:val="18"/>
                  <w:color w:val="0000FF"/>
                  <w:w w:val="96"/>
                </w:rPr>
                <w:t>II- 1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Schedules not filed herewith are either not applicable, the information is not material or the information is set forth in the consolidated financial statements or notes thereto.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1420"/>
          </w:cols>
          <w:pgMar w:left="240" w:top="796"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Cross Country Healthcare,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audited the accompanying consolidated balance sheets of Cross Country Healthcare, Inc. and subsidiaries (the "Company") as of December 31, 2017 and 2016, and the related consolidated statements of operations, comprehensive income, stockholders' equity, and cash flows for each of the three years in the period ended December 31, 2017, and the related notes and the schedule listed in the Index at Item 15 (collectively referred to as the "financial statements").</w:t>
      </w:r>
    </w:p>
    <w:p>
      <w:pPr>
        <w:ind w:right="140"/>
        <w:spacing w:after="0" w:line="255"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 2018,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Certified Public Accountants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Boca Raton, Florida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00"/>
          </w:cols>
          <w:pgMar w:left="240" w:top="796"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for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$3,688 in 2017 and $3,245 in 2016</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173,603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173,620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3,497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3,037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208,887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205,611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117,589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79,648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60,976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36,835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19,228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18,064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467,687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388,378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58,850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34,271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33,243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2,845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2,749</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94,588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97,092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92,259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84,750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accrued claims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28,757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28,870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9,171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7,409</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229,968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236,576</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0"/>
        </w:trPr>
        <w:tc>
          <w:tcPr>
            <w:tcW w:w="8340" w:type="dxa"/>
            <w:vAlign w:val="bottom"/>
          </w:tcPr>
          <w:p>
            <w:pPr>
              <w:ind w:left="160"/>
              <w:spacing w:after="0"/>
              <w:rPr>
                <w:sz w:val="20"/>
                <w:szCs w:val="20"/>
                <w:color w:val="auto"/>
              </w:rPr>
            </w:pPr>
            <w:r>
              <w:rPr>
                <w:rFonts w:ascii="Arial" w:cs="Arial" w:eastAsia="Arial" w:hAnsi="Arial"/>
                <w:sz w:val="16"/>
                <w:szCs w:val="16"/>
                <w:color w:val="auto"/>
                <w:w w:val="99"/>
              </w:rPr>
              <w:t>Common stock—$0.0001 par value; 100,000,000 shares authorized; 35,838,108 and 32,339,285 shares issued and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8340" w:type="dxa"/>
            <w:vAlign w:val="bottom"/>
          </w:tcPr>
          <w:p>
            <w:pPr>
              <w:ind w:left="360"/>
              <w:spacing w:after="0"/>
              <w:rPr>
                <w:sz w:val="20"/>
                <w:szCs w:val="20"/>
                <w:color w:val="auto"/>
              </w:rPr>
            </w:pPr>
            <w:r>
              <w:rPr>
                <w:rFonts w:ascii="Arial" w:cs="Arial" w:eastAsia="Arial" w:hAnsi="Arial"/>
                <w:sz w:val="16"/>
                <w:szCs w:val="16"/>
                <w:color w:val="auto"/>
              </w:rPr>
              <w:t>outstanding at December 31, 2017 and 2016, respectively</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256,570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(67,111)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(104,089)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Cross Country Healthcare, Inc. stockholders' equity</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237,089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151,243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 in subsidiary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237,719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151,802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467,687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388,378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r>
        <w:rPr>
          <w:rFonts w:ascii="Arial" w:cs="Arial" w:eastAsia="Arial" w:hAnsi="Arial"/>
          <w:sz w:val="14"/>
          <w:szCs w:val="14"/>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1013"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865,048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833,537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767,421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636,462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611,802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570,056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161,275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2,184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2,100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853,300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827,353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746,856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20,565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6,810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derivative liability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37,513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7,967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4,418</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per share attributable to common shareholders -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per share attributable to common shareholders -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31,514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36,166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36,246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32,162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420"/>
          </w:cols>
          <w:pgMar w:left="240" w:top="101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income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currency translation gain (loss)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 in subsidiary</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20"/>
          </w:cols>
          <w:pgMar w:left="240" w:top="101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228600</wp:posOffset>
            </wp:positionV>
            <wp:extent cx="5428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86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Other Total</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(Accumulated</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Deficit) Retained</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Loss, net</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Earnings</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Subsidiary</w:t>
            </w:r>
          </w:p>
        </w:tc>
        <w:tc>
          <w:tcPr>
            <w:tcW w:w="12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6"/>
                <w:szCs w:val="16"/>
                <w:color w:val="auto"/>
              </w:rPr>
              <w:t>Balances at December 31, 2014</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31,292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247,467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(1,118)</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(116,474)</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130,332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Vesting of restricted stock</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w w:val="95"/>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Acquisition of Mediscan</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4,724</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December 31, 2015</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254,108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141,344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Vesting of restricted stock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performance stock awards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w w:val="95"/>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8,731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2016</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151,802</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of restricted stock and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performance stock awards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Shares issued for Convertible Notes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45,952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Cumulative-effect adjustment - share-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Foreign currency translation adjustment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38,802</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color w:val="auto"/>
              </w:rPr>
              <w:t>Balances at December 31, 2017</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35,838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305,362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(67,111)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237,719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101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Consolidated 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38,802</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8,731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4,954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8,066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debt discount and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Provision for allowances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(Gain) loss on derivative liability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9,901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24,311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Equity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2,460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noncash costs, including loss on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(28,708)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2,663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11,213</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1,261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18,235</w:t>
            </w:r>
          </w:p>
        </w:tc>
      </w:tr>
      <w:tr>
        <w:trPr>
          <w:trHeight w:val="129"/>
        </w:trPr>
        <w:tc>
          <w:tcPr>
            <w:tcW w:w="67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sale of business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Acquisition-related settlements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Transaction costs related to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(91,380)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(24,070)</w:t>
            </w:r>
          </w:p>
        </w:tc>
      </w:tr>
      <w:tr>
        <w:trPr>
          <w:trHeight w:val="129"/>
        </w:trPr>
        <w:tc>
          <w:tcPr>
            <w:tcW w:w="67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Term Loans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Principal payments on 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Convertible Note cash payment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 on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64,100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Repayments on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(59,600)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Extinguishment fees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shares withheld for taxes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Payment of contingent consideration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 to noncontrolling shareholder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w:t>
            </w:r>
          </w:p>
        </w:tc>
      </w:tr>
      <w:tr>
        <w:trPr>
          <w:trHeight w:val="223"/>
        </w:trPr>
        <w:tc>
          <w:tcPr>
            <w:tcW w:w="67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4,995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25,537</w:t>
            </w:r>
          </w:p>
        </w:tc>
        <w:tc>
          <w:tcPr>
            <w:tcW w:w="54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9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paid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796" w:right="239" w:bottom="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Cross Country Healthcare, Inc. (the Company) was incorporated in Delaware on July 29, 1999 as a business providing travel nurse and allied health staffing services. As of December 31, 2017, the Company is a leading national provider of nurse and allied staffing, recruiting, and value-added workforce solution services, multi-specialty locum tenens (temporary physician staffing) services, as well as a provider of other human capital management services focused on healthcare.</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consolidated financial statements include the accounts of the Company and its direct and indirect wholly-owned subsidiaries. The consolidated financial statements include all assets, liabilities, revenue, and expenses of Cross Country Talent Acquisition Group, LLC (formerly InteliStaf of Oklahoma, LLC), which is controlled by the Company but not wholly owned. The Company records the ownership interest of the noncontrolling shareholder as noncontrolling interest in subsidiary. All intercompany transactions and balances have been eliminated in consolidation.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consolidated balance sheets and consolidated statements of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(U.S. GAAP), requires management to make estimates and assumptions that affect the reported amounts in the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derivative liability;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considers all investments with original maturities of three months or less to be cash and cash equivalents. The Company invests its excess cash in highly rated overnight funds and other highly rated liquid accounts. The Company is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 The Company does not currently anticipate nonperformance by any of its significant counterparties.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cash and cash equivalents is included in other income, net, on the Company’s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Allowance for Doubtful Accounts, and Concentration of Credit Risk</w:t>
      </w:r>
    </w:p>
    <w:p>
      <w:pPr>
        <w:spacing w:after="0" w:line="2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Accounts receivable potentially subject the Company to concentrations of credit risk. The Company’s customers are primarily healthcare providers, and accounts receivable represent amounts due from them. 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In addition, the Company maintains a sales allowance for customer disputes which may arise in the ordinary course, which is recorded as contra-revenue. </w:t>
      </w:r>
      <w:r>
        <w:rPr>
          <w:rFonts w:ascii="Arial" w:cs="Arial" w:eastAsia="Arial" w:hAnsi="Arial"/>
          <w:sz w:val="16"/>
          <w:szCs w:val="16"/>
          <w:color w:val="auto"/>
        </w:rPr>
        <w:t>The Company’s contract terms typically require payment between 15 to 60 days from the date services are provided and are</w:t>
      </w:r>
      <w:r>
        <w:rPr>
          <w:rFonts w:ascii="Arial" w:cs="Arial" w:eastAsia="Arial" w:hAnsi="Arial"/>
          <w:sz w:val="17"/>
          <w:szCs w:val="17"/>
          <w:color w:val="auto"/>
        </w:rPr>
        <w:t xml:space="preserve"> </w:t>
      </w:r>
      <w:r>
        <w:rPr>
          <w:rFonts w:ascii="Arial" w:cs="Arial" w:eastAsia="Arial" w:hAnsi="Arial"/>
          <w:sz w:val="16"/>
          <w:szCs w:val="16"/>
          <w:color w:val="auto"/>
        </w:rPr>
        <w:t>considered past due based on the particular negotiated contract terms. The majority of the Company's business activity is with hospitals located throughout the United States. No single customer accounted for more than 10% of the Company’s accounts receivable balance as of December 31, 2017 and 2016, or revenue for the years ended December 31, 2017, 2016, and 2015.</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00"/>
          </w:cols>
          <w:pgMar w:left="240" w:top="243"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Rent and Deposits</w:t>
      </w:r>
    </w:p>
    <w:p>
      <w:pPr>
        <w:spacing w:after="0" w:line="231"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Company leases apartments for eligible field employees under short-term agreements (typically three to six months), which generally coincide with each employee’s staffing contract. Costs relating to these leases are included in direct operating expenses on the accompanying consolidated statements of operations. As a condition of these agreements, the Company may place security deposits on the leased apartments. Deposits on field employees’ apartments related to these short-term agreements are included in other current assets on the accompanying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31" w:lineRule="exact"/>
        <w:rPr>
          <w:sz w:val="20"/>
          <w:szCs w:val="20"/>
          <w:color w:val="auto"/>
        </w:rPr>
      </w:pPr>
    </w:p>
    <w:p>
      <w:pPr>
        <w:jc w:val="both"/>
        <w:ind w:right="80"/>
        <w:spacing w:after="0" w:line="289" w:lineRule="auto"/>
        <w:rPr>
          <w:sz w:val="20"/>
          <w:szCs w:val="20"/>
          <w:color w:val="auto"/>
        </w:rPr>
      </w:pPr>
      <w:r>
        <w:rPr>
          <w:rFonts w:ascii="Arial" w:cs="Arial" w:eastAsia="Arial" w:hAnsi="Arial"/>
          <w:sz w:val="16"/>
          <w:szCs w:val="16"/>
          <w:color w:val="auto"/>
        </w:rPr>
        <w:t>Property and equipment are stated at cost, less accumulated depreciation. Depreciation is determined on a straight-line basis over the estimated useful lives of the assets, which generally range from three to seven years. Leasehold improvements are depreciated over the shorter of their estimated useful life or the term of the individual lease. On an annual basis, the Company reviews its property and equipment listings and disposes of assets that are no longer in use.</w:t>
      </w:r>
    </w:p>
    <w:p>
      <w:pPr>
        <w:spacing w:after="0" w:line="14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 xml:space="preserve">Certain software development costs have been capitalized in accordance with the provisions of the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xml:space="preserve"> Topic of the Financial Accounting Standards Board (FASB) Accounting Standards Codification (ASC). Such costs include charges for consulting services and costs for Company personnel associated with programming, coding, and testing such software. Amortization of capitalized software costs begins when the software is ready for use and is included in depreciation expense in the accompanying consolidated statements of operations. Software development costs are being amortized using the straight-line method over three to five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The Company applies accounting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 when it acquires control over a business. Business combinations are accounted for at fair value. The associated acquisition costs are expensed as incurred and recorded as acquisition and integration costs; noncontrolling interests, if any, are reflected at fair value at the acquisition date; restructuring costs associated with a business combination are expensed; contingent consideration is measured at fair value at the acquisition date, with changes in the fair value after the acquisition date affecting earnings; and goodwill is determined as the excess of the fair value of the consideration conveyed in the acquisition over the fair value of the net assets acquired. The accounting for business combinations requires estimates and judgments as to expectations for future cash flows of the acquired business, and the allocation of those cash flows to identifiable intangible assets, in determining the estimated fair value for assets and liabilities acquired. The fair values assigned to tangible and intangible assets acquired and liabilities assumed are based on management's estimates and assumptions, including valuations that utilize customary valuation procedures and techniques.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The results of the acquired businesses' operations are included in the consolidated statements of operations of the combined entity beginning on the date of acquisition. See Note 3 - Acquisitions.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3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range from 1 to 16 years. Goodwill and certain intangible assets with indefinite lives are not amortized. Instead, in accordance with the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Topic of the FASB ASC, these assets are reviewed for impairment annually at the beginning of the fourth quarter, and whenever circumstances change that would more likely than not reduce the fair value of a reporting unit below its carrying amount.</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generally measures the fair value of its reporting units using a combination of income and market approaches.</w:t>
      </w:r>
    </w:p>
    <w:p>
      <w:pPr>
        <w:spacing w:after="0" w:line="18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For the periods prior to the fourth quarter of 2017, the performance of the quantitative impairment test involved a two-step process. The first step required the Company to determine the fair value of each of its reporting units and compare it to the reporting unit’s carrying amount. If the reporting unit's fair value was less than its carrying amount, the Company was required to perform a second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337"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step to calculate the implied value of goodwill. The implied value was then compared to its carrying amount to calculate the impairment charge, if any.</w:t>
      </w:r>
    </w:p>
    <w:p>
      <w:pPr>
        <w:spacing w:after="0" w:line="15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 xml:space="preserve">Beginning in the fourth quarter of 2017, for its annual review on October, 1, 2017, the Company early adopted the provisions of Accounting Standards Update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Under ASU 2017-04, the second step of the quantitative assessment is eliminated, and, if the reporting unit’s carrying value exceeds its fair value, an impairment charge is recognized for the amount by which the carrying amount exceeds the reporting unit’s fair value not to exceed the total amount of goodwill allocated to that reporting unit. Additionally, income tax effects from any tax deductible goodwill on the carrying amount of the reporting unit when measuring the goodwill impairment loss is considered, if applicable. See Recently Adopted Accounting Pronouncements.</w:t>
      </w:r>
    </w:p>
    <w:p>
      <w:pPr>
        <w:spacing w:after="0" w:line="90"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Company determines its reporting units by identifying its operating segments and any component businesses and aggregates the components businesses if they have similar economic characteristics. The Company had the following reporting units that it reviewed for impairment: 1) Nurse and Allied Staffing; 2) Physician Staffing; and 3) Search.</w:t>
      </w:r>
    </w:p>
    <w:p>
      <w:pPr>
        <w:spacing w:after="0" w:line="114" w:lineRule="exact"/>
        <w:rPr>
          <w:sz w:val="20"/>
          <w:szCs w:val="20"/>
          <w:color w:val="auto"/>
        </w:rPr>
      </w:pPr>
    </w:p>
    <w:p>
      <w:pPr>
        <w:jc w:val="both"/>
        <w:ind w:right="60"/>
        <w:spacing w:after="0" w:line="314" w:lineRule="auto"/>
        <w:rPr>
          <w:sz w:val="20"/>
          <w:szCs w:val="20"/>
          <w:color w:val="auto"/>
        </w:rPr>
      </w:pPr>
      <w:r>
        <w:rPr>
          <w:rFonts w:ascii="Arial" w:cs="Arial" w:eastAsia="Arial" w:hAnsi="Arial"/>
          <w:sz w:val="16"/>
          <w:szCs w:val="16"/>
          <w:color w:val="auto"/>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spacing w:after="0" w:line="59"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 xml:space="preserve">Long-lived assets and identifiable intangible assets with definite lives are evaluated for impairment in accordance with the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of the FASB ASC. In accordance with this Topic, long-lived assets and definite-lived intangible assets are reviewed for impairment whenever events or changes in circumstances indicate the carrying amount may not be recoverable.</w:t>
      </w:r>
    </w:p>
    <w:p>
      <w:pPr>
        <w:spacing w:after="0" w:line="182"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w:t>
      </w:r>
    </w:p>
    <w:p>
      <w:pPr>
        <w:spacing w:after="0" w:line="11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Any related impairment losses are recognized in earnings and included in the caption impairment charges on the consolidated statements of operations. See Note 5 - Goodwill, Trade Names, and Other Intangible Assets.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 and Debt Issuance Costs</w:t>
      </w:r>
    </w:p>
    <w:p>
      <w:pPr>
        <w:spacing w:after="0" w:line="2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Stated discounts on proceeds, and other fees reimbursed to lender, as well as the initial value of any embedded derivative features of the Convertible Notes and Term Loans, as defined in Note 8 - Debt, are treated as a discount associated with the respective debt instrument and presented in the balance sheet as an offset to the carrying amount of the debt. Discounts are amortized to interest expense using the effective interest rate method, or a method that approximates the effective interest rate method, over the expected life of the debt.</w:t>
      </w:r>
    </w:p>
    <w:p>
      <w:pPr>
        <w:spacing w:after="0" w:line="185"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Deferred costs related to the issuance of the Convertible Notes and the Term Loans were capitalized and are presented in the balance sheet as a direct deduction from the carrying amount of the debt liability. Deferred costs are amortized using the effective interest method. Deferred costs related to the Convertible Notes were written off in connection with the repayment of such Convertible Notes. See Note 8 - Debt.</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Deferred costs related to the issuance of the Company’s Revolving Credit Facilities and Senior Secured Asset-Based Loan, as defined in Note 8 - Debt, have been capitalized and included in other assets on the consolidated balance sheets, and amortized using the straight line method over the term of the related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The Company evaluates embedded conversion features within its convertible debt in accordance with the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Topic of the FASB ASC to determine whether the embedded conversion feature should be bifurcated from the host instrument and accounted for as a derivative at fair value. The Company used a trinomial lattice model to estimate the fair value of embedded conversion and redemption features in its convertible debt at the end of each applicable reporting period. Changes in the fair value of these derivatives during each reporting period were reported in other expenses (income) on the consolidated statements of operations. The fair value at inception had been recorded as debt discount and was being amortized to interest expense over the term of the note using the effective interest method. On March 17, 2017, the Company paid in full its Convertible Notes and, as a result, derecognized the derivative liability. See Note 8 - Debt.</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380"/>
          </w:cols>
          <w:pgMar w:left="240" w:top="337" w:right="27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Other State Non-income Tax Liabilities</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Company accrues sales and other state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Claims</w:t>
      </w:r>
    </w:p>
    <w:p>
      <w:pPr>
        <w:spacing w:after="0" w:line="23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Other Expenses/Insurance Costs</w:t>
      </w:r>
      <w:r>
        <w:rPr>
          <w:rFonts w:ascii="Arial" w:cs="Arial" w:eastAsia="Arial" w:hAnsi="Arial"/>
          <w:sz w:val="15"/>
          <w:szCs w:val="15"/>
          <w:color w:val="auto"/>
        </w:rPr>
        <w:t xml:space="preserve"> Topic of the FASB ASC previously issued authoritative accounting guidance in the area of insurance contracts and related activity thereto. This topic concluded that, 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2017 and 2016 reflect the related short-term liabilities in accrued compensation and benefits and the related long-term liabilities as long-term accrued claims, and the short-term receivable portion as insurance recovery receivable and the long-term portion as non-current insurance recovery receivable.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15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Workers’ compensation benefits are provided under a partially self-insured plan. The Company has letters of credit to guarantee payments of claims. At December 31, 2017 and 2016, the Company had outstanding approximately $19.6 million and $20.2 million, respectively, of standby letters of credit as collateral to secure the self-insured portion of this plan.</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 has occurrence-based primary professional liability policies that provide the Company and each working professional in its nurse and allied healthcare business with coverage. Effective January 1, 2016, the Company has a claims-made professional liability policy for its physicians and advanced practitioners, with a $0.5 million self-insured retention per claim. Prior to January 1, 2016, the Company had an occurrence-based professional liability policy for its independent contractor physicians and advanced practitioners which was insured by a wholly-owned subsidiary, Jamestown Indemnity, Ltd., a wholly-owned Cayman Island captive company (the Captive), until its voluntary liquidation in the third quarter of 2015. Beginning in March 2015, the Company's Physician subsidiary self-insured $0.5 million for each of its professional liability claims. Under the terms of the Captive’s reinsurance policy there was a requirement to guarantee the payment of claims to its insured party’s primary medical malpractice insurance carrier via a letter of credit. As a result of the Captive's liquidation, the letter of credit was reduced. As of both December 31, 2017 and 2016, the value of the letter of credit was $2.0 million.</w:t>
      </w:r>
    </w:p>
    <w:p>
      <w:pPr>
        <w:spacing w:after="0" w:line="161" w:lineRule="exact"/>
        <w:rPr>
          <w:sz w:val="20"/>
          <w:szCs w:val="20"/>
          <w:color w:val="auto"/>
        </w:rPr>
      </w:pPr>
    </w:p>
    <w:p>
      <w:pPr>
        <w:jc w:val="both"/>
        <w:ind w:right="240"/>
        <w:spacing w:after="0" w:line="243" w:lineRule="auto"/>
        <w:rPr>
          <w:sz w:val="20"/>
          <w:szCs w:val="20"/>
          <w:color w:val="auto"/>
        </w:rPr>
      </w:pPr>
      <w:r>
        <w:rPr>
          <w:rFonts w:ascii="Arial" w:cs="Arial" w:eastAsia="Arial" w:hAnsi="Arial"/>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1"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auto"/>
        </w:rPr>
        <w:t>The Company recognizes revenue when it is earned and when all of the following criteria are met: persuasive evidence of the arrangement exists; delivery has occurred or the service has been provided and the Company has no remaining obligations; the fee is fixed or determinable; and, collectability is reasonably assured. The Company includes reimbursable expenses in revenues, and the associated amounts of reimbursable expenses in cost of services.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00"/>
          </w:cols>
          <w:pgMar w:left="240" w:top="337"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23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Revenue from services consists primarily of temporary staffing revenue. Revenues from temporary staffing, net of sales adjustments and discounts, are recognized when earned, based on hours worked by the Company’s healthcare professionals. Billings to customers are based on specific contract provisions which may include approval of submitted time by our customers. Accordingly, accounts receivable includes estimated revenue for employees’ and independent contractors’ time worked but not yet invoiced. At December 31, 2017 and 2016, the Company's estimate of amounts that had not been billed totaled $41.8 million and $41.2 million, respectively, and are included in accounts receivable on the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Permanent Placement</w:t>
      </w:r>
    </w:p>
    <w:p>
      <w:pPr>
        <w:spacing w:after="0" w:line="23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Revenue on permanent placements is recognized when services provided are substantially completed. The Company does not, in the ordinary course of business, provide refunds. If a candidate leaves a permanent placement within a relatively short period of time, it is customary for the Company to provide a replacement at no additional cost.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revenue on a gross basis as a principal or on a net basis as an agent depending on the arrangement, as follows: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 Programs Arrangements</w:t>
      </w:r>
    </w:p>
    <w:p>
      <w:pPr>
        <w:spacing w:after="0" w:line="23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 has entered into certain contracts with acute care facilities to provide comprehensive managed service programs (MSP). Under these contract arrangements, the Company uses its healthcare professionals along with those of third-party subcontractors to fulfill customer orders. If its healthcare professional is used, revenue is recorded on a gross basis. If a subcontractor is used, the customer is invoiced for their services and a subcontractor liability is recorded in accrued expenses, but only the resulting administrative fee is recognized as revenue. The subcontractor is paid after the Company has received payment from the acute care facility. The Company determined that it acts as an agent in these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Staffing</w:t>
      </w:r>
    </w:p>
    <w:p>
      <w:pPr>
        <w:spacing w:after="0" w:line="231"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Physician Staffing business enters into contracts with its healthcare customers to provide temporary staffing services. The Company uses independent contractors for these services. The Company determined that it acts as a principal in this arrangement and, therefore, revenue is reported on a gross basis in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Education Seminars</w:t>
      </w:r>
    </w:p>
    <w:p>
      <w:pPr>
        <w:spacing w:after="0" w:line="231" w:lineRule="exact"/>
        <w:rPr>
          <w:sz w:val="20"/>
          <w:szCs w:val="20"/>
          <w:color w:val="auto"/>
        </w:rPr>
      </w:pPr>
    </w:p>
    <w:p>
      <w:pPr>
        <w:ind w:right="260"/>
        <w:spacing w:after="0" w:line="316" w:lineRule="auto"/>
        <w:rPr>
          <w:sz w:val="20"/>
          <w:szCs w:val="20"/>
          <w:color w:val="auto"/>
        </w:rPr>
      </w:pPr>
      <w:r>
        <w:rPr>
          <w:rFonts w:ascii="Arial" w:cs="Arial" w:eastAsia="Arial" w:hAnsi="Arial"/>
          <w:sz w:val="15"/>
          <w:szCs w:val="15"/>
          <w:color w:val="auto"/>
        </w:rPr>
        <w:t>During the third quarter of 2015, the Company completed the sale of its education seminars business, Cross Country Education, LLC (CCE). See Note 4 - Disposal. Prior to the sale of CCE, revenue from the Company’s Education Seminars services was recognized as the independent contractor-led seminars were performed. In the Company’s Education Seminars business, revenue was recorded in the consolidated statements of operations on a gross basis as a principal.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The Company has, from time to time, granted stock options, stock appreciation rights, performance-based stock awards, and restricted stock for a fixed number of common shares to employees. In accordance with the </w:t>
      </w:r>
      <w:r>
        <w:rPr>
          <w:rFonts w:ascii="Arial" w:cs="Arial" w:eastAsia="Arial" w:hAnsi="Arial"/>
          <w:sz w:val="16"/>
          <w:szCs w:val="16"/>
          <w:i w:val="1"/>
          <w:iCs w:val="1"/>
          <w:color w:val="auto"/>
        </w:rPr>
        <w:t>Compensation-Stock-Compensation</w:t>
      </w:r>
      <w:r>
        <w:rPr>
          <w:rFonts w:ascii="Arial" w:cs="Arial" w:eastAsia="Arial" w:hAnsi="Arial"/>
          <w:sz w:val="16"/>
          <w:szCs w:val="16"/>
          <w:color w:val="auto"/>
        </w:rPr>
        <w:t xml:space="preserve"> Topic of the FASB ASC, companies may choose from alternative valuation models. The Company used the Black-Scholes method of valuing its options and stock appreciation rights. The Company has elected to recognize compensation expense on a straight-line basis over the requisite service period of the entire award. The Company values its restricted stock awards and the fair value of its performance-based stock awards by reference to its stock price on the date of grant.</w:t>
      </w:r>
    </w:p>
    <w:p>
      <w:pPr>
        <w:spacing w:after="0" w:line="15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Company granted performance-based stock awards to certain key personnel pursuant to its 2014 Omnibus Incentive Plan as described in Note 14 - Stockholders' Equity. Pursuant to the plan, the number of target shares that vest are determined based on the level of attainment of the targets. If a minimum level of performance is attained for the awards, restricted stock is issued with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00"/>
          </w:cols>
          <w:pgMar w:left="240" w:top="337"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vesting date in the future, subject to the employee's continuing employment.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used historical data of options with similar characteristics to estimate pre-vesting option forfeitures, as it believed that historical behavior patterns are the best indicators of future behavior patterns. Compensation expense related to share-based payments is included in selling, general, and administrative expenses in the consolidated statements of operations, and totaled $4.1 million, $3.4 million, and $2.5 million, during the years ended December 31, 2017, 2016, and 2015, respectively. See Note 14 -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Company’s advertising expense consists primarily of online advertising, internet direct marketing, print media, promotional material and, prior to the sale of CCE, direct mail marketing. Advertising costs that were expensed as incurred totaled $7.6 million, $10.2 million, and $4.9 million, for the years ended December 31, 2017, 2016, and 2015, respectively. Prior to the sale of CCE, direct mail marketing costs associated with the Company’s education seminars services were capitalized when the Company determined that there was a reasonable expectation that the cost of the incurred advertising would be recovered from the gross profit generated by the advertised event and expensed when the related event took place. There are no such costs included in prepaid expenses on the December 31, 2017 and 2016 consolidated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18"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include on-going benefit costs for its employees and exit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beginning and ending total restructuring liability balances are presented below:</w:t>
      </w:r>
    </w:p>
    <w:p>
      <w:pPr>
        <w:spacing w:after="0" w:line="152"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spacing w:after="0"/>
              <w:rPr>
                <w:sz w:val="19"/>
                <w:szCs w:val="19"/>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b w:val="1"/>
                <w:bCs w:val="1"/>
                <w:color w:val="auto"/>
              </w:rPr>
              <w:t>2015</w:t>
            </w:r>
          </w:p>
        </w:tc>
        <w:tc>
          <w:tcPr>
            <w:tcW w:w="1020" w:type="dxa"/>
            <w:vAlign w:val="bottom"/>
          </w:tcPr>
          <w:p>
            <w:pPr>
              <w:spacing w:after="0"/>
              <w:rPr>
                <w:sz w:val="19"/>
                <w:szCs w:val="19"/>
                <w:color w:val="auto"/>
              </w:rPr>
            </w:pPr>
          </w:p>
        </w:tc>
      </w:tr>
      <w:tr>
        <w:trPr>
          <w:trHeight w:val="29"/>
        </w:trPr>
        <w:tc>
          <w:tcPr>
            <w:tcW w:w="3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(amounts in thousands)</w:t>
            </w: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
        </w:trPr>
        <w:tc>
          <w:tcPr>
            <w:tcW w:w="3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3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right="152"/>
              <w:spacing w:after="0"/>
              <w:rPr>
                <w:sz w:val="20"/>
                <w:szCs w:val="20"/>
                <w:color w:val="auto"/>
              </w:rPr>
            </w:pPr>
            <w:r>
              <w:rPr>
                <w:rFonts w:ascii="Arial" w:cs="Arial" w:eastAsia="Arial" w:hAnsi="Arial"/>
                <w:sz w:val="18"/>
                <w:szCs w:val="18"/>
                <w:b w:val="1"/>
                <w:bCs w:val="1"/>
                <w:color w:val="auto"/>
                <w:w w:val="88"/>
                <w:shd w:val="clear" w:color="auto" w:fill="CCEEFF"/>
              </w:rPr>
              <w:t>On-Going Benefit</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shd w:val="clear" w:color="auto" w:fill="CCEEFF"/>
              </w:rPr>
              <w:t>On-Going</w:t>
            </w:r>
          </w:p>
        </w:tc>
        <w:tc>
          <w:tcPr>
            <w:tcW w:w="760" w:type="dxa"/>
            <w:vAlign w:val="bottom"/>
            <w:shd w:val="clear" w:color="auto" w:fill="CCEEFF"/>
          </w:tcPr>
          <w:p>
            <w:pPr>
              <w:spacing w:after="0"/>
              <w:rPr>
                <w:sz w:val="19"/>
                <w:szCs w:val="19"/>
                <w:color w:val="auto"/>
              </w:rPr>
            </w:pPr>
          </w:p>
        </w:tc>
        <w:tc>
          <w:tcPr>
            <w:tcW w:w="2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shd w:val="clear" w:color="auto" w:fill="CCEEFF"/>
              </w:rPr>
              <w:t>On-Going</w:t>
            </w:r>
          </w:p>
        </w:tc>
        <w:tc>
          <w:tcPr>
            <w:tcW w:w="102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ind w:right="152"/>
              <w:spacing w:after="0"/>
              <w:rPr>
                <w:sz w:val="20"/>
                <w:szCs w:val="20"/>
                <w:color w:val="auto"/>
              </w:rPr>
            </w:pPr>
            <w:r>
              <w:rPr>
                <w:rFonts w:ascii="Arial" w:cs="Arial" w:eastAsia="Arial" w:hAnsi="Arial"/>
                <w:sz w:val="18"/>
                <w:szCs w:val="18"/>
                <w:b w:val="1"/>
                <w:bCs w:val="1"/>
                <w:color w:val="auto"/>
                <w:w w:val="79"/>
                <w:shd w:val="clear" w:color="auto" w:fill="CCEEFF"/>
              </w:rPr>
              <w:t>Costs</w:t>
            </w:r>
          </w:p>
        </w:tc>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Exit Costs</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shd w:val="clear" w:color="auto" w:fill="CCEEFF"/>
              </w:rPr>
              <w:t>Benefit Costs</w:t>
            </w: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4"/>
                <w:shd w:val="clear" w:color="auto" w:fill="CCEEFF"/>
              </w:rPr>
              <w:t>Exit Costs</w:t>
            </w:r>
          </w:p>
        </w:tc>
        <w:tc>
          <w:tcPr>
            <w:tcW w:w="2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shd w:val="clear" w:color="auto" w:fill="CCEEFF"/>
              </w:rPr>
              <w:t>Benefit Costs</w:t>
            </w:r>
          </w:p>
        </w:tc>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Exit Costs</w:t>
            </w:r>
          </w:p>
        </w:tc>
      </w:tr>
      <w:tr>
        <w:trPr>
          <w:trHeight w:val="20"/>
        </w:trPr>
        <w:tc>
          <w:tcPr>
            <w:tcW w:w="3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9"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40" w:type="dxa"/>
        <w:tblCellMar>
          <w:top w:w="0" w:type="dxa"/>
          <w:left w:w="0" w:type="dxa"/>
          <w:bottom w:w="0" w:type="dxa"/>
          <w:right w:w="0" w:type="dxa"/>
        </w:tblCellMar>
      </w:tblPr>
      <w:tr>
        <w:trPr>
          <w:trHeight w:val="222"/>
        </w:trPr>
        <w:tc>
          <w:tcPr>
            <w:tcW w:w="3060" w:type="dxa"/>
            <w:vAlign w:val="bottom"/>
            <w:gridSpan w:val="4"/>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8"/>
                <w:szCs w:val="18"/>
                <w:color w:val="auto"/>
              </w:rPr>
              <w:t>522</w:t>
            </w:r>
          </w:p>
        </w:tc>
        <w:tc>
          <w:tcPr>
            <w:tcW w:w="480" w:type="dxa"/>
            <w:vAlign w:val="bottom"/>
          </w:tcPr>
          <w:p>
            <w:pPr>
              <w:spacing w:after="0"/>
              <w:rPr>
                <w:sz w:val="4"/>
                <w:szCs w:val="4"/>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5"/>
                <w:shd w:val="clear" w:color="auto" w:fill="CCEEFF"/>
              </w:rPr>
              <w:t>Charged to restructuring costs</w:t>
            </w:r>
          </w:p>
        </w:tc>
        <w:tc>
          <w:tcPr>
            <w:tcW w:w="9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060" w:type="dxa"/>
            <w:vAlign w:val="bottom"/>
            <w:gridSpan w:val="4"/>
          </w:tcPr>
          <w:p>
            <w:pPr>
              <w:spacing w:after="0"/>
              <w:rPr>
                <w:sz w:val="20"/>
                <w:szCs w:val="20"/>
                <w:color w:val="auto"/>
              </w:rPr>
            </w:pPr>
            <w:r>
              <w:rPr>
                <w:rFonts w:ascii="Arial" w:cs="Arial" w:eastAsia="Arial" w:hAnsi="Arial"/>
                <w:sz w:val="18"/>
                <w:szCs w:val="18"/>
                <w:color w:val="auto"/>
              </w:rPr>
              <w:t>Payments</w:t>
            </w:r>
          </w:p>
        </w:tc>
        <w:tc>
          <w:tcPr>
            <w:tcW w:w="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gridSpan w:val="2"/>
            <w:vMerge w:val="restart"/>
          </w:tcPr>
          <w:p>
            <w:pPr>
              <w:spacing w:after="0"/>
              <w:rPr>
                <w:sz w:val="2"/>
                <w:szCs w:val="2"/>
                <w:color w:val="auto"/>
              </w:rPr>
            </w:pPr>
          </w:p>
        </w:tc>
        <w:tc>
          <w:tcPr>
            <w:tcW w:w="540" w:type="dxa"/>
            <w:vAlign w:val="bottom"/>
            <w:vMerge w:val="restart"/>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2"/>
              <w:spacing w:after="0"/>
              <w:rPr>
                <w:sz w:val="20"/>
                <w:szCs w:val="20"/>
                <w:color w:val="auto"/>
              </w:rPr>
            </w:pPr>
            <w:r>
              <w:rPr>
                <w:rFonts w:ascii="Arial" w:cs="Arial" w:eastAsia="Arial" w:hAnsi="Arial"/>
                <w:sz w:val="18"/>
                <w:szCs w:val="18"/>
                <w:color w:val="auto"/>
              </w:rPr>
              <w:t>87</w:t>
            </w:r>
          </w:p>
        </w:tc>
        <w:tc>
          <w:tcPr>
            <w:tcW w:w="480" w:type="dxa"/>
            <w:vAlign w:val="bottom"/>
            <w:vMerge w:val="restart"/>
          </w:tcPr>
          <w:p>
            <w:pPr>
              <w:jc w:val="right"/>
              <w:ind w:right="272"/>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2"/>
              <w:spacing w:after="0"/>
              <w:rPr>
                <w:sz w:val="20"/>
                <w:szCs w:val="20"/>
                <w:color w:val="auto"/>
              </w:rPr>
            </w:pPr>
            <w:r>
              <w:rPr>
                <w:rFonts w:ascii="Arial" w:cs="Arial" w:eastAsia="Arial" w:hAnsi="Arial"/>
                <w:sz w:val="18"/>
                <w:szCs w:val="18"/>
                <w:color w:val="auto"/>
              </w:rPr>
              <w:t>441</w:t>
            </w: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6"/>
                <w:shd w:val="clear" w:color="auto" w:fill="CCEEFF"/>
              </w:rPr>
              <w:t>Balance at end of period</w:t>
            </w:r>
          </w:p>
        </w:tc>
        <w:tc>
          <w:tcPr>
            <w:tcW w:w="134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338</w:t>
            </w:r>
          </w:p>
        </w:tc>
        <w:tc>
          <w:tcPr>
            <w:tcW w:w="6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2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563</w:t>
            </w:r>
          </w:p>
        </w:tc>
        <w:tc>
          <w:tcPr>
            <w:tcW w:w="48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190</w:t>
            </w:r>
          </w:p>
        </w:tc>
        <w:tc>
          <w:tcPr>
            <w:tcW w:w="64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633</w:t>
            </w:r>
          </w:p>
        </w:tc>
        <w:tc>
          <w:tcPr>
            <w:tcW w:w="4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641</w:t>
            </w:r>
          </w:p>
        </w:tc>
      </w:tr>
      <w:tr>
        <w:trPr>
          <w:trHeight w:val="270"/>
        </w:trPr>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48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(255)</w:t>
            </w:r>
          </w:p>
        </w:tc>
        <w:tc>
          <w:tcPr>
            <w:tcW w:w="6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9"/>
        </w:trPr>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5"/>
        </w:trPr>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273</w:t>
            </w:r>
          </w:p>
        </w:tc>
        <w:tc>
          <w:tcPr>
            <w:tcW w:w="6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338</w:t>
            </w:r>
          </w:p>
        </w:tc>
      </w:tr>
      <w:tr>
        <w:trPr>
          <w:trHeight w:val="29"/>
        </w:trPr>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595" w:lineRule="exact"/>
        <w:rPr>
          <w:sz w:val="20"/>
          <w:szCs w:val="20"/>
          <w:color w:val="auto"/>
        </w:rPr>
      </w:pPr>
    </w:p>
    <w:p>
      <w:pPr>
        <w:sectPr>
          <w:pgSz w:w="11900" w:h="16838" w:orient="portrait"/>
          <w:cols w:equalWidth="0" w:num="2">
            <w:col w:w="5740" w:space="220"/>
            <w:col w:w="5460"/>
          </w:cols>
          <w:pgMar w:left="240" w:top="337" w:right="239" w:bottom="1440" w:gutter="0" w:footer="0" w:header="0"/>
          <w:type w:val="continuous"/>
        </w:sectPr>
      </w:pPr>
    </w:p>
    <w:p>
      <w:pPr>
        <w:spacing w:after="0" w:line="1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Deferred rent consists of free rent, rent escalation, tenant improvement allowances, and other incentives received from landlords related to the operating leases for our facilities. Rent escalation represents the difference between actual operating lease payments due and straight-line rent expense, which we record over the term of the lease. The excess is recorded as a deferred credit in the early periods of the lease, when cash payments are generally lower than straight-line rent expense, and is reduced in the later periods of the lease when payments begin to exceed the straight-line expense. Tenant allowances from landlords for tenant improvements are generally comprised of cash received from the landlord or paid on our behalf as part of the negotiated terms of the lease. These tenant improvement allowances and other leasehold incentives are recorded when realizable as deferred rent and are amortized as a reduction of periodic rent expense, over the term of the applicable lease. See Note 12 - Commitments and Contingencies.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337" w:right="239" w:bottom="1440" w:gutter="0" w:footer="0" w:header="0"/>
          <w:type w:val="continuous"/>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The Company accounts for income taxes under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determines the need for a valuation allowance by assessing the probability of realizing deferred tax assets, taking into consideration all available positive and negative evidence, including historical operating results, expectations of future taxable income, carryforward periods available to the Company for tax reporting purposes, the evaluation of various income tax planning strategies, and other relevant factors. The Company maintains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and to the extent future expectations change, the Company would have to assess the recoverability of its deferred tax assets at that time. See Note 13 -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approximately $1.2 million at both December 31, 2017 and 2016.</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period ended December 31, 2017, $0.2 million of income tax expense was included in the consolidated statements of operations due to the impact of a change in federal tax rate on the deferred tax asset related to foreign currency cumulative translation. See Note 13 - Income Taxes. There was no income tax impact related to foreign currency translation adjustments for the period ended December 31, 2016. During the period ended December 31, 2015, $0.2 million of income tax expense related to foreign currency translation adjustments was included on the Company's consolidated statements of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Company complies with the provisions of the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Topic of the FASB ASC, which defines fair value, establishes a framework for measuring fair value under U.S. GAAP, and expands disclosures about fair value measurements. As of December 31, 2017 and 2016, the Company’s financial assets and liabilities required to be measured on a recurring basis were its deferred compensation liability, its Convertible Notes derivative liability, and its contingent consideration liabilities. See Note 10 -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accordance with the requirements of the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of the FASB ASC, basic earnings per share is computed by dividing net income available to common shareholders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and Convertible Notes using the if-converted method prior to their payment in full in the first quarter of 2017.</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380"/>
          </w:cols>
          <w:pgMar w:left="240" w:top="337"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to simplify how an entity is required to test goodwill for impairment by eliminating Step 2 from the goodwill impairment test. Under this guidance, an entity would perform its annual, or interim goodwill impairment test by comparing the fair value of a reporting unit with its carrying amount. An impairment charge would be recognized for the amount by which the carrying amount exceeds the reporting unit’s fair value; however, the loss recognized should not exceed the total amount of goodwill allocated to that reporting unit. Additionally, an entity would consider income tax effects from any tax deductible goodwill on the carrying amount of the reporting unit when measuring the goodwill impairment loss. An entity still has the option to perform the qualitative assessment for a reporting unit to determine if the quantitative impairment test is necessary. ASU 2017-04 is effective for annual or any interim goodwill impairment tests in fiscal years beginning after December 15, 2019 and is to be applied prospectively. Early adoption was permitted for interim or annual goodwill impairment tests performed on testing dates after January 1, 2017. The Company elected to early adopt this standard in its fourth quarter of 2017, which was the first quarter in which an impairment test was performed. See Note 5 - Goodwill, Trade Names, and Other Intangible Assets.</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August 2016, the Financial Accounting Standards Board (FASB) issued ASU No. 2016-15, </w:t>
      </w:r>
      <w:r>
        <w:rPr>
          <w:rFonts w:ascii="Arial" w:cs="Arial" w:eastAsia="Arial" w:hAnsi="Arial"/>
          <w:sz w:val="16"/>
          <w:szCs w:val="16"/>
          <w:i w:val="1"/>
          <w:iCs w:val="1"/>
          <w:color w:val="auto"/>
        </w:rPr>
        <w:t>Statement of Cash Flows (Topic 230): 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Cash Receipts and Cash Payments</w:t>
      </w:r>
      <w:r>
        <w:rPr>
          <w:rFonts w:ascii="Arial" w:cs="Arial" w:eastAsia="Arial" w:hAnsi="Arial"/>
          <w:sz w:val="16"/>
          <w:szCs w:val="16"/>
          <w:color w:val="auto"/>
        </w:rPr>
        <w:t>, which amends the guidance in ASC 230 on the classification of certain cash receipts and payments in the statement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This update intended to reduce the diversity that has resulted from the lack of consistent principles on this topic by adding or clarifying guidance on eight cash flow issues, including: debt prepayment or debt extinguishment costs, contingent consideration payments made after a business combination, and separately identifiable cash flows and application of the predominance principle. ASU 2016-15 is effective for annual periods beginning after December 15, 2017, and interim periods within those annual periods. Early adoption was permitted. The Company elected to early adopt this standard in its first quarter of 2017, applying the guidance retrospectively with no material impact on its consolidated financial statements.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The Company adopted this guidance in the first quarter of 2017. ASU 2016-09 eliminates the requirement to delay the recognition of excess tax</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until they reduce current taxes payable. The required method of adoption is modified retrospective transition method. Upon adoption, previously unrecognized excess tax benefits of $1.3 million had no impact on the Company's accumulated deficit balance as the related deferred tax assets were fully offset by a valuation allowance. ASU 2016-09 also requires excess tax benefits and deficiencies to be recognized prospectively in the provision for income taxes rather than additional paid-in capital. As a result of the adoption and the reversal of the valuation allowance on deferred tax assets, the Company recognized $0.6 million for these excess tax benefits relating to share-based awards vested and exercised for the year ended December 31, 2017. Additionally, as permitted by the ASU, the Company elected to account for forfeitures as they occur rather than estimate expected forfeitures using a modified retrospective transition method. As a result, the Company recorded a cumulative-effect adjustment of $0.5 million to accumulated deficit and greater share-based compensation expense of $0.2 million compared to the amount of expense that would have been recorded for 2017. Under ASU 2016-09, the threshold for awards to qualify for equity treatment permits withholding up to the maximum statutory tax rates in the applicable jurisdictions. Prior to the adoption of ASU 2016-09, the Company did not allow an award to be partially settled in cash in excess of the minimum statutory withholding requirements. Subsequent to the adoption of the standard, the Company will allow awards to be partially settled at the maximum applicable statutory rates. Finally, ASU 2016-09 requires excess tax benefits to be presented as a component of operating cash flows rather than financing cash flows. The Company elected to adopt this requirement prospectively and accordingly, prior periods have not been adjusted. Excess tax benefits were not material for all periods presented.</w:t>
      </w:r>
    </w:p>
    <w:p>
      <w:pPr>
        <w:spacing w:after="0" w:line="16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March 2016, the FASB issued ASU No. 2016-06, </w:t>
      </w:r>
      <w:r>
        <w:rPr>
          <w:rFonts w:ascii="Arial" w:cs="Arial" w:eastAsia="Arial" w:hAnsi="Arial"/>
          <w:sz w:val="17"/>
          <w:szCs w:val="17"/>
          <w:i w:val="1"/>
          <w:iCs w:val="1"/>
          <w:color w:val="auto"/>
        </w:rPr>
        <w:t>Derivatives and Hedging (Topic 815): Contingent Put and Call Options in Debt Instruments</w:t>
      </w:r>
      <w:r>
        <w:rPr>
          <w:rFonts w:ascii="Arial" w:cs="Arial" w:eastAsia="Arial" w:hAnsi="Arial"/>
          <w:sz w:val="17"/>
          <w:szCs w:val="17"/>
          <w:color w:val="auto"/>
        </w:rPr>
        <w:t>, to clarify the steps required to assess whether a call or put option meets the criteria for bifurcation as an embedded derivative. ASU 2016-06 is effective for interim and annual periods beginning after December 15, 2016, and requires a modified retrospective approach to adoption. The Company adopted this guidance in the first quarter of 2017. The adoption of this guidance had no impact on the Company's results of operations.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00"/>
          </w:cols>
          <w:pgMar w:left="240" w:top="337" w:right="25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The amendments in this Update allow a reclassification from accumulated other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to retained earnings for stranded tax effects resulting from the Tax Cuts and Jobs Act (2017 Tax Act), and require certain disclosures about stranded tax effects. The guidance that requires that the effect of a change in tax laws or rates be included in income from continuing operations is not affected. The amendments in this Update are effective for all entities for fiscal years beginning after December 15, 2018, and interim periods within those fiscal years, and should be applied either in the period of adoption or retrospectively to each period in which the effect of the change in the U.S. federal corporate tax rate in the 2017 Tax Act is recognized. For public business entities, for reporting periods for which financial statements have not yet been issued, early adoption is permitted, including adoption in any interim period. The Company expects to adopt this standard in its first quarter of 2018, and does not expect this guidance to have a material impact on its consolidated financial statements.</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The amendments in Part I of this Update change the classification analysis of certain equity-linked financial instruments (or embedded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and should be applied retrospectively to outstanding financial instruments with a down round feature by means of either a cumulative-effect adjustment or for each prior reporting period presented. Early adoption is permitted for all entities, including adoption in an interim period. The Company expects to adopt this standard in its first quarter of 2019, and does not expect this guidance to have a material impact on its consolidated financial statements.</w:t>
      </w:r>
    </w:p>
    <w:p>
      <w:pPr>
        <w:spacing w:after="0" w:line="18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to provide guidance about which changes to the terms or conditions of a share-based payment award require an entity to apply modification accounting in Topic 718. Under this guidance, an entity should account for the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ASU 2017-09 is effective for all entities for annual periods, and interim periods within those annual periods, beginning after December 15, 2017 and is to be applied prospectively to an award modified on or after the adoption date. Early adoption is permitted. The Company expects to adopt this standard in its first quarter of 2018, and does not expect this guidance to have a material impact on its consolidated financial statements.</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clarifies the definition of a business, with the objective of adding guidance to assist entities with evaluating whether transactions should be accounted for as acquisitions (or disposals) of assets or businesses. This update provides a framework to assist entities in evaluating whether both an input and a substantive process are present, and narrows the definition of the term output so that the term is consistent with how outputs are described in the new revenue recognition standard. ASU 2017-01 is effective for annual periods beginning after December 15, 2017, and interim periods within those annual periods. Early adoption is permitted depending upon the date of the transaction. Entities should apply the guidance prospectively on or after the effective date. No disclosures are required at transition. The Company expects to adopt this standard in its first quarter of 2018, and does not expect this guidance to have a material impact on its consolidated financial statements.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require, among other items, lessees to recognize most leases as assets and liabilities on the balance sheet. Qualitative and quantitative disclosures will be enhanced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F- 16</w:t>
      </w:r>
    </w:p>
    <w:p>
      <w:pPr>
        <w:sectPr>
          <w:pgSz w:w="11900" w:h="16838" w:orient="portrait"/>
          <w:cols w:equalWidth="0" w:num="1">
            <w:col w:w="11400"/>
          </w:cols>
          <w:pgMar w:left="240" w:top="337"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7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better understand the amount, timing and uncertainty of cash flows arising from leases. ASU 2016-02 is effective for fiscal years beginning after December 15, 2018, and interim periods within those fiscal years, with early adoption permitted. Entities are required to use a modified retrospective approach for leases that exist or are entered into after the beginning of the earliest comparative period in the financial statements. Full retrospective application is prohibited. The Company expects the valuation of right of use assets and lease liabilities, previously described as operating leases, to be the present value of our forecasted future lease commitments. The Company is continuing to assess the overall impacts of the new standard, including the discount rate to be applied in these valuations. See Note 12 - Commitments and Contingencies.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Topic 606 introduced a new five-step revenue recognition model in which an entity should recognize revenue when its customer obtains control of promised goods or services, in an amount that reflects the consideration to which the entity expects to be entitled in exchange for those goods or services. Topic 606 also requires additional disclosures about the nature, amount, timing and uncertainty of revenue and cash flows arising from customer contracts, including significant judgments and changes in judgments. The FASB has issued several other subsequent updates including the following: 1) further clarification of the guidance on principal versus agent considerations; 2) expanded guidance on identifying performance obligations; and 3) additional guidance and practical expedients in response to identified implementation issues. Collectively, Topic 606, Subtopic 340-40, and all subsequent ASUs that modified Topic 606, are referred to as the “new revenue standard.” The new revenue standard is effective for annual reporting periods beginning after December 15, 2017, including interim periods within such reporting period. The new revenue standard is effective for the Company in the first quarter of 2018 and the Company expects to adopt using a modified retrospective method, which will only impact contracts not completed as of December 31, 2017.</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employed a cross-functional implementation team which consisted of representatives from across all of its business segments to analyze and identify material revenue streams and its largest customers within those streams. The implementation team completed a thorough review of its existing contracts and business practices for those customers to assess the impact of the new revenue standard. In the fourth quarter of 2017, the Company finalized its assessment of the new revenue standard and began implementing changes to its accounting policies, processes, and internal controls.</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determined that the adoption of the new revenue standard will not have a material impact on its consolidated financial statements, other than expanded disclosures. The Company has concluded that transfer of control of its staffing services, which represent the majority of its revenues, occurs as the services are provided, which is consistent with recognition under the prior guidance.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 RN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Effective July 1, 2017, the Company acquired all of the assets of Advantage RN, LLC and its subsidiaries (collectively, Advantage) for cash consideration of $86.6 million, net of cash acquired. The total purchase price of $88.0 million was subject to a net working capital reduction of $0.6 million at the closing and an additional $0.8 million was received during the third quarter of 2017 as the final adjustment for net working capital. Additionally, $0.6 million of the purchase price was deferred as of the closing and is due the seller within 20 months, less any Cobra and healthcare payments incurred by the Company on behalf of the seller. As of December 31, 2017, approximately $0.3 million has been paid for claims and the remaining $0.3 million liability is included in other current and long-term liabilities on the Company’s balance sheet.</w:t>
      </w:r>
    </w:p>
    <w:p>
      <w:pPr>
        <w:spacing w:after="0" w:line="19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with the escrow to cover post-close liabilities remaining unchanged.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financed the purchase using $19.9 million in available cash and $66.9 million in borrowing under its Credit Facility, including a $40.0 million incremental term loan, which was subsequently refinanced on August 1, 2017. See Note 8 - Debt for further information. The transaction was treated as a purchase of assets for income tax purposes.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5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Advantage is primarily a travel nurse staffing company that deploys many of its nurses through MSPs and Vendor Management Systems, and Advantage maintains direct relationships with many hospitals throughout the United States. This was a strategic acquisition to help the Company fill its recent MSP contract wins and for revenue growth.</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acquisition has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 using the acquisition method of accounting. As such, the results of Advantage from July 1, 2017 are included in the Company's consolidated statement of operations and were: revenue of $47.0 million and contribution income, as defined in Note 17 - Segment Data, of $3.8 million. The acquisition results have been substantially aggregated with the Company's Nurse and Allied Staffing business segment, with less than 2% of the business included in the Physician Staffing business segment. See Note 17 - Segment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The following is the estimated fair value of the purchase price for Advantage on July 1, 2017:</w:t>
            </w: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78"/>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jc w:val="right"/>
              <w:ind w:right="430"/>
              <w:spacing w:after="0"/>
              <w:rPr>
                <w:sz w:val="20"/>
                <w:szCs w:val="20"/>
                <w:color w:val="auto"/>
              </w:rPr>
            </w:pPr>
            <w:r>
              <w:rPr>
                <w:rFonts w:ascii="Arial" w:cs="Arial" w:eastAsia="Arial" w:hAnsi="Arial"/>
                <w:sz w:val="18"/>
                <w:szCs w:val="18"/>
                <w:color w:val="auto"/>
                <w:w w:val="98"/>
              </w:rPr>
              <w:t>(amounts in thousands)</w:t>
            </w: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88,000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working capital adjustments</w:t>
            </w:r>
          </w:p>
        </w:tc>
        <w:tc>
          <w:tcPr>
            <w:tcW w:w="3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7"/>
        </w:trPr>
        <w:tc>
          <w:tcPr>
            <w:tcW w:w="8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86,562</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32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2,833</w:t>
            </w:r>
          </w:p>
        </w:tc>
      </w:tr>
      <w:tr>
        <w:trPr>
          <w:trHeight w:val="27"/>
        </w:trPr>
        <w:tc>
          <w:tcPr>
            <w:tcW w:w="8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89,395</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purchase price was allocated to the assets acquired and the liabilities assumed based on the estimated fair value at the date of acquisition. The Company used a third-party appraiser to assist with the determination of the fair value and estimated useful lives of certain acquired assets and liabilities.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w w:val="95"/>
              </w:rPr>
              <w:t>The following table is an estimate of the fair value of the assets acquired and liabilities assumed on July 1, 2017.</w:t>
            </w: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jc w:val="right"/>
              <w:ind w:right="490"/>
              <w:spacing w:after="0"/>
              <w:rPr>
                <w:sz w:val="20"/>
                <w:szCs w:val="20"/>
                <w:color w:val="auto"/>
              </w:rPr>
            </w:pPr>
            <w:r>
              <w:rPr>
                <w:rFonts w:ascii="Arial" w:cs="Arial" w:eastAsia="Arial" w:hAnsi="Arial"/>
                <w:sz w:val="18"/>
                <w:szCs w:val="18"/>
                <w:color w:val="auto"/>
              </w:rPr>
              <w:t>(amounts in thousands)</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14,396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29,900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91,450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89,395</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assigned the following values to other identifiable intangible assets: $4.5 million to trade names with a weighted average estimated useful life of 10 years, $13.8 million to customer relationships with a weighted average estimated useful life of 10 years, $11.3 million to a database, consisting of healthcare professionals, with a weighted average estimated useful life of 10 years, and $0.3 million to non-compete agreements with a weighted average estimated useful life of 5 years, for a total of $29.9 million in definite life intangible assets with a weighted average estimated useful life of 10 years.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remaining excess purchase price over the fair value of net assets acquired of $43.6 million was recorded as goodwill, which is expected to be deductible for tax purposes. Associated acquisition-related costs incurred were $2.0 million and have been included in acquisition and integration costs on the Company's condensed consolidated statement of operations for the year ended December 31,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337"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unaudited pro forma financial information approximates the consolidated results of operations of the Company as if the Advantage acquisition had occurred as of January 1, 2016,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$2.0 million for the year ended December 31, 2017.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businesses, among other adjustments that could be made in the future but are not factually supportable on the date of the transaction.</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Year Ended December 31,</w:t>
            </w:r>
          </w:p>
        </w:tc>
        <w:tc>
          <w:tcPr>
            <w:tcW w:w="142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jc w:val="right"/>
              <w:ind w:right="91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6320" w:type="dxa"/>
            <w:vAlign w:val="bottom"/>
          </w:tcPr>
          <w:p>
            <w:pPr>
              <w:spacing w:after="0"/>
              <w:rPr>
                <w:sz w:val="2"/>
                <w:szCs w:val="2"/>
                <w:color w:val="auto"/>
              </w:rPr>
            </w:pPr>
          </w:p>
        </w:tc>
        <w:tc>
          <w:tcPr>
            <w:tcW w:w="4960" w:type="dxa"/>
            <w:vAlign w:val="bottom"/>
            <w:tcBorders>
              <w:bottom w:val="single" w:sz="8" w:color="auto"/>
            </w:tcBorders>
            <w:gridSpan w:val="4"/>
          </w:tcPr>
          <w:p>
            <w:pPr>
              <w:spacing w:after="0"/>
              <w:rPr>
                <w:sz w:val="2"/>
                <w:szCs w:val="2"/>
                <w:color w:val="auto"/>
              </w:rPr>
            </w:pPr>
          </w:p>
        </w:tc>
      </w:tr>
      <w:tr>
        <w:trPr>
          <w:trHeight w:val="217"/>
        </w:trPr>
        <w:tc>
          <w:tcPr>
            <w:tcW w:w="6320" w:type="dxa"/>
            <w:vAlign w:val="bottom"/>
          </w:tcPr>
          <w:p>
            <w:pPr>
              <w:spacing w:after="0"/>
              <w:rPr>
                <w:sz w:val="18"/>
                <w:szCs w:val="18"/>
                <w:color w:val="auto"/>
              </w:rPr>
            </w:pPr>
          </w:p>
        </w:tc>
        <w:tc>
          <w:tcPr>
            <w:tcW w:w="4960" w:type="dxa"/>
            <w:vAlign w:val="bottom"/>
            <w:gridSpan w:val="4"/>
          </w:tcPr>
          <w:p>
            <w:pPr>
              <w:jc w:val="right"/>
              <w:ind w:right="570"/>
              <w:spacing w:after="0"/>
              <w:rPr>
                <w:sz w:val="20"/>
                <w:szCs w:val="20"/>
                <w:color w:val="auto"/>
              </w:rPr>
            </w:pPr>
            <w:r>
              <w:rPr>
                <w:rFonts w:ascii="Arial" w:cs="Arial" w:eastAsia="Arial" w:hAnsi="Arial"/>
                <w:sz w:val="16"/>
                <w:szCs w:val="16"/>
                <w:color w:val="auto"/>
              </w:rPr>
              <w:t>(unaudited, amounts in thousands except per share data)</w:t>
            </w:r>
          </w:p>
        </w:tc>
      </w:tr>
      <w:tr>
        <w:trPr>
          <w:trHeight w:val="33"/>
        </w:trPr>
        <w:tc>
          <w:tcPr>
            <w:tcW w:w="6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Revenue from services</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916,149</w:t>
            </w:r>
          </w:p>
        </w:tc>
        <w:tc>
          <w:tcPr>
            <w:tcW w:w="11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934,904</w:t>
            </w:r>
          </w:p>
        </w:tc>
      </w:tr>
      <w:tr>
        <w:trPr>
          <w:trHeight w:val="324"/>
        </w:trPr>
        <w:tc>
          <w:tcPr>
            <w:tcW w:w="6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 attributable to common shareholders</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40,255</w:t>
            </w:r>
          </w:p>
        </w:tc>
        <w:tc>
          <w:tcPr>
            <w:tcW w:w="11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11,391</w:t>
            </w:r>
          </w:p>
        </w:tc>
      </w:tr>
      <w:tr>
        <w:trPr>
          <w:trHeight w:val="324"/>
        </w:trPr>
        <w:tc>
          <w:tcPr>
            <w:tcW w:w="6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 per common share attributable to common shareholders - basic</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11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r>
      <w:tr>
        <w:trPr>
          <w:trHeight w:val="324"/>
        </w:trPr>
        <w:tc>
          <w:tcPr>
            <w:tcW w:w="6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 per common share attributable to common shareholders - diluted</w:t>
            </w:r>
          </w:p>
        </w:tc>
        <w:tc>
          <w:tcPr>
            <w:tcW w:w="142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1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r>
      <w:tr>
        <w:trPr>
          <w:trHeight w:val="41"/>
        </w:trPr>
        <w:tc>
          <w:tcPr>
            <w:tcW w:w="63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Resources Healthcare</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On December 1, 2016, the Company completed the acquisition of a recruitment process outsourcing business, US Resources Healthcare, LLC (USR). This acquisition expands the Company's workforce solutions offerings to deliver financial and operating efficiencies through labor optimization services while enhancing the quality of care.</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agreement specified that the sellers were eligible to receive additional purchase price consideration of $4.5 million, with a maximum of $1.0 million for 2017, $2.0 million for 2018, and $1.5 million for 2019, based on attainment of specific performance criteria achieved in each of those years. In the fourth quarter of 2017, the Company recognized a decrease in the fair value of the liability of $1.3 million included as acquisition-related contingent consideration on its consolidated statements of operations. The adjustment was driven by the decrease in the projected USR 2018 and 2019 revenue and EBITDA amounts. As of December 31, 2017, the fair value of the remaining obligation was estimated at $0.2 million and is included in other current liabilities and contingent consideration on the condensed consolidated balance sheets. See Note 10 - Fair Value Measurements.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acquisition was deemed immaterial and has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 using the acquisition method of accounting. USR's results of operations are included in the consolidated statements of operations from December 1, 2016 and have been included in the Company's Nurse and Allied Staffing business segment. See Note 5 - Goodwill, Trade Names, and Other Intangible Assets and Note 10 - Fair Value Measurements.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Mediscan</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for a purchase price of $29.9 million in cash ($28.0 million plus working capital estimate) and $4.7 million in shares (or 349,871 shares) of the Company's Common Stock, subject to a net working capital adjustment. The shares of Common Stock issued in connection with the acquisition were subject to a lockup period, which ended April 30, 2016. The Company financed the purchase price through a combination of cash-on-hand and borrowings under the Company's senior credit facility. The transaction has been</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treated as a purchase of assets for income tax purposes. In the first quarter of 2016, a net working capital adjustment of $0.3 million was settled. Additionally, an amount of $5.0 million of the purchase price that was held in escrow to cover any post-closing liabilities, was released to the sellers on May 3, 2017.</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agreement also specified that the sellers were eligible to receive additional purchase price consideration of $7.0 million, with $3.5 million per year based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attainment of specific performance criteria in 2016 and 2017. As of December 31, 2016, the Company determined that the first year earnout was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achieved for 2016 and, as of September 30, 2017,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that the second year earnout would not be achieved for 2017.</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connection with the Mediscan acquisition, the Company also assumed additional contingent purchase price liabilities for a previously acquired business that are payable annually based on specific performance criteria for the 2016 through 2019 years. Payments related to the 2016 through 2018 years are limited to $0.3 million per year and 2019 is uncapped. As of December 31, 2017, the fair value of the remaining obligations was estimated at $5.2 million and is included in other current liabilities and contingent consideration on the consolidated balance sheets. See Note 10 - Fair Value Measurements.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Mediscan provides temporary healthcare staffing and workforce solutions to both the healthcare and education markets - both public and charter schools. At the time of acquisition, while largely concentrated in California, Mediscan provided services across 11 states to more than 300 clients through more than 70 specialties. The Mediscan acquisition provided the Company a new customer base in the healthcare staffing market for public schools and the workforce solutions arena for charter schools.</w:t>
      </w:r>
    </w:p>
    <w:p>
      <w:pPr>
        <w:spacing w:after="0" w:line="18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 xml:space="preserve">The acquisition has been accounted for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w:t>
      </w:r>
      <w:r>
        <w:rPr>
          <w:rFonts w:ascii="Arial" w:cs="Arial" w:eastAsia="Arial" w:hAnsi="Arial"/>
          <w:sz w:val="16"/>
          <w:szCs w:val="16"/>
          <w:i w:val="1"/>
          <w:iCs w:val="1"/>
          <w:color w:val="auto"/>
        </w:rPr>
        <w:t>,</w:t>
      </w:r>
      <w:r>
        <w:rPr>
          <w:rFonts w:ascii="Arial" w:cs="Arial" w:eastAsia="Arial" w:hAnsi="Arial"/>
          <w:sz w:val="16"/>
          <w:szCs w:val="16"/>
          <w:color w:val="auto"/>
        </w:rPr>
        <w:t xml:space="preserve"> using the acquisition method of accounting. Mediscan's results of operations are included in the consolidated statements of operations from October 30, 2015 and have been included in the Company's Nurse and Allied Staffing business segment. As such, the associated goodwill related to the acquisition is fully allocated to Nurse and Allied Staffing.</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amounts of revenue and net income included in the Company's consolidated income statement from the acquisition date to the period ended December 31, 2015 were $6.7 million and $0.3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estimated fair value of the purchase price for Mediscan on October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jc w:val="right"/>
              <w:ind w:right="430"/>
              <w:spacing w:after="0"/>
              <w:rPr>
                <w:sz w:val="20"/>
                <w:szCs w:val="20"/>
                <w:color w:val="auto"/>
              </w:rPr>
            </w:pPr>
            <w:r>
              <w:rPr>
                <w:rFonts w:ascii="Arial" w:cs="Arial" w:eastAsia="Arial" w:hAnsi="Arial"/>
                <w:sz w:val="18"/>
                <w:szCs w:val="18"/>
                <w:color w:val="auto"/>
                <w:w w:val="98"/>
              </w:rPr>
              <w:t>(amounts in thousands)</w:t>
            </w:r>
          </w:p>
        </w:tc>
      </w:tr>
      <w:tr>
        <w:trPr>
          <w:trHeight w:val="27"/>
        </w:trPr>
        <w:tc>
          <w:tcPr>
            <w:tcW w:w="46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purchase price paid at closing</w:t>
            </w:r>
          </w:p>
        </w:tc>
        <w:tc>
          <w:tcPr>
            <w:tcW w:w="4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Fair value of shares</w:t>
            </w:r>
          </w:p>
        </w:tc>
        <w:tc>
          <w:tcPr>
            <w:tcW w:w="4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4,723</w:t>
            </w:r>
          </w:p>
        </w:tc>
      </w:tr>
      <w:tr>
        <w:trPr>
          <w:trHeight w:val="27"/>
        </w:trPr>
        <w:tc>
          <w:tcPr>
            <w:tcW w:w="46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Fair value of contingent consideration</w:t>
            </w:r>
          </w:p>
        </w:tc>
        <w:tc>
          <w:tcPr>
            <w:tcW w:w="4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working capital adjustment, including receivable</w:t>
            </w:r>
          </w:p>
        </w:tc>
        <w:tc>
          <w:tcPr>
            <w:tcW w:w="4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
        </w:trPr>
        <w:tc>
          <w:tcPr>
            <w:tcW w:w="46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Total consideration</w:t>
            </w:r>
          </w:p>
        </w:tc>
        <w:tc>
          <w:tcPr>
            <w:tcW w:w="4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4340" w:type="dxa"/>
            <w:vAlign w:val="bottom"/>
            <w:gridSpan w:val="2"/>
          </w:tcPr>
          <w:p>
            <w:pPr>
              <w:jc w:val="right"/>
              <w:ind w:right="3030"/>
              <w:spacing w:after="0"/>
              <w:rPr>
                <w:sz w:val="20"/>
                <w:szCs w:val="20"/>
                <w:color w:val="auto"/>
              </w:rPr>
            </w:pPr>
            <w:r>
              <w:rPr>
                <w:rFonts w:ascii="Arial" w:cs="Arial" w:eastAsia="Arial" w:hAnsi="Arial"/>
                <w:sz w:val="18"/>
                <w:szCs w:val="18"/>
                <w:color w:val="auto"/>
              </w:rPr>
              <w:t>F- 20</w:t>
            </w:r>
          </w:p>
        </w:tc>
        <w:tc>
          <w:tcPr>
            <w:tcW w:w="24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purchase price was allocated to the assets acquired and the liabilities assumed based on the estimated fair value at the date of acquisition. The following table summarizes the fair value of the assets acquired and liabilities assumed. The Company used a third-party appraiser to assist with the determination of the fair value and estimated useful lives of acquired assets and liabilities assumed as of October 30, 2015:</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9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right"/>
              <w:ind w:right="311"/>
              <w:spacing w:after="0"/>
              <w:rPr>
                <w:sz w:val="20"/>
                <w:szCs w:val="20"/>
                <w:color w:val="auto"/>
              </w:rPr>
            </w:pPr>
            <w:r>
              <w:rPr>
                <w:rFonts w:ascii="Arial" w:cs="Arial" w:eastAsia="Arial" w:hAnsi="Arial"/>
                <w:sz w:val="16"/>
                <w:szCs w:val="16"/>
                <w:color w:val="auto"/>
                <w:w w:val="96"/>
              </w:rPr>
              <w:t>(amounts in thousands)</w:t>
            </w:r>
          </w:p>
        </w:tc>
      </w:tr>
      <w:tr>
        <w:trPr>
          <w:trHeight w:val="33"/>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6,851</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14,338</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40" w:type="dxa"/>
            <w:vAlign w:val="bottom"/>
          </w:tcPr>
          <w:p>
            <w:pPr>
              <w:spacing w:after="0"/>
              <w:rPr>
                <w:sz w:val="21"/>
                <w:szCs w:val="21"/>
                <w:color w:val="auto"/>
              </w:rPr>
            </w:pP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17,200</w:t>
            </w:r>
          </w:p>
        </w:tc>
      </w:tr>
      <w:tr>
        <w:trPr>
          <w:trHeight w:val="27"/>
        </w:trPr>
        <w:tc>
          <w:tcPr>
            <w:tcW w:w="9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9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Total assets acquired</w:t>
            </w: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38,628</w:t>
            </w: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w:t>
            </w: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Accrued employee compensation and benefits</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w:t>
            </w:r>
          </w:p>
        </w:tc>
      </w:tr>
      <w:tr>
        <w:trPr>
          <w:trHeight w:val="237"/>
        </w:trPr>
        <w:tc>
          <w:tcPr>
            <w:tcW w:w="9080" w:type="dxa"/>
            <w:vAlign w:val="bottom"/>
          </w:tcPr>
          <w:p>
            <w:pPr>
              <w:ind w:left="16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1,716</w:t>
            </w:r>
          </w:p>
        </w:tc>
      </w:tr>
      <w:tr>
        <w:trPr>
          <w:trHeight w:val="27"/>
        </w:trPr>
        <w:tc>
          <w:tcPr>
            <w:tcW w:w="9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9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Net assets acquired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36,912</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assigned the following values to other intangible assets: $3.2 million to trade names with a weighted average estimated useful life of 11 years, $5.2 million to customer relations with an estimated useful life of 10 years, and $8.8 million to a database with an estimated useful life of 10 years, for a total of $17.2 million in definite life intangible assets with a weighted average estimated useful life of 10 years.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remaining excess purchase price over the fair value of net assets acquired of $14.3 million was recorded as goodwill, which is expected to be deductible for tax purposes. Associated acquisition costs incurred were $0.7 million and have been included in acquisition and integration costs on the Company's consolidated statement of operations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Staffing Network</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30, 2014, the Company acquired substantially all of the assets and certain liabilities of Medical Staffing Network Healthcare, LLC (MSN). Of the purchase price,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Disposal</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July 21, 2015, the Company's Board of Directors approved an agreement to sell the Company's education seminars business, CCE, which provided in-person seminars to healthcare professionals and was non-core to the Company’s business. The operating results of CCE were included in the Other Human Capital Management Services segment. See Note 17 - Segment Data for further information. The Company used the net proceeds from the transaction to finance, in part, the Mediscan acquisition in the fourth quarter of 2015. See Note 3 - Acquisitions. Since the disposal of the education seminars business did not represent a strategic shift that would have a major effect on the Company’s operations and financial results, it was not reflected as discontinued operations.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July 27, 2015, the Company entered into an Agreement and Plan of Merger to sell its wholly-owned subsidiary, CCE, to a third party (Buyer) and on August 31, 2015, the sale was completed. The Company received $8.0 million in cash, subject to a net working capital adjustment, of which $0.5 million was held in escrow for a period of 12 months following the closing to provide partial security to the Buyer in the event of any breach of the representations, warranties and covenants of the Company. In September 2016, the full amount of escrow, which had been reflected as an escrow receivable, was released to the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20"/>
          </w:cols>
          <w:pgMar w:left="240" w:top="33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Disposal (continued)</w:t>
      </w:r>
    </w:p>
    <w:p>
      <w:pPr>
        <w:spacing w:after="0" w:line="200" w:lineRule="exact"/>
        <w:rPr>
          <w:sz w:val="20"/>
          <w:szCs w:val="20"/>
          <w:color w:val="auto"/>
        </w:rPr>
      </w:pPr>
    </w:p>
    <w:p>
      <w:pPr>
        <w:spacing w:after="0" w:line="27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purchase price also included an earnout of up to $0.5 million related to the performance of CCE for the year ended December 31, 2015, which was treated as contingent consideration. The Company assigned no fair value to this earnout as of December 31, 2015 as the performance-based milestones were not met. The original escrow amount was released to the Buyer in the first quarter of 2016.</w:t>
      </w:r>
    </w:p>
    <w:p>
      <w:pPr>
        <w:spacing w:after="0" w:line="181"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The Company recognized a pre-tax loss of $2.2 million related to the sale of the business, which is included in income (loss) from operations in its consolidated statements of operations for the year ended December 31, 2015. In addition, the Company recorded a tax benefit of $3.5 million from the reversal of valuation allowances associated with this business, resulting in an after-tax gain on the sale of CCE of $1.3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1"/>
              </w:rPr>
              <w:t>December 31, 2017</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December 31, 2016</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6"/>
                <w:szCs w:val="16"/>
                <w:color w:val="auto"/>
              </w:rPr>
              <w:t>(amounts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Intangible assets subject to</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Databases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55,524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25,912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41,724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18,408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110,068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49,092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60,976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36,835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Intangible assets not subject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35,402</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72,237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estimated annual amortization expense is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5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1"/>
              <w:spacing w:after="0"/>
              <w:rPr>
                <w:sz w:val="20"/>
                <w:szCs w:val="20"/>
                <w:color w:val="auto"/>
              </w:rPr>
            </w:pPr>
            <w:r>
              <w:rPr>
                <w:rFonts w:ascii="Arial" w:cs="Arial" w:eastAsia="Arial" w:hAnsi="Arial"/>
                <w:sz w:val="16"/>
                <w:szCs w:val="16"/>
                <w:color w:val="auto"/>
                <w:w w:val="93"/>
              </w:rPr>
              <w:t>(amounts in thousands)</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2018</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7,167</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7,131</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2020</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7,027</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6,819</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2022</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6,743</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5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26,089</w:t>
            </w:r>
          </w:p>
        </w:tc>
      </w:tr>
      <w:tr>
        <w:trPr>
          <w:trHeight w:val="237"/>
        </w:trPr>
        <w:tc>
          <w:tcPr>
            <w:tcW w:w="38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60,976</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5720" w:type="dxa"/>
            <w:vAlign w:val="bottom"/>
            <w:gridSpan w:val="2"/>
          </w:tcPr>
          <w:p>
            <w:pPr>
              <w:jc w:val="right"/>
              <w:ind w:right="3570"/>
              <w:spacing w:after="0"/>
              <w:rPr>
                <w:sz w:val="20"/>
                <w:szCs w:val="20"/>
                <w:color w:val="auto"/>
              </w:rPr>
            </w:pPr>
            <w:r>
              <w:rPr>
                <w:rFonts w:ascii="Arial" w:cs="Arial" w:eastAsia="Arial" w:hAnsi="Arial"/>
                <w:sz w:val="18"/>
                <w:szCs w:val="18"/>
                <w:color w:val="auto"/>
              </w:rPr>
              <w:t>F- 22</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Other Human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Capital</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Nurse and</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Physician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Management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Allied Staffing</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Staffing</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Segment</w:t>
            </w: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Segment</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Segment</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December 31, 2016</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Aggregate goodwill acquired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304,277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366,989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Sale of CCE</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impairment loss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(277,452)</w:t>
            </w:r>
          </w:p>
        </w:tc>
        <w:tc>
          <w:tcPr>
            <w:tcW w:w="0" w:type="dxa"/>
            <w:vAlign w:val="bottom"/>
          </w:tcPr>
          <w:p>
            <w:pPr>
              <w:spacing w:after="0"/>
              <w:rPr>
                <w:sz w:val="1"/>
                <w:szCs w:val="1"/>
                <w:color w:val="auto"/>
              </w:rPr>
            </w:pPr>
          </w:p>
        </w:tc>
      </w:tr>
      <w:tr>
        <w:trPr>
          <w:trHeight w:val="23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Goodwill, net of impairment loss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79,648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Changes to aggregate goodwill in 2017</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acquired (a)</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December 31, 2017</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shd w:val="clear" w:color="auto" w:fill="CCEEFF"/>
              </w:rPr>
              <w:t>Aggregate goodwill acquired</w:t>
            </w:r>
          </w:p>
        </w:tc>
        <w:tc>
          <w:tcPr>
            <w:tcW w:w="1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410,585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Sale of CCE</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Accumulated impairment loss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(283,107)</w:t>
            </w:r>
          </w:p>
        </w:tc>
        <w:tc>
          <w:tcPr>
            <w:tcW w:w="0" w:type="dxa"/>
            <w:vAlign w:val="bottom"/>
          </w:tcPr>
          <w:p>
            <w:pPr>
              <w:spacing w:after="0"/>
              <w:rPr>
                <w:sz w:val="1"/>
                <w:szCs w:val="1"/>
                <w:color w:val="auto"/>
              </w:rPr>
            </w:pPr>
          </w:p>
        </w:tc>
      </w:tr>
      <w:tr>
        <w:trPr>
          <w:trHeight w:val="25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Goodwill, net of impairment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88,141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117,589</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9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8"/>
          <w:szCs w:val="18"/>
          <w:color w:val="auto"/>
        </w:rPr>
        <w:t>(a)  Goodwill acquired from the acquisition of Advantage. See Note 3 -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Impairment Charges</w:t>
      </w:r>
    </w:p>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performed its annual quantitative impairment test of goodwill and other indefinite-lived intangible assets as of October 1, 2017. Upon completion of the impairment testing, it was determined that the estimated fair value of the Physician Staffing reporting unit’s trade name was less than its carrying amount resulting in impairment. For its goodwill impairment testing, with the exception of its Physician Staffing reporting unit, the estimated fair value of its reporting units exceeded their respective carrying values.</w:t>
      </w:r>
    </w:p>
    <w:p>
      <w:pPr>
        <w:spacing w:after="0" w:line="1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Projections of revenue, operating costs, and expected cash flows of each reporting unit are inputs into the quantitative testing for goodwill and intangible assets. The Company reduced its long-term revenue forecast for the Physician Staffing business segment in the fourth quarter. The lower than expected revenue was driven by lower booking volumes, partly due to the loss of customers. In addition, margins of the reporting unit were negatively impacted from continued investments in the business. As a result, the Company recorded non-cash impairment charges of $8.7 million related to its trade names and $5.7 million related to goodwill during the fourth quarter.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and 2015 Impairment Charges</w:t>
      </w:r>
    </w:p>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performed its annual impairment test as of October 1, 2016. Upon completion of the impairment testing, the Company determined that no impairment of goodwill, trade names, or other intangible assets was warranted.</w:t>
      </w:r>
    </w:p>
    <w:p>
      <w:pPr>
        <w:spacing w:after="0" w:line="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an evaluation of goodwill, trade names, and other intangible assets at June 30, 2016, the Company determined that indicators were present in the Physician Staffing reporting unit which would suggest the fair value of the reporting unit may have declined below its carrying value. The Physician Staffing reporting unit was under-performing relative to management’s expectations. The lower than expected revenue was driven by lower booking volumes partly due to the loss of customers, and margins were negatively impacted from continued investments in the business all through the first half of 2016. The Company considered these factors to be impairment indicators that warranted impairment testing of goodwill, trade names, and other</w:t>
      </w:r>
    </w:p>
    <w:p>
      <w:pPr>
        <w:sectPr>
          <w:pgSz w:w="11900" w:h="16838" w:orient="portrait"/>
          <w:cols w:equalWidth="0" w:num="1">
            <w:col w:w="11420"/>
          </w:cols>
          <w:pgMar w:left="240" w:top="337"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F- 23</w:t>
      </w:r>
    </w:p>
    <w:p>
      <w:pPr>
        <w:sectPr>
          <w:pgSz w:w="11900" w:h="16838" w:orient="portrait"/>
          <w:cols w:equalWidth="0" w:num="1">
            <w:col w:w="11420"/>
          </w:cols>
          <w:pgMar w:left="240" w:top="337" w:right="2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00" w:lineRule="exact"/>
        <w:rPr>
          <w:sz w:val="20"/>
          <w:szCs w:val="20"/>
          <w:color w:val="auto"/>
        </w:rPr>
      </w:pPr>
    </w:p>
    <w:p>
      <w:pPr>
        <w:spacing w:after="0" w:line="27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intangible assets. The interim impairment testing resulted in the carrying values of goodwill, trade names, and other intangible assets for Physician Staffing to exceed their estimated fair values. As a result, the interim impairment testing was performed which resulted in the carrying values of goodwill, trade names, and other intangible assets for Physician Staffing to exceed their estimated fair values. As a result, the Company recorded a non-cash impairment charge totaling $24.3 million: $17.7 million related to goodwill, $0.6 million related to trade names, and $6.0 million related to customer relationships.</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performed its annual impairment testing as of October 1, 2015. Upon completion of the impairment testing, the Company determined that the estimated fair value of its reporting units exceeded their respective carrying values. Accordingly, no goodwill impairment charges were warranted for these reporting units.</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However, in conjunction with the annual impairment testing of trade names in the fourth quarter of 2015, the Company reduced its long-term revenue forecast for the Physician Staffing business segment which caused the calculation of estimated fair value of the trade names to be less than its carrying amount, resulting in a non-cash impairment charge of $2.1 million. The reduced long-term revenue forecast for 2015 was impacted by lower projected volume resulting from an under-investment in new revenue producers to keep pace with attrition. No additional impairments of indefinite-lived intangible assets were identified.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Methods and Assumptions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Names</w:t>
      </w:r>
    </w:p>
    <w:p>
      <w:pPr>
        <w:spacing w:after="0" w:line="14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Relief From Royalty methodology was utilized to value the Physician Staffing trade names using projected cash flows of an estimated royalty fee. The royalty rate was determined by a blended rate using the Market Royalty Rate Method and the Apportionment of Profit Method.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discounted cash flows serve as the primary basis for the income approach and are based on the Company’s discrete financial forecast of revenue, gross profit margins, operating costs and cash flows. The forecast considers historical and estimated future results, general economic and market conditions, as well as the impact of planned business and operational strategies. For its 2017 testing, the assumptions used in the income approach included discount rates of</w:t>
      </w:r>
    </w:p>
    <w:p>
      <w:pPr>
        <w:ind w:right="80"/>
        <w:spacing w:after="0" w:line="290" w:lineRule="auto"/>
        <w:rPr>
          <w:sz w:val="20"/>
          <w:szCs w:val="20"/>
          <w:color w:val="auto"/>
        </w:rPr>
      </w:pPr>
      <w:r>
        <w:rPr>
          <w:rFonts w:ascii="Arial" w:cs="Arial" w:eastAsia="Arial" w:hAnsi="Arial"/>
          <w:sz w:val="16"/>
          <w:szCs w:val="16"/>
          <w:color w:val="auto"/>
        </w:rPr>
        <w:t>11.0% to 15.0% and a terminal value growth rate of 3.0% for cash flows beyond the discrete forecast period of ten years. Assumptions used in the market approach testing included valuation multiples based on an analysis of multiples for comparable public companies. The Company utilized total enterprise value/Earnings Before Interest, Taxes, Depreciation, and Amortization (EBITDA) multiples ranging from 5.8 to 15.0. The concluded fair value was based on a weighting of 75% applied to the income approach and 25% to the market approach for its Physician Staffing and Search reporting units and a 50% weighting was applied to the components of each approach to estimate the total fair value of goodwill for its Nurse and Allied Staffing reporting unit. This weighting was an estimate by management and was developed based on the specific characteristics, risks and uncertainties of the reporting units.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14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Multi-Period Excess Earnings Method (MPEEM) methodology was utilized for valuing the Physician Staffing customer relationships in its interim impairment testing for the second quarter of 2016. The MPEEM estimates the fair value based on the present value of the allocated future economic benefits. The inputs include the projected revenue and associated expenses from the customers, an estimated attrition rate, and a discount rate of 13.5%.</w:t>
      </w:r>
    </w:p>
    <w:p>
      <w:pPr>
        <w:spacing w:after="0" w:line="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Although management believes that the Company's current estimates and assumptions are reasonable and supportable, there can be no assurance that the estimates and assumptions made for purposes of the impairment testing will prove to be accurate predictions of future performance.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00"/>
          </w:cols>
          <w:pgMar w:left="240" w:top="337"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300" w:type="dxa"/>
            <w:vAlign w:val="bottom"/>
          </w:tcPr>
          <w:p>
            <w:pPr>
              <w:spacing w:after="0"/>
              <w:rPr>
                <w:sz w:val="20"/>
                <w:szCs w:val="20"/>
                <w:color w:val="auto"/>
              </w:rPr>
            </w:pPr>
            <w:r>
              <w:rPr>
                <w:rFonts w:ascii="Arial" w:cs="Arial" w:eastAsia="Arial" w:hAnsi="Arial"/>
                <w:sz w:val="18"/>
                <w:szCs w:val="18"/>
                <w:color w:val="auto"/>
              </w:rPr>
              <w:t>The Company's property and equipment consists of the following:</w:t>
            </w: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Useful Lives</w:t>
            </w: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3-5 years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13,584</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76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3-5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24,933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28,752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5-7 years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76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5-7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44,764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55,959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(43,141)</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12,818</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00"/>
              <w:spacing w:after="0"/>
              <w:rPr>
                <w:sz w:val="20"/>
                <w:szCs w:val="20"/>
                <w:color w:val="auto"/>
              </w:rPr>
            </w:pPr>
            <w:r>
              <w:rPr>
                <w:rFonts w:ascii="Arial" w:cs="Arial" w:eastAsia="Arial" w:hAnsi="Arial"/>
                <w:sz w:val="18"/>
                <w:szCs w:val="18"/>
                <w:color w:val="auto"/>
                <w:w w:val="96"/>
              </w:rPr>
              <w:t>(a)  See Note 2 – Summary of Significant Accounting Policies.</w:t>
            </w: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300" w:type="dxa"/>
            <w:vAlign w:val="bottom"/>
          </w:tcPr>
          <w:p>
            <w:pPr>
              <w:spacing w:after="0"/>
              <w:rPr>
                <w:sz w:val="24"/>
                <w:szCs w:val="24"/>
                <w:color w:val="auto"/>
              </w:rPr>
            </w:pPr>
          </w:p>
        </w:tc>
        <w:tc>
          <w:tcPr>
            <w:tcW w:w="2600" w:type="dxa"/>
            <w:vAlign w:val="bottom"/>
            <w:gridSpan w:val="3"/>
          </w:tcPr>
          <w:p>
            <w:pPr>
              <w:ind w:left="220"/>
              <w:spacing w:after="0"/>
              <w:rPr>
                <w:sz w:val="20"/>
                <w:szCs w:val="20"/>
                <w:color w:val="auto"/>
              </w:rPr>
            </w:pPr>
            <w:r>
              <w:rPr>
                <w:rFonts w:ascii="Arial" w:cs="Arial" w:eastAsia="Arial" w:hAnsi="Arial"/>
                <w:sz w:val="18"/>
                <w:szCs w:val="18"/>
                <w:color w:val="auto"/>
              </w:rPr>
              <w:t>F- 25</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Balance Sheet Details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3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47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2"/>
              </w:rPr>
              <w:t>(amounts in thousands)</w:t>
            </w: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Insurance recovery receivable:</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 for health</w:t>
            </w: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Insurance recovery for workers’ compensation</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 for professional liability</w:t>
            </w:r>
          </w:p>
        </w:tc>
        <w:tc>
          <w:tcPr>
            <w:tcW w:w="2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r>
      <w:tr>
        <w:trPr>
          <w:trHeight w:val="237"/>
        </w:trPr>
        <w:tc>
          <w:tcPr>
            <w:tcW w:w="4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3,037</w:t>
            </w:r>
          </w:p>
        </w:tc>
      </w:tr>
      <w:tr>
        <w:trPr>
          <w:trHeight w:val="67"/>
        </w:trPr>
        <w:tc>
          <w:tcPr>
            <w:tcW w:w="478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7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 for workers’ compensation claims</w:t>
            </w: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5,857</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Insurance recovery for professional liability claims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10,011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10,353</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security deposits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Non-current income tax receivable</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 issuance costs</w:t>
            </w:r>
          </w:p>
        </w:tc>
        <w:tc>
          <w:tcPr>
            <w:tcW w:w="2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r>
      <w:tr>
        <w:trPr>
          <w:trHeight w:val="237"/>
        </w:trPr>
        <w:tc>
          <w:tcPr>
            <w:tcW w:w="4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19,228</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18,064</w:t>
            </w:r>
          </w:p>
        </w:tc>
      </w:tr>
      <w:tr>
        <w:trPr>
          <w:trHeight w:val="67"/>
        </w:trPr>
        <w:tc>
          <w:tcPr>
            <w:tcW w:w="478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7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payroll taxes</w:t>
            </w: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15,480</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Bonuses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3,915</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workers’ compensation claims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5,266</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Accrual for professional liability claims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2,433</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healthcare benefits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4,053</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Accrual for vacation</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2,096</w:t>
            </w:r>
          </w:p>
        </w:tc>
      </w:tr>
      <w:tr>
        <w:trPr>
          <w:trHeight w:val="27"/>
        </w:trPr>
        <w:tc>
          <w:tcPr>
            <w:tcW w:w="47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34,271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33,243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accrued claims: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Accrual for workers’ compensation claims</w:t>
            </w:r>
          </w:p>
        </w:tc>
        <w:tc>
          <w:tcPr>
            <w:tcW w:w="38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13,160</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12,817</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professional liability claims</w:t>
            </w:r>
          </w:p>
        </w:tc>
        <w:tc>
          <w:tcPr>
            <w:tcW w:w="2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16,053</w:t>
            </w:r>
          </w:p>
        </w:tc>
      </w:tr>
      <w:tr>
        <w:trPr>
          <w:trHeight w:val="237"/>
        </w:trPr>
        <w:tc>
          <w:tcPr>
            <w:tcW w:w="4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28,757</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28,870</w:t>
            </w:r>
          </w:p>
        </w:tc>
      </w:tr>
      <w:tr>
        <w:trPr>
          <w:trHeight w:val="67"/>
        </w:trPr>
        <w:tc>
          <w:tcPr>
            <w:tcW w:w="478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7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5,011</w:t>
            </w:r>
          </w:p>
        </w:tc>
      </w:tr>
      <w:tr>
        <w:trPr>
          <w:trHeight w:val="27"/>
        </w:trPr>
        <w:tc>
          <w:tcPr>
            <w:tcW w:w="4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unrecognized tax benefits</w:t>
            </w:r>
          </w:p>
        </w:tc>
        <w:tc>
          <w:tcPr>
            <w:tcW w:w="2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Other</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47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80" w:type="dxa"/>
            <w:vAlign w:val="bottom"/>
          </w:tcPr>
          <w:p>
            <w:pPr>
              <w:spacing w:after="0"/>
              <w:rPr>
                <w:sz w:val="24"/>
                <w:szCs w:val="24"/>
                <w:color w:val="auto"/>
              </w:rPr>
            </w:pPr>
          </w:p>
        </w:tc>
        <w:tc>
          <w:tcPr>
            <w:tcW w:w="3860" w:type="dxa"/>
            <w:vAlign w:val="bottom"/>
            <w:gridSpan w:val="2"/>
          </w:tcPr>
          <w:p>
            <w:pPr>
              <w:jc w:val="right"/>
              <w:ind w:right="2650"/>
              <w:spacing w:after="0"/>
              <w:rPr>
                <w:sz w:val="20"/>
                <w:szCs w:val="20"/>
                <w:color w:val="auto"/>
              </w:rPr>
            </w:pPr>
            <w:r>
              <w:rPr>
                <w:rFonts w:ascii="Arial" w:cs="Arial" w:eastAsia="Arial" w:hAnsi="Arial"/>
                <w:sz w:val="18"/>
                <w:szCs w:val="18"/>
                <w:color w:val="auto"/>
              </w:rPr>
              <w:t>F- 26</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4"/>
                <w:szCs w:val="24"/>
                <w:color w:val="auto"/>
              </w:rPr>
            </w:pPr>
          </w:p>
        </w:tc>
        <w:tc>
          <w:tcPr>
            <w:tcW w:w="25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0"/>
              </w:rPr>
              <w:t>December 31, 2016</w:t>
            </w:r>
          </w:p>
        </w:tc>
      </w:tr>
      <w:tr>
        <w:trPr>
          <w:trHeight w:val="27"/>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Unamortized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Discount and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Discount and</w:t>
            </w:r>
          </w:p>
        </w:tc>
      </w:tr>
      <w:tr>
        <w:trPr>
          <w:trHeight w:val="216"/>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Debt Issuance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Debt Issuance</w:t>
            </w:r>
          </w:p>
        </w:tc>
      </w:tr>
      <w:tr>
        <w:trPr>
          <w:trHeight w:val="234"/>
        </w:trPr>
        <w:tc>
          <w:tcPr>
            <w:tcW w:w="5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Costs</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3"/>
              </w:rPr>
              <w:t>Costs</w:t>
            </w: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5"/>
            <w:shd w:val="clear" w:color="auto" w:fill="CCEEFF"/>
          </w:tcPr>
          <w:p>
            <w:pPr>
              <w:ind w:left="580"/>
              <w:spacing w:after="0"/>
              <w:rPr>
                <w:sz w:val="20"/>
                <w:szCs w:val="20"/>
                <w:color w:val="auto"/>
              </w:rPr>
            </w:pPr>
            <w:r>
              <w:rPr>
                <w:rFonts w:ascii="Arial" w:cs="Arial" w:eastAsia="Arial" w:hAnsi="Arial"/>
                <w:sz w:val="16"/>
                <w:szCs w:val="16"/>
                <w:color w:val="auto"/>
              </w:rPr>
              <w:t>(amounts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324"/>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Term Loan, interest of 3.61% and 2.62% at December 31, 2017 and 2016,</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Convertible Notes, fixed rate interest of 8.00%</w:t>
            </w: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derivative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(5,032)</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93,125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89,782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19"/>
        </w:trPr>
        <w:tc>
          <w:tcPr>
            <w:tcW w:w="7120" w:type="dxa"/>
            <w:vAlign w:val="bottom"/>
            <w:gridSpan w:val="4"/>
          </w:tcPr>
          <w:p>
            <w:pPr>
              <w:spacing w:after="0"/>
              <w:rPr>
                <w:sz w:val="20"/>
                <w:szCs w:val="20"/>
                <w:color w:val="auto"/>
              </w:rPr>
            </w:pPr>
            <w:r>
              <w:rPr>
                <w:rFonts w:ascii="Arial" w:cs="Arial" w:eastAsia="Arial" w:hAnsi="Arial"/>
                <w:sz w:val="18"/>
                <w:szCs w:val="18"/>
                <w:color w:val="auto"/>
              </w:rPr>
              <w:t>As of December 31, 2017, the aggregate scheduled maturities of debt are as follows: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3"/>
              </w:rPr>
              <w:t>Term Loan</w:t>
            </w: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4"/>
            <w:shd w:val="clear" w:color="auto" w:fill="CCEEFF"/>
          </w:tcPr>
          <w:p>
            <w:pPr>
              <w:jc w:val="center"/>
              <w:ind w:right="90"/>
              <w:spacing w:after="0"/>
              <w:rPr>
                <w:sz w:val="20"/>
                <w:szCs w:val="20"/>
                <w:color w:val="auto"/>
              </w:rPr>
            </w:pPr>
            <w:r>
              <w:rPr>
                <w:rFonts w:ascii="Arial" w:cs="Arial" w:eastAsia="Arial" w:hAnsi="Arial"/>
                <w:sz w:val="16"/>
                <w:szCs w:val="16"/>
                <w:color w:val="auto"/>
                <w:w w:val="90"/>
              </w:rPr>
              <w:t>(amounts in thousands)</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8,125</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67,500</w:t>
            </w:r>
          </w:p>
        </w:tc>
      </w:tr>
      <w:tr>
        <w:trPr>
          <w:trHeight w:val="257"/>
        </w:trPr>
        <w:tc>
          <w:tcPr>
            <w:tcW w:w="5720" w:type="dxa"/>
            <w:vAlign w:val="bottom"/>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r>
      <w:tr>
        <w:trPr>
          <w:trHeight w:val="20"/>
        </w:trPr>
        <w:tc>
          <w:tcPr>
            <w:tcW w:w="5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Senior Credit Facility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1, 2017, the Company entered into an Amendment and Restatement of its Credit Agreement dated June 22, 2016 (Amended and Restated Credit Agreement), to refinance and increase the current aggregate committed size of the facility to $215.0 million, including a term loan of $100.0 million (Amended Term Loan) and a $115.0 million revolving credit facility (Amended Revolving Credit Facility) (together with the Amended Term Loan, the Amended Credit Facilities). The Amended Revolving Credit Facility includes a subfacility for swingline loans up to an amount not to exceed $15.0 million, and a $35.0 million sublimit for the issuance of standby letters of credit. The proceeds of $106.5 million from this refinancing included $6.5 million under the new revolving credit facility and were used to repay borrowings under the Company’s 2016 Senior Credit Facilities (as defined below), as well as to pay related interest, fees, and expenses of the transaction.</w:t>
      </w:r>
    </w:p>
    <w:p>
      <w:pPr>
        <w:spacing w:after="0" w:line="18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In addition to increasing the size of the facilities, the maturity date was extended to August 1, 2022. The Amended and Restated Credit Agreement also includes an accordion feature permitting the Company, subject to certain conditions, to increase the aggregate amount of the commitments under the Amended Revolving Credit Facility or establish one or more additional term loans in an aggregate amount not to exceed $50.0 million with optional additional commitments from existing lenders or new commitments from additional lenders. Other terms and pricing are substantially similar to the 2016 Credit Agreement (as defined below).</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Borrowings under the Amended Term Loan are payable in quarterly installments, commencing January 2, 2018, in an aggregate per annum amount equal to 5% for the first four installments, 7.5% for the next eight installments, and 10% for the remaining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20"/>
          </w:cols>
          <w:pgMar w:left="240" w:top="337"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installments; provided that, to the extent not previously paid, the aggregate unpaid principal balance would be due and payable on the maturity date.</w:t>
      </w:r>
    </w:p>
    <w:p>
      <w:pPr>
        <w:spacing w:after="0" w:line="23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Subject to the Amended and Restated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287" w:lineRule="exact"/>
        <w:rPr>
          <w:sz w:val="20"/>
          <w:szCs w:val="20"/>
          <w:color w:val="auto"/>
        </w:rPr>
      </w:pPr>
    </w:p>
    <w:tbl>
      <w:tblPr>
        <w:tblLayout w:type="fixed"/>
        <w:tblInd w:w="310" w:type="dxa"/>
        <w:tblCellMar>
          <w:top w:w="0" w:type="dxa"/>
          <w:left w:w="0" w:type="dxa"/>
          <w:bottom w:w="0" w:type="dxa"/>
          <w:right w:w="0" w:type="dxa"/>
        </w:tblCellMar>
      </w:tblPr>
      <w:tr>
        <w:trPr>
          <w:trHeight w:val="238"/>
        </w:trPr>
        <w:tc>
          <w:tcPr>
            <w:tcW w:w="1120" w:type="dxa"/>
            <w:vAlign w:val="bottom"/>
            <w:tcBorders>
              <w:top w:val="single" w:sz="8" w:color="auto"/>
              <w:left w:val="single" w:sz="8" w:color="auto"/>
              <w:right w:val="single" w:sz="8" w:color="auto"/>
            </w:tcBorders>
          </w:tcPr>
          <w:p>
            <w:pPr>
              <w:spacing w:after="0"/>
              <w:rPr>
                <w:sz w:val="20"/>
                <w:szCs w:val="20"/>
                <w:color w:val="auto"/>
              </w:rPr>
            </w:pPr>
          </w:p>
        </w:tc>
        <w:tc>
          <w:tcPr>
            <w:tcW w:w="358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Eurodollar Loans, LIBOR</w:t>
            </w:r>
          </w:p>
        </w:tc>
        <w:tc>
          <w:tcPr>
            <w:tcW w:w="194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spacing w:after="0"/>
              <w:rPr>
                <w:sz w:val="20"/>
                <w:szCs w:val="20"/>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Index Rate Loans and</w:t>
            </w:r>
          </w:p>
        </w:tc>
        <w:tc>
          <w:tcPr>
            <w:tcW w:w="19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34"/>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Consolidated Net Leverage Ratio</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Letter of Credit Fee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Less than 1.50:1.00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112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1.50:1.00</w:t>
            </w:r>
          </w:p>
        </w:tc>
        <w:tc>
          <w:tcPr>
            <w:tcW w:w="21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r>
      <w:tr>
        <w:trPr>
          <w:trHeight w:val="230"/>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2.00:1.00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112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2.00:1.00</w:t>
            </w:r>
          </w:p>
        </w:tc>
        <w:tc>
          <w:tcPr>
            <w:tcW w:w="21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r>
      <w:tr>
        <w:trPr>
          <w:trHeight w:val="230"/>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2.50:1.00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2.25%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112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2.50:1.00</w:t>
            </w:r>
          </w:p>
        </w:tc>
        <w:tc>
          <w:tcPr>
            <w:tcW w:w="21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r>
      <w:tr>
        <w:trPr>
          <w:trHeight w:val="230"/>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3.00:1.00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3.00:1.00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0.40%</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2017, the Amended Term Loan and Amended Revolving Credit Facility bore interest at a rate equal to One Month LIBOR plus 2.25%. The interest rate is subject to an increase of 2.00% if an event of default exists under the Amended and Restated Credit Agreement. The Company is required to pay a commitment fee on the average daily unused portion of the Amended Revolving Credit Facility, based on the Applicable Margin which was 0.30% as of December 31, 2017.</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Amended Credit Facilities under certain circumstances including from net cash proceeds from asset sales or dispositions in excess of certain thresholds, as well as from net cash proceeds from the issuance of certain debt by the Company.</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Amended and Restated Credit Agreement contains customary representations, warranties, and affirmative covenants. The Amended and Restated Credit Agreement also contains customary negative covenants, subject to some exceptions, on: (i) indebtedness and preferred equity; (ii) liens; (iii) fundamental changes; (iv) investments; (v) restricted payments; and, (vi) sale of assets and certain other restrictive agreements. The Amended and Restated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9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Amended and Restated Credit Agreement also includes two financial covenants: (i) limiting a maximum Consolidated Total Leverage ratio (as defined therein) to be no greater than 3.50:1.00 for the fiscal quarters ending September 30, 2017 through June 30, 2018, 3.25:1.00 for the fiscal quarters ending September 30, 2018 through June 30, 2019, and 3.00:1.00 for each fiscal quarter ending thereafter and as adjusted pursuant to a Qualified Permitted Acquisition (as defined therein); and (ii) requiring a minimum Consolidated Fixed Charge Coverage ratio (as defined therein) as of the end of each fiscal quarter of 1.50:1.00. As of December 31, 2017, the Company was in compliance with the financial covenants and other covenants contained in the Credit Agreement.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00"/>
          </w:cols>
          <w:pgMar w:left="240" w:top="337" w:right="25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obligations under the Amended and Restated Credit Agreement are guaranteed by all of the Company’s domestic wholly-owned subsidiaries and are secured by a first-priority security interest in the Collateral (as defined therein).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2017, the Company has $21.6 million letters of credit outstanding and $93.4 million available under the Amended Revolving Credit Facility. The letters of credit relate to the Company’s workers’ compensation and professional liability insurance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Senior Credit Facilities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22, 2016, the Company entered into a senior credit agreement (2016 Credit Agreement), which provided for an initial term loan of $40.0 million (Term Loan) and a revolving credit facility of up to $100.0 million (Revolving Credit Facility) (together with the Term Loan, the 2016 Senior Credit Facilities) both of which would have matured on June 22, 2021. The Revolving Credit Facility included a subfacility for swingline loans up to an amount not to exceed $15.0 million, and a $35.0 million sublimit for the issuance of standby letters of credit. Proceeds of the Senior Credit Facilities were used primarily to refinance the Company’s prior senior secured asset-based credit facility and $30.0 million Second Lien Term Loan and to pay related transaction fees and expenses, including a redemption premium of $0.6 million. The repayment of the Second Lien Term Loan was treated as extinguishment of debt and, as a result, the Company recognized a loss on extinguishment of debt of approximately $1.6 million in the second quarter of 2016, related to the write-off of unamortized net debt discount and issuance costs as well as transaction fees and expenses.</w:t>
      </w:r>
    </w:p>
    <w:p>
      <w:pPr>
        <w:spacing w:after="0" w:line="1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July 5, 2017, the Company entered into a Second Amendment to its 2016 Credit Agreement primarily to allow for the acquisition of Advantage including a reset of the Applicable Margin to Level III, based on the incremental borrowings and consistent with the prior pricing grid (or 2.25% for Eurodollar Loans and LIBOR Index Rate Loans, 1.25% for Base Rate Loans and a 0.30% commitment fee). Also, on July 5, 2017, the Company entered into an Incremental Term Loan Agreement for $40.0 million with SunTrust as Lender and Administrative Agent to pay for part of the consideration of the acquisition of Advantage. The Incremental Term Loan maturity date was June 22, 2021 and was prepayable at any time without penalty.</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Borrowings under the Incremental Term Loan were payable in quarterly installments, commencing September 30, 2017, with each such installment being in the aggregate principal amount (subject to adjustment as a result of prepayments) for the first eight installments equal to 1.875% and 2.5% of the principal amount of the Incremental Term Loan for the remaining installments; provided that, to the extent not previously paid, the aggregate unpaid principal balance would be due and payable on the maturity date. As of July 5, 2017 the Applicable Margin for Eurodollar Loans and LIBOR Index Rate Loans was 2.25% and the Applicable Margin for Base Rate Loans was 1.25%.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and certain of its domestic subsidiaries entered into a Convertible Note Purchase Agreement (the Note Purchase Agreement), with certain note holders (collectively, the Noteholders) on June 30, 2014. Pursuant to the Note Purchase Agreement, the Company sold to the Noteholders an aggregate of $25.0 million of convertible notes (the Convertible Notes). On March 17, 2017, the Company paid in full the Convertible Notes. In connection with the repayment, the Company issued to the Noteholders an aggregate of 3,175,584 shares of Common Stock, par value $0.0001, and cash in the aggregate amount of $5.6 million (of which $5.0 million is included in repayment of debt and $0.6 million is presented as extinguishment fees, both within financing activities on the condensed consolidated statements of cash flows). Upon derecognition of the net carrying amounts of the Convertible Notes (the remaining $20.0 million after the $5.0 million cash payment) and derivative liability ($26.0 million), the Company recognized a non-cash charge of $5.0 million as loss on early extinguishment and a non-cash addition to additional paid-in capital of $46.0 million for the fair value of the shares, which is not presented on the consolidated statements of cash flows. The loss on early extinguishment of debt includes the write-off of unamortized loan fees and remaining interest due through the Forced Conversion date (defined below) of June 30, 2017.</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Convertible Notes were convertible at the option of the holders thereof at any time into shares of the Common Stock at a conversion price of $7.10 per share, or 3,521,126 shares of Common Stock. After three years from the issuance date, the Company had the right to force a conversion of the Convertible Notes if the volume-weighted average price (VWAP) per share of its Common Stock exceeded 125% of the then conversion price for 20 days of a 30 day trading period (Forced Conversion date).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360"/>
          </w:cols>
          <w:pgMar w:left="240" w:top="337" w:right="29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 Subject to certain exceptions, the Company was not permitted to redeem the Convertible Notes until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Notes Derivative Liability</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On March 17, 2017, the Company paid in full its Convertible Notes and, as a result, derecognized the derivative liability. See Note 8 - Debt. The Company has not used derivative financial instruments to hedge exposures to cash-flow, market or foreign-currency risks. However, the Company issued Convertible Notes with features that were either (i) not afforded equity classification, (ii) embody risks not clearly and closely related to host contracts, or (iii) may be net-cash settled by the counterparty. As required by the </w:t>
      </w:r>
      <w:r>
        <w:rPr>
          <w:rFonts w:ascii="Arial" w:cs="Arial" w:eastAsia="Arial" w:hAnsi="Arial"/>
          <w:sz w:val="16"/>
          <w:szCs w:val="16"/>
          <w:i w:val="1"/>
          <w:iCs w:val="1"/>
          <w:color w:val="auto"/>
        </w:rPr>
        <w:t>Accounting for Derivative Financial Instruments and Hedging Activities</w:t>
      </w:r>
      <w:r>
        <w:rPr>
          <w:rFonts w:ascii="Arial" w:cs="Arial" w:eastAsia="Arial" w:hAnsi="Arial"/>
          <w:sz w:val="16"/>
          <w:szCs w:val="16"/>
          <w:color w:val="auto"/>
        </w:rPr>
        <w:t xml:space="preserve"> Topic of the FASB ASC, in certain instances, these instruments were required to be carried as derivative liabilities, at fair value, in the financial statements.</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Convertible Notes were subject to anti-dilution adjustments that allowed for the reduction in the Conversion Price, as defined in the agreement, in the event the Company subsequently issued equity securities including Common Stock or any security convertible or exchangeable for shares of Common Stock for a price less than the then current conversion price. In addition, the Convertible Notes allowed the issuer to exercise optional redemption features and the holder to exercise an offer to purchase feature, under certain conditions. The Company accounted for the conversion option in accordance with the </w:t>
      </w:r>
      <w:r>
        <w:rPr>
          <w:rFonts w:ascii="Arial" w:cs="Arial" w:eastAsia="Arial" w:hAnsi="Arial"/>
          <w:sz w:val="16"/>
          <w:szCs w:val="16"/>
          <w:i w:val="1"/>
          <w:iCs w:val="1"/>
          <w:color w:val="auto"/>
        </w:rPr>
        <w:t xml:space="preserve">Accounting for Derivative Financial Instruments and Hedging Activities </w:t>
      </w:r>
      <w:r>
        <w:rPr>
          <w:rFonts w:ascii="Arial" w:cs="Arial" w:eastAsia="Arial" w:hAnsi="Arial"/>
          <w:sz w:val="16"/>
          <w:szCs w:val="16"/>
          <w:color w:val="auto"/>
        </w:rPr>
        <w:t>Topic of the FASB ASC. Since this conversion feature is not considered to be solely</w:t>
      </w:r>
      <w:r>
        <w:rPr>
          <w:rFonts w:ascii="Arial" w:cs="Arial" w:eastAsia="Arial" w:hAnsi="Arial"/>
          <w:sz w:val="16"/>
          <w:szCs w:val="16"/>
          <w:i w:val="1"/>
          <w:iCs w:val="1"/>
          <w:color w:val="auto"/>
        </w:rPr>
        <w:t xml:space="preserve"> </w:t>
      </w:r>
      <w:r>
        <w:rPr>
          <w:rFonts w:ascii="Arial" w:cs="Arial" w:eastAsia="Arial" w:hAnsi="Arial"/>
          <w:sz w:val="16"/>
          <w:szCs w:val="16"/>
          <w:color w:val="auto"/>
        </w:rPr>
        <w:t>indexed to the Company’s own stock the derivative was recorded as a liability in the line item long-term debt on the Company's consolidated balance sheets.</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Convertible Notes derivative liability was measured at fair value using a trinomial lattice model. The optional redemption features, along with the offer to purchase features, were incorporated into the valuation model. Inputs into the model required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contained an anti-dilution adjustment, the probability that the Conversion Price of the Notes would decrease as the share price decreased was incorporated into the valuation calculation.</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fair value of the derivative liability was primarily determined by fluctuations in the Company's stock price. In addition, changes in the Company's credit risk profile impacted the fair value determination. These fluctuations resulted in a current period gain or loss that was presented on the consolidated statements of operations as (gain) loss on derivative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F- 30</w:t>
      </w:r>
    </w:p>
    <w:p>
      <w:pPr>
        <w:sectPr>
          <w:pgSz w:w="11900" w:h="16838" w:orient="portrait"/>
          <w:cols w:equalWidth="0" w:num="1">
            <w:col w:w="11400"/>
          </w:cols>
          <w:pgMar w:left="240" w:top="337"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Company’s financial assets/liabilities required to be measured on a recurring basis were its: deferred compensation liability included in other long-term liabilities, Convertible Notes derivative liability included in long-term debt and capital lease obligations, and contingent consideration liabilities.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Convertible notes derivative liability</w:t>
      </w:r>
      <w:r>
        <w:rPr>
          <w:rFonts w:ascii="Arial" w:cs="Arial" w:eastAsia="Arial" w:hAnsi="Arial"/>
          <w:sz w:val="18"/>
          <w:szCs w:val="18"/>
          <w:color w:val="auto"/>
        </w:rPr>
        <w:t>—The Company utilized Level 3 inputs to value its Convertible Notes derivative liability. See Note 9 - Convertible Notes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Contingent purchase price liabilities</w:t>
      </w:r>
      <w:r>
        <w:rPr>
          <w:rFonts w:ascii="Arial" w:cs="Arial" w:eastAsia="Arial" w:hAnsi="Arial"/>
          <w:sz w:val="16"/>
          <w:szCs w:val="16"/>
          <w:color w:val="auto"/>
        </w:rPr>
        <w:t>—Potential earnout payments related to the acquisition of Mediscan and USR are contingent upon meeting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requirements through 2019. The long-term portion of these liabilities is included in contingent consideration, and the short-term portion is included in other current liabilities on the consolidated balance sheets. The Company utilized Level 3 inputs to value these contingent consideration liabilities as significant unobservable inputs were used in the calculation of their fair value. Both of the Mediscan contingent consideration liabilities have been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In the third quarter of 2017, the Company determined that one of the contingent consideration earnouts related to the Mediscan acquisition would not be achieved for 2017 and, as a result, the entire earnout was reversed. The USR contingent consideration is recorded as a liability and measured at fair value using a discounted cash flow model utilizing significant unobservable inputs, including the probability of achieving each of the potential milestones and an estimated discount rate commensurate with the risks of the expected cash flows attributable to the milestones. See Note 3 - Acquisitions.</w:t>
      </w:r>
    </w:p>
    <w:p>
      <w:pPr>
        <w:spacing w:after="0" w:line="16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F- 31</w:t>
      </w:r>
    </w:p>
    <w:p>
      <w:pPr>
        <w:sectPr>
          <w:pgSz w:w="11900" w:h="16838" w:orient="portrait"/>
          <w:cols w:equalWidth="0" w:num="1">
            <w:col w:w="11420"/>
          </w:cols>
          <w:pgMar w:left="240" w:top="24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Fair Value Measurements</w:t>
            </w: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3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ind w:right="392"/>
              <w:spacing w:after="0"/>
              <w:rPr>
                <w:sz w:val="20"/>
                <w:szCs w:val="20"/>
                <w:color w:val="auto"/>
              </w:rPr>
            </w:pPr>
            <w:r>
              <w:rPr>
                <w:rFonts w:ascii="Arial" w:cs="Arial" w:eastAsia="Arial" w:hAnsi="Arial"/>
                <w:sz w:val="18"/>
                <w:szCs w:val="18"/>
                <w:b w:val="1"/>
                <w:bCs w:val="1"/>
                <w:color w:val="auto"/>
                <w:w w:val="97"/>
              </w:rPr>
              <w:t>December 31, 2017</w:t>
            </w:r>
          </w:p>
        </w:tc>
        <w:tc>
          <w:tcPr>
            <w:tcW w:w="42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3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gridSpan w:val="3"/>
          </w:tcPr>
          <w:p>
            <w:pPr>
              <w:spacing w:after="0"/>
              <w:rPr>
                <w:sz w:val="2"/>
                <w:szCs w:val="2"/>
                <w:color w:val="auto"/>
              </w:rPr>
            </w:pPr>
          </w:p>
        </w:tc>
      </w:tr>
      <w:tr>
        <w:trPr>
          <w:trHeight w:val="23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3"/>
            <w:shd w:val="clear" w:color="auto" w:fill="CCEEFF"/>
          </w:tcPr>
          <w:p>
            <w:pPr>
              <w:jc w:val="right"/>
              <w:ind w:right="1530"/>
              <w:spacing w:after="0"/>
              <w:rPr>
                <w:sz w:val="20"/>
                <w:szCs w:val="20"/>
                <w:color w:val="auto"/>
              </w:rPr>
            </w:pPr>
            <w:r>
              <w:rPr>
                <w:rFonts w:ascii="Arial" w:cs="Arial" w:eastAsia="Arial" w:hAnsi="Arial"/>
                <w:sz w:val="16"/>
                <w:szCs w:val="16"/>
                <w:color w:val="auto"/>
              </w:rPr>
              <w:t>(amounts in thousands)</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3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1,467</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Notes derivative liability</w:t>
            </w:r>
          </w:p>
        </w:tc>
        <w:tc>
          <w:tcPr>
            <w:tcW w:w="3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27,532</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Contingent purchase price liabilities</w:t>
            </w:r>
          </w:p>
        </w:tc>
        <w:tc>
          <w:tcPr>
            <w:tcW w:w="3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72"/>
              <w:spacing w:after="0"/>
              <w:rPr>
                <w:sz w:val="20"/>
                <w:szCs w:val="20"/>
                <w:color w:val="auto"/>
              </w:rPr>
            </w:pPr>
            <w:r>
              <w:rPr>
                <w:rFonts w:ascii="Arial" w:cs="Arial" w:eastAsia="Arial" w:hAnsi="Arial"/>
                <w:sz w:val="18"/>
                <w:szCs w:val="18"/>
                <w:color w:val="auto"/>
              </w:rPr>
              <w:t>5,368</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5,603</w:t>
            </w:r>
          </w:p>
        </w:tc>
      </w:tr>
    </w:tbl>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which follows reconciles the opening balances to the closing balances for fair value measurements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Contingent Purchase</w:t>
            </w:r>
          </w:p>
        </w:tc>
        <w:tc>
          <w:tcPr>
            <w:tcW w:w="280" w:type="dxa"/>
            <w:vAlign w:val="bottom"/>
          </w:tcPr>
          <w:p>
            <w:pPr>
              <w:spacing w:after="0"/>
              <w:rPr>
                <w:sz w:val="20"/>
                <w:szCs w:val="20"/>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b w:val="1"/>
                <w:bCs w:val="1"/>
                <w:color w:val="auto"/>
              </w:rPr>
              <w:t>Convertible Notes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Price Liabilities (a)</w:t>
            </w:r>
          </w:p>
        </w:tc>
        <w:tc>
          <w:tcPr>
            <w:tcW w:w="280" w:type="dxa"/>
            <w:vAlign w:val="bottom"/>
          </w:tcPr>
          <w:p>
            <w:pPr>
              <w:spacing w:after="0"/>
              <w:rPr>
                <w:sz w:val="23"/>
                <w:szCs w:val="23"/>
                <w:color w:val="auto"/>
              </w:rPr>
            </w:pPr>
          </w:p>
        </w:tc>
        <w:tc>
          <w:tcPr>
            <w:tcW w:w="2100" w:type="dxa"/>
            <w:vAlign w:val="bottom"/>
          </w:tcPr>
          <w:p>
            <w:pPr>
              <w:jc w:val="right"/>
              <w:ind w:right="350"/>
              <w:spacing w:after="0"/>
              <w:rPr>
                <w:sz w:val="20"/>
                <w:szCs w:val="20"/>
                <w:color w:val="auto"/>
              </w:rPr>
            </w:pPr>
            <w:r>
              <w:rPr>
                <w:rFonts w:ascii="Arial" w:cs="Arial" w:eastAsia="Arial" w:hAnsi="Arial"/>
                <w:sz w:val="18"/>
                <w:szCs w:val="18"/>
                <w:b w:val="1"/>
                <w:bCs w:val="1"/>
                <w:color w:val="auto"/>
              </w:rPr>
              <w:t>Derivative Liability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4"/>
            <w:shd w:val="clear" w:color="auto" w:fill="CCEEFF"/>
          </w:tcPr>
          <w:p>
            <w:pPr>
              <w:jc w:val="right"/>
              <w:ind w:right="163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33,337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Accretion expense</w:t>
            </w:r>
          </w:p>
        </w:tc>
        <w:tc>
          <w:tcPr>
            <w:tcW w:w="2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Valuation gain for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December 31, 2016</w:t>
            </w:r>
          </w:p>
        </w:tc>
        <w:tc>
          <w:tcPr>
            <w:tcW w:w="2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27,532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Accretion expense</w:t>
            </w:r>
          </w:p>
        </w:tc>
        <w:tc>
          <w:tcPr>
            <w:tcW w:w="2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Valuation gain for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December 31, 2017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5,368</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4950"/>
              <w:spacing w:after="0"/>
              <w:rPr>
                <w:sz w:val="20"/>
                <w:szCs w:val="20"/>
                <w:color w:val="auto"/>
              </w:rPr>
            </w:pPr>
            <w:r>
              <w:rPr>
                <w:rFonts w:ascii="Arial" w:cs="Arial" w:eastAsia="Arial" w:hAnsi="Arial"/>
                <w:sz w:val="18"/>
                <w:szCs w:val="18"/>
                <w:color w:val="auto"/>
                <w:w w:val="89"/>
              </w:rPr>
              <w:t>_______________</w:t>
            </w: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8"/>
        <w:spacing w:after="0" w:line="308"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Related to the Mediscan acquisition on October 30, 2015 and the USR acquisition on December 1, 2016. See Note 3 - Acquisitions. Valuation gain and accretion expense is included as acquisition-related contingent consideration on the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During an evaluation of goodwill, trade names, and other intangible assets during the years ended December 31, 2017, 2016, and 2015, the carrying value of goodwill, trade names, and other intangible assets in the Physician Staffing reporting unit exceeded their fair values. As a result, the Company recorded impairment charges that incorporates fair value measurements based on Level 3 inputs. For further discussion on measuring the Company's non-financial assets, specifically goodwill, trade names, and customer relationships. See Note 5 - Goodwill, Trade Names, and Other Intangible Assets.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243"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Financial instruments not measured or recorded at fair value in the accompanying consolidated balance sheets consist of cash and cash equivalents, accounts receivable, accounts payable and accrued expenses, and short and long-term debt. The estimated fair value of accounts receivable, accounts payable,</w:t>
      </w:r>
    </w:p>
    <w:p>
      <w:pPr>
        <w:ind w:right="260"/>
        <w:spacing w:after="0" w:line="323" w:lineRule="auto"/>
        <w:rPr>
          <w:sz w:val="20"/>
          <w:szCs w:val="20"/>
          <w:color w:val="auto"/>
        </w:rPr>
      </w:pPr>
      <w:r>
        <w:rPr>
          <w:rFonts w:ascii="Arial" w:cs="Arial" w:eastAsia="Arial" w:hAnsi="Arial"/>
          <w:sz w:val="16"/>
          <w:szCs w:val="16"/>
          <w:color w:val="auto"/>
        </w:rPr>
        <w:t>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 of the Company’s significant financial instruments that were not measured at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72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Pr>
          <w:p>
            <w:pPr>
              <w:spacing w:after="0"/>
              <w:rPr>
                <w:sz w:val="20"/>
                <w:szCs w:val="20"/>
                <w:color w:val="auto"/>
              </w:rPr>
            </w:pPr>
          </w:p>
        </w:tc>
        <w:tc>
          <w:tcPr>
            <w:tcW w:w="3120" w:type="dxa"/>
            <w:vAlign w:val="bottom"/>
            <w:gridSpan w:val="4"/>
          </w:tcPr>
          <w:p>
            <w:pPr>
              <w:ind w:left="70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36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6"/>
              </w:rPr>
              <w:t>Fair</w:t>
            </w:r>
          </w:p>
        </w:tc>
        <w:tc>
          <w:tcPr>
            <w:tcW w:w="2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5"/>
            <w:shd w:val="clear" w:color="auto" w:fill="CCEEFF"/>
          </w:tcPr>
          <w:p>
            <w:pPr>
              <w:ind w:left="580"/>
              <w:spacing w:after="0"/>
              <w:rPr>
                <w:sz w:val="20"/>
                <w:szCs w:val="20"/>
                <w:color w:val="auto"/>
              </w:rPr>
            </w:pPr>
            <w:r>
              <w:rPr>
                <w:rFonts w:ascii="Arial" w:cs="Arial" w:eastAsia="Arial" w:hAnsi="Arial"/>
                <w:sz w:val="16"/>
                <w:szCs w:val="16"/>
                <w:color w:val="auto"/>
              </w:rPr>
              <w:t>(amounts in thousands)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304"/>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Term Loan,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99,134</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100,500</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39,137</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41,500</w:t>
            </w:r>
          </w:p>
        </w:tc>
      </w:tr>
      <w:tr>
        <w:trPr>
          <w:trHeight w:val="251"/>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Convertible Notes,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20,331</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27,250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Contributions by the Company, net of forfeitures, under this plan amounted to $0.7 million, $0.8 million, and $0.7 million for the years ended December 31, 2017, 2016, and 2015, respectively. Eligible employees who elect to participate in the plan are generally vested in any existing matching contribution after three years of service with the Company.</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offers a non-qualified deferred compensation program to certain key employees whereby they may defer a portion of annual compensation for payment upon retirement. The program is unfunded for tax purposes and for purposes of Title I of the Employee Retirement Income Security Act of 1974. The liability for the deferred compensation is included in other long-term liabilities on the consolidated balance sheets and amounted to $1.5 million at December 31, 2017 and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20"/>
          </w:cols>
          <w:pgMar w:left="240" w:top="24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December 31, 2017, associated with these agreements with terms of one year or more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Arial" w:cs="Arial" w:eastAsia="Arial" w:hAnsi="Arial"/>
                <w:sz w:val="16"/>
                <w:szCs w:val="16"/>
                <w:color w:val="auto"/>
                <w:w w:val="95"/>
              </w:rPr>
              <w:t>(amounts in thousands)</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6,700</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5,180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3,993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8,732</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operating lease expense included in selling, general, and administrative expenses was approximately $9.4 million, $8.4 million, and $8.1 million for the years ending December 31,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Non-income tax expense is included in selling, general and administrative expenses on its consolidated statements of operations and the liability is reflected in sales tax payable within other current liabilities as of December 31, 2017 and 2016, on its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other matters will have a material adverse effect on the Company’s business, financial condition, results of operations or cash flows.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24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The components of the Company's income before income taxes are as follows: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9"/>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The components of the Company’s income tax benefit are as follows:</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9"/>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income tax benefit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420"/>
          </w:cols>
          <w:pgMar w:left="240" w:top="24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Arial" w:cs="Arial" w:eastAsia="Arial" w:hAnsi="Arial"/>
                <w:sz w:val="16"/>
                <w:szCs w:val="16"/>
                <w:color w:val="auto"/>
              </w:rPr>
              <w:t>(amounts in thousands)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other and prepaid expenses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14,718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17,228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interest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professional liability claims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workers’ compensation claims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carryforwards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(46,454)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30,585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Indefinite intangibles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(13,971)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on unrepatriated earnings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20,114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(13,154)</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2016 the Company had a valuation allowance on its deferred tax assets, exclusive of indefinite-lived intangible deferred tax liabilities, of $46.5 million resulting from a prior history of losses from its operations. As of December 31, 2016, the Company determined that it could not sustain a conclusion that it was more likely than not that it would realize any of its deferred tax assets resulting from recent losses, the difficulty of forecasting future taxable income, and other factors.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year ended December 31, 2017, predominantly on the basis of a reassessment of the amount of its deferred tax assets that are more likely than not to be realized, the Company reduced its valuation allowance by $45.4 million (comprised of $15.7 million related to U.S. net operating losses, $4.4 million related to state net operating losses, and $25.3 million related to other net deferred tax assets).</w:t>
      </w:r>
    </w:p>
    <w:p>
      <w:pPr>
        <w:spacing w:after="0" w:line="18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the reassessment, positive and negative factors were considered to arrive at a conclusion to release the valuation allowance. The primary focus of the analysis emphasized the positive evidence of the Company’s three-year cumulative pre-tax income position and projections of future taxable income which outweighed any negative evidence available. For the twelve quarters ended December 31, 2017, the Company had cumulative pre-tax income adjusted for permanent items of $27.7 million. It also has a history of utilizing net operating losses prior to expiration. Further, the five-year forecast of pre-tax book income is expected to exceed future tax deductions. Growing demand for healthcare solutions for the Company’s customers, including a growing aging U.S. population, and its customers’ pressure to keep costs down by using temporary staffing solutions were also positive factors in the analysis. With regard to negative evidence, there are no material taxable temporary differences to offset deductible temporary differences and no net operating losses available for carryback. Additionally, no tax planning strategies that would impact the valuation allowance analysis have been considered.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243"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valuation allowance on a portion of state net operating losses not more likely than not realizable was not released after analysis of respective expiration periods and specific state taxable income projections. As of December 31, 2017, a valuation allowance of $1.1 million remained.</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December 22, 2017, the 2017 Tax Act was signed into legislation which, among other changes, reduced the corporate federal income tax rate from 35% to 21% effective for the Company's year ended December 31, 2018. Because a change in tax law is accounted for in the period of enactment, the Company recorded income tax expense of $8.0 million, primarily due to a re-measurement of deferred tax assets and liabilities. The impact of the Global Intangible Low-Taxed Income provision, the transition tax on the deemed repatriation of deferred foreign income, and any future tax impact associated with basis differences on foreign subsidiaries is expected to be immaterial. The 2017 Tax Act is a comprehensive bill containing other provisions, such as limitations on the deductibility of interest expense and certain executive compensation, that are not expected to materially affect the Company.</w:t>
      </w:r>
    </w:p>
    <w:p>
      <w:pPr>
        <w:spacing w:after="0" w:line="16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The Securities and Exchange Commission (SEC) staff issued Staff Accounting Bulletin No. 118 (SAB 118), which provides guidance on accounting for the tax effects of the 2017 Tax Act. SAB 118 provides a measurement period that should not extend beyond one year from the enactment date for companies to complete the accounting required under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In accordance with SAB 118, a company must reflect the income tax effects of those aspects of the 2017 Tax Act for which the accounting under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is complete. To the extent that a company's accounting for certain income tax effects is incomplete but it is able to determine a reasonable estimate, it must record a provisional estimate in its financial statements. If a company cannot determine a provisional estimate to be included in its financial statements, it should continue to apply the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Topic of the FASB ASC on the basis of the provisions of the tax laws that were in effect immediately before the enactment. The ultimate impact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2017 Tax Act in the Company's financial statements is provisional with regard to certain foreign tax provisions and may differ from its estimates due to changes in the interpretations and assumptions made by the Company as well as additional regulatory guidance that may be issued.</w:t>
      </w:r>
    </w:p>
    <w:p>
      <w:pPr>
        <w:spacing w:after="0" w:line="16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31, 2017 and 2016, respectively, the Company had approximately $166.1 million and $161.1 million of federal, state, and foreign net operating loss carryforwards. The carryforwards will expire as follows: federal between 2032 and 2037, state between 2018 and 2037, and foreign between 2019 and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U. S. federal statutory rate to income tax benefit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Tax at U.S. statutory rate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meals and entertainment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tax expense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rate change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tax years of 2008 and 2010 through 2016 remain open to examination by certain taxing jurisdictions to which the Company is subject to tax. During 2017, the Company accrued $0.1 million of India tax on earnings of approximately $0.5 million. India withholding taxes on a dividend of India earnings are not affected by the calculation of U.S. taxes due and continue to be accrued.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F- 37</w:t>
      </w:r>
    </w:p>
    <w:p>
      <w:pPr>
        <w:sectPr>
          <w:pgSz w:w="11900" w:h="16838" w:orient="portrait"/>
          <w:cols w:equalWidth="0" w:num="1">
            <w:col w:w="11420"/>
          </w:cols>
          <w:pgMar w:left="240" w:top="24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approximately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4"/>
              </w:rPr>
              <w:t>(amounts in thousands)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5,180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4,071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3,777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prior years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based on settlements of tax positions related to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2017 Tax Act federal tax rate change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5,180</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4,071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Short-term unrecognized tax benefits are included in other current liabilities on the consolidated balance sheets and were $0.1 million as of December 31, 2017, 2016, and 2015. Long-term unrecognized tax benefits are included in other long-term liabilities on the consolidated balance sheets and were $0.5 million, $0.9 million, and $0.8 million as of December 31, 2017, 2016, and 2015, respectively. See Note 7 - Balance Sheet Details. As of December 31, 2017, 2016, and 2015, the Company had unrecognized tax benefits, which would affect the effective tax rate if recognized, of $4.0 million, $4.9 million, and $3.8 million, respectively. During 2017, the Company had gross increases of $1.1 million to its current year unrecognized tax benefits, related to federal and state tax positions as well as $0.2 million in gross decreases related to statute expirations.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recognizes interest and penalties related to unrecognized tax benefits in the provision for income taxes. During the years ended December 31, 2017 and 2015, the Company recognized a net decrease in interest and penalties of $0.2 million related to statute expirations. During the year ended December 31, 2016, the Company recognized an increase in interest and penalties of $0.1 million. The Company has accrued $0.2 million, $0.5 million, and $0.4 million for the payment of interest and penalties at December 31, 2017, 2016, and 2015,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February 2008, the Company’s Board of Directors authorized its most recent stock repurchase program whereby the Company may purchase up to 1,500,000 shares of its common stock, subject to terms of the Company’s credit agreement. The shares may be repurchased from time-to-time in the open market and the repurchase program may be discontinued at any time at the Company’s discretion.</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years ended December 31, 2017, 2016, and 2015, the Company did not repurchase any shares of its Common Stock under its February 2008 Board authorization.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December 31, 2017, the Company may purchase up to an additional 942,443 shares of Common Stock under the February 2008 Board authorization, subject to certain conditions in the Company's Amended and Restated Credit Agreement. The Company may repurchase up to an aggregate amount not to exceed $5.0 million in any fiscal year, or an unlimited amount if the Company meets certain conditions as described in its Amended and Restated Credit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3,175,584 shares to its prior Convertible Notes noteholders. See Note 8 -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Omnibus Incentive Plan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2014 Omnibus Incentive Plan (2014 Plan) provides for the issuance of stock options, stock appreciation rights, restricted stock, performance shares, and performance-based cash awards that may be granted with the intent to comply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20"/>
          </w:cols>
          <w:pgMar w:left="240" w:top="24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256"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“performance-based compensation” exception under Section 162(m) of the Internal Revenue Code, and other stock-based awards, all as defined by the 2014 Plan, to eligible employees, consultants and non-employee Directors. On May 23, 2017, the Company's shareholders approved an amendment and restatement of its 2014 Plan which, among others, included the following modifications: (i) a 2,000,000 share increase of the aggregate share reserve to 6,100,000 shares, (2) extension of the 2014 Plan until May 23, 2027, and (3) re-approval of the Section 162(m) performance goals so that certain incentive awards granted to certain executive officers of the Company may qualify as exempt performance-based compensation.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2014 Plan, the Compensation Committee of the Company’s Board of Directors (the Committee), has the discretion to determine the terms of the awards at the time of the grant provided, however, that in the case of stock options and stock appreciation rights (share options): 1) the exercise price per share of the award is not less than 100% (or, in the case of 10% or more stockholders, the exercise price of the incentive stock options (ISOs) granted may not be less than 110%) of the fair market value of the common stock at the time of the grant; and 2) the term of the award will be no more than 10 years after the date the option is granted (or, shall not exceed five years, in the case of a 10% or more stockholder). In the case of restricted stock, the purchase price may be zero to the extent permitted by applicable law.</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Restricted stock awards granted under the Company’s 2014 Plan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2014 Plan, the number of target shares that are issued for performance-based stock awards are determined based on the level of attainment of the targets.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2014 Plan for the year ended December 31, 2017:</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200" w:type="dxa"/>
            <w:vAlign w:val="bottom"/>
            <w:gridSpan w:val="5"/>
          </w:tcPr>
          <w:p>
            <w:pPr>
              <w:ind w:left="600"/>
              <w:spacing w:after="0"/>
              <w:rPr>
                <w:sz w:val="20"/>
                <w:szCs w:val="20"/>
                <w:color w:val="auto"/>
              </w:rPr>
            </w:pPr>
            <w:r>
              <w:rPr>
                <w:rFonts w:ascii="Arial" w:cs="Arial" w:eastAsia="Arial" w:hAnsi="Arial"/>
                <w:sz w:val="18"/>
                <w:szCs w:val="18"/>
                <w:b w:val="1"/>
                <w:bCs w:val="1"/>
                <w:color w:val="auto"/>
              </w:rPr>
              <w:t>Restricted Stock Awards</w:t>
            </w:r>
          </w:p>
        </w:tc>
        <w:tc>
          <w:tcPr>
            <w:tcW w:w="30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Target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512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2017</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532,294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332,092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323,503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181,067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14.36</w:t>
            </w: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(292,615)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(124,568)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(47,581)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(131,016)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11.78</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December 31, 2017</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515,601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257,575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r>
      <w:tr>
        <w:trPr>
          <w:trHeight w:val="20"/>
        </w:trPr>
        <w:tc>
          <w:tcPr>
            <w:tcW w:w="5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the minimum level of performance is attained for the 2017 awards, restricted stock will be issued with a vesting date of March 31, 2020, subject to the employee’s continuing employment. During the first quarter of 2017, the Company's Compensation Committee of the Board of Directors approved a 48% level of attainment for the 2016 performance-based share awards, resulting in the issuance of 86,784 performance shares that will vest on December 31, 2018.</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2017, the Company had approximately $4.6 million pre-tax of total unrecognized compensation cost related to non-vested restricted stock awards which may be adjusted for future changes in forfeitures. The Company expects to recognize such cost over a weighted average period of 1.97 years. The fair value of shares vested was approximately $3.7 million, $4.3 million, and $3.9 million for the years ended December 31, 2017, 2016, and 2015,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the Company had approximately $2.2 million pre-tax of total unrecognized compensation cost related to performance stock awards which may be adjusted for future changes in forfeitures. The Company expects to recognize such cost over a weighted average period of 2.05 years, the remaining service period. The fair value of shares vested was approximately $1.6 million for the year ended December 31, 2017 and $1.2 million for the year ended December 31, 2016, the first year these awards began to vest.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24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2017, 2016, and 2015, the Company did not issue stock options or stock appreciation rights. The following table represents information about stock options and stock appreciation rights exercised in each year.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2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color w:val="auto"/>
                <w:w w:val="90"/>
              </w:rPr>
              <w:t>(amounts 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intrinsic value of options exercised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stock appreciation rights can only be settled with stock or cash, at the discretion of the Committee. The stock appreciation rights vest 25% per year over a 4 year period and expire after 7 years. The Company’s policy is to issue new shares from its authorized but unissued balance of common stock outstanding or shares of common stock reacquired by the Company if stock appreciation rights are settled with stock.</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recorded compensation expense for stock options based on the estimated fair value of the options on the date of grant using the Black-Scholes option-pricing model. Due to the adoption of the 2014 Plan (previously titled the 2007 Stock Incentive Plan), no further grants have been issued under the Company’s 1999 Plans referred to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Option Plan and Equity Participation Plan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16, 1999, the Company’s Board of Directors approved the 1999 Stock Option Plan and Equity Participation Plan (collectively, the 1999 Plans), which was amended and restated on October 25, 2001 and provided for the issuance of ISOs and non-qualified stock options to eligible employees and non-employee directors for the purchase of up to 4,398,001 shares of common stock.</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Company’s activities with respect to all of its share option plans (issued under the 2014 Plan and the 1999 Plan) for the year ended December 31,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Value (amounts</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Option Price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 (in years)</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in thousands)</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options outstanding, January 1, 2017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188,213</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$4.16-$22.50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(74,625)</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$4.35-$8.09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(19,088)</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$5.21-$22.50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$8.43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Share options outstanding and exercisable, December 31,</w:t>
            </w: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94,500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$4.16-$7.44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December 31, 2017, the Company had 94,500 share options outstanding, all of which were vested at a weighted average exercise price of $5.19, intrinsic value of $0.7 million, and a weighted average contractual life of 1.85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420"/>
          </w:cols>
          <w:pgMar w:left="240" w:top="243"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gridSpan w:val="6"/>
          </w:tcPr>
          <w:p>
            <w:pPr>
              <w:jc w:val="center"/>
              <w:ind w:right="39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7"/>
            <w:shd w:val="clear" w:color="auto" w:fill="CCEEFF"/>
          </w:tcPr>
          <w:p>
            <w:pPr>
              <w:jc w:val="center"/>
              <w:spacing w:after="0"/>
              <w:rPr>
                <w:sz w:val="20"/>
                <w:szCs w:val="20"/>
                <w:color w:val="auto"/>
              </w:rPr>
            </w:pPr>
            <w:r>
              <w:rPr>
                <w:rFonts w:ascii="Arial" w:cs="Arial" w:eastAsia="Arial" w:hAnsi="Arial"/>
                <w:sz w:val="16"/>
                <w:szCs w:val="16"/>
                <w:color w:val="auto"/>
                <w:w w:val="89"/>
              </w:rPr>
              <w:t>(amounts in thousands, except per share data)</w:t>
            </w: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common shareholders - Basic</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37,513</w:t>
            </w:r>
          </w:p>
        </w:tc>
        <w:tc>
          <w:tcPr>
            <w:tcW w:w="5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Interest on Convertible Notes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(1,581)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common shareholders - Diluted</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36,626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4,418</w:t>
            </w:r>
          </w:p>
        </w:tc>
      </w:tr>
      <w:tr>
        <w:trPr>
          <w:trHeight w:val="311"/>
        </w:trPr>
        <w:tc>
          <w:tcPr>
            <w:tcW w:w="6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Basic</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35,018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31,514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Effective of diluted shares:</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awards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Convertible Notes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10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36,166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36,246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32,162</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Basic</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shareholders - Diluted</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20" w:firstLine="8"/>
        <w:spacing w:after="0" w:line="277" w:lineRule="auto"/>
        <w:tabs>
          <w:tab w:leader="none" w:pos="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year 2015, the Convertible Notes would have been anti-dilutive if converted at the beginning of the period and therefore, amounts are not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years 2017, 2016, and 2015, no tax benefits were assumed in the weighted average share calculation due to the Company's net operating loss position.</w:t>
      </w:r>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represents the securities that could potentially dilute net income per share attributable to common shareholders in the future that were not included in the computation of diluted net income per share attributable to common shareholders because to do so would have been anti-dilutive for the periods presented.</w:t>
      </w:r>
    </w:p>
    <w:p>
      <w:pPr>
        <w:spacing w:after="0" w:line="14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37465</wp:posOffset>
            </wp:positionV>
            <wp:extent cx="3001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6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7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6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(amounts in thousands)</w:t>
            </w:r>
          </w:p>
        </w:tc>
        <w:tc>
          <w:tcPr>
            <w:tcW w:w="1420" w:type="dxa"/>
            <w:vAlign w:val="bottom"/>
            <w:tcBorders>
              <w:bottom w:val="single" w:sz="8" w:color="CCEEFF"/>
            </w:tcBorders>
            <w:shd w:val="clear" w:color="auto" w:fill="CCEEFF"/>
          </w:tcPr>
          <w:p>
            <w:pPr>
              <w:spacing w:after="0"/>
              <w:rPr>
                <w:sz w:val="20"/>
                <w:szCs w:val="20"/>
                <w:color w:val="auto"/>
              </w:rPr>
            </w:pPr>
          </w:p>
        </w:tc>
      </w:tr>
      <w:tr>
        <w:trPr>
          <w:trHeight w:val="264"/>
        </w:trPr>
        <w:tc>
          <w:tcPr>
            <w:tcW w:w="7260" w:type="dxa"/>
            <w:vAlign w:val="bottom"/>
            <w:gridSpan w:val="2"/>
          </w:tcPr>
          <w:p>
            <w:pPr>
              <w:jc w:val="right"/>
              <w:ind w:right="4220"/>
              <w:spacing w:after="0"/>
              <w:rPr>
                <w:sz w:val="20"/>
                <w:szCs w:val="20"/>
                <w:color w:val="auto"/>
              </w:rPr>
            </w:pPr>
            <w:r>
              <w:rPr>
                <w:rFonts w:ascii="Arial" w:cs="Arial" w:eastAsia="Arial" w:hAnsi="Arial"/>
                <w:sz w:val="18"/>
                <w:szCs w:val="18"/>
                <w:color w:val="auto"/>
                <w:w w:val="87"/>
              </w:rPr>
              <w:t>Convertible notes and share-based awards</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2"/>
                <w:szCs w:val="22"/>
                <w:color w:val="auto"/>
              </w:rPr>
            </w:pPr>
          </w:p>
        </w:tc>
        <w:tc>
          <w:tcPr>
            <w:tcW w:w="16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3,521</w:t>
            </w:r>
          </w:p>
        </w:tc>
      </w:tr>
      <w:tr>
        <w:trPr>
          <w:trHeight w:val="20"/>
        </w:trPr>
        <w:tc>
          <w:tcPr>
            <w:tcW w:w="6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$4.9 million, $5.0 million, and $11.8 million in 2017, 2016, and 2015, respectively. Accounts receivable due from these hospitals at December 31, 2017 and 2016 were approximately $0.4 million and $1.0 million, respectively.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acquisition of MSN, the Company acquired a 68% ownership interest in Cross Country Talent Acquisition Group, LLC (formerly InteliStaf of Oklahoma, LLC), a joint venture between the Company and a hospital system. The Company generated revenue providing staffing services to the hospital system of $17.9 million, $12.6 million, and $10.0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1420"/>
          </w:cols>
          <w:pgMar w:left="240" w:top="243"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million in 2017, 2016, and 2015, respectively. At December 31, 2017 and 2016, the Company had a receivable balance of $0.8 million and $1.5 million, respectively, and a payable balance of $0.3 million and $0.2 million, respectively.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$0.4 million for rent for these premises in 2017 and 2016 and $0.1 million for the two months ended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Data</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2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Nurse and Allied Staffing - </w:t>
      </w:r>
      <w:r>
        <w:rPr>
          <w:rFonts w:ascii="Arial" w:cs="Arial" w:eastAsia="Arial" w:hAnsi="Arial"/>
          <w:sz w:val="18"/>
          <w:szCs w:val="18"/>
          <w:color w:val="auto"/>
        </w:rPr>
        <w:t>Nurse and Allied Staffing provides traditional staffing, recruiting, and value-added workforce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 care and non-acute care hospitals, government facilities, public schools and charter schools, outpatient clinics, ambulatory care facilities, physician practice groups, retailers, and many other healthcare providers throughout the U.S. Substantially all of the results of the Advantage acquisition have been aggregated with the Company's Nurse and Allied Staffing business segment. See Note 3 - Acquisitions.</w:t>
      </w:r>
    </w:p>
    <w:p>
      <w:pPr>
        <w:spacing w:after="0" w:line="193" w:lineRule="exact"/>
        <w:rPr>
          <w:rFonts w:ascii="Arial" w:cs="Arial" w:eastAsia="Arial" w:hAnsi="Arial"/>
          <w:sz w:val="18"/>
          <w:szCs w:val="18"/>
          <w:i w:val="1"/>
          <w:iCs w:val="1"/>
          <w:color w:val="auto"/>
        </w:rPr>
      </w:pPr>
    </w:p>
    <w:p>
      <w:pPr>
        <w:ind w:left="660" w:right="100" w:hanging="328"/>
        <w:spacing w:after="0" w:line="302" w:lineRule="auto"/>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Physician Staffing - </w:t>
      </w:r>
      <w:r>
        <w:rPr>
          <w:rFonts w:ascii="Arial" w:cs="Arial" w:eastAsia="Arial" w:hAnsi="Arial"/>
          <w:sz w:val="16"/>
          <w:szCs w:val="16"/>
          <w:color w:val="auto"/>
        </w:rPr>
        <w:t>Physician Staffing provides physicians in many specialties, certified registered nurse anesthetists (CRNAs),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(NPs), and physician assistants (PAs) as independent contractors on temporary assignments throughout the U.S. at various healthcare facilities, such as acute and non-acute care facilities, medical group practices, government facilities, and managed care organizations. Less than 2% of the business related to the Advantage acquisition is managed by, and included in, the Physician Staffing business segment.</w:t>
      </w:r>
    </w:p>
    <w:p>
      <w:pPr>
        <w:spacing w:after="0" w:line="154" w:lineRule="exact"/>
        <w:rPr>
          <w:rFonts w:ascii="Arial" w:cs="Arial" w:eastAsia="Arial" w:hAnsi="Arial"/>
          <w:sz w:val="16"/>
          <w:szCs w:val="16"/>
          <w:i w:val="1"/>
          <w:iCs w:val="1"/>
          <w:color w:val="auto"/>
        </w:rPr>
      </w:pPr>
    </w:p>
    <w:p>
      <w:pPr>
        <w:ind w:left="660" w:right="46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Human Capital Management Services - </w:t>
      </w:r>
      <w:r>
        <w:rPr>
          <w:rFonts w:ascii="Arial" w:cs="Arial" w:eastAsia="Arial" w:hAnsi="Arial"/>
          <w:sz w:val="18"/>
          <w:szCs w:val="18"/>
          <w:color w:val="auto"/>
        </w:rPr>
        <w:t>Other Human Capital Management Services includes retained and contingent search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healthcare executives, and other healthcare professionals within the U.S.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Company’s management evaluates performance of each segment primarily based on revenue and contribution income. The Company defines contribution income as income or loss from operations before depreciation and amortization, loss on sale of business, acquisition and integration costs, acquisition-related contingent consideration, restructuring costs, impairment charges,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F- 42</w:t>
      </w:r>
    </w:p>
    <w:p>
      <w:pPr>
        <w:sectPr>
          <w:pgSz w:w="11900" w:h="16838" w:orient="portrait"/>
          <w:cols w:equalWidth="0" w:num="1">
            <w:col w:w="11420"/>
          </w:cols>
          <w:pgMar w:left="240" w:top="243"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Data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89"/>
              </w:rPr>
              <w:t>(amounts in thousands)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Nurse and Allied Staffing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758,267</w:t>
            </w:r>
          </w:p>
        </w:tc>
        <w:tc>
          <w:tcPr>
            <w:tcW w:w="560" w:type="dxa"/>
            <w:vAlign w:val="bottom"/>
            <w:tcBorders>
              <w:bottom w:val="single" w:sz="8" w:color="CCEEFF"/>
            </w:tcBorders>
            <w:gridSpan w:val="3"/>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721,486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621,258</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Physician Staffing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93,610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98,283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115,336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30,827</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865,048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833,537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767,421</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73,614</w:t>
            </w:r>
          </w:p>
        </w:tc>
        <w:tc>
          <w:tcPr>
            <w:tcW w:w="560" w:type="dxa"/>
            <w:vAlign w:val="bottom"/>
            <w:gridSpan w:val="3"/>
          </w:tcPr>
          <w:p>
            <w:pPr>
              <w:jc w:val="right"/>
              <w:ind w:right="19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71,992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55,718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67,794</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overhead (a)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9,182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 (b)</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Acquisition and integration costs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 (c)</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20,565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33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has been centralizing administrative functions to gain efficiencies, which have been recorded in unallocated corporate overhead.</w:t>
      </w:r>
    </w:p>
    <w:p>
      <w:pPr>
        <w:spacing w:after="0" w:line="236" w:lineRule="exact"/>
        <w:rPr>
          <w:rFonts w:ascii="Arial" w:cs="Arial" w:eastAsia="Arial" w:hAnsi="Arial"/>
          <w:sz w:val="17"/>
          <w:szCs w:val="17"/>
          <w:color w:val="auto"/>
        </w:rPr>
      </w:pPr>
    </w:p>
    <w:p>
      <w:pPr>
        <w:ind w:left="500" w:right="160" w:hanging="316"/>
        <w:spacing w:after="0" w:line="277" w:lineRule="auto"/>
        <w:tabs>
          <w:tab w:leader="none" w:pos="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On August 31, 2015, the Company completed the sale of CCE, and recognized a pre-tax loss of $2.2 million related to the divestiture of the business. See Note 4 - Disposal.</w:t>
      </w:r>
    </w:p>
    <w:p>
      <w:pPr>
        <w:spacing w:after="0" w:line="170" w:lineRule="exact"/>
        <w:rPr>
          <w:rFonts w:ascii="Arial" w:cs="Arial" w:eastAsia="Arial" w:hAnsi="Arial"/>
          <w:sz w:val="18"/>
          <w:szCs w:val="18"/>
          <w:color w:val="auto"/>
        </w:rPr>
      </w:pPr>
    </w:p>
    <w:p>
      <w:pPr>
        <w:ind w:left="500" w:right="60" w:hanging="316"/>
        <w:spacing w:after="0" w:line="277" w:lineRule="auto"/>
        <w:tabs>
          <w:tab w:leader="none" w:pos="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During the years ended December 31, 2017, 2016, and 2015, the Company recorded non-cash impairment charges of $14.4 million, $24.3 million, and $2.1 million, respectively. See Note 5 - Goodwill, Trade Names,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243"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First</w:t>
            </w:r>
          </w:p>
        </w:tc>
        <w:tc>
          <w:tcPr>
            <w:tcW w:w="280" w:type="dxa"/>
            <w:vAlign w:val="bottom"/>
          </w:tcPr>
          <w:p>
            <w:pPr>
              <w:spacing w:after="0"/>
              <w:rPr>
                <w:sz w:val="17"/>
                <w:szCs w:val="17"/>
                <w:color w:val="auto"/>
              </w:rPr>
            </w:pP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82"/>
              </w:rPr>
              <w:t>Second</w:t>
            </w:r>
          </w:p>
        </w:tc>
        <w:tc>
          <w:tcPr>
            <w:tcW w:w="260" w:type="dxa"/>
            <w:vAlign w:val="bottom"/>
          </w:tcPr>
          <w:p>
            <w:pPr>
              <w:spacing w:after="0"/>
              <w:rPr>
                <w:sz w:val="17"/>
                <w:szCs w:val="17"/>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rPr>
              <w:t>Third</w:t>
            </w:r>
          </w:p>
        </w:tc>
        <w:tc>
          <w:tcPr>
            <w:tcW w:w="32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Fourth</w:t>
            </w: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96"/>
              </w:rPr>
              <w:t>Quarter</w:t>
            </w:r>
          </w:p>
        </w:tc>
        <w:tc>
          <w:tcPr>
            <w:tcW w:w="280" w:type="dxa"/>
            <w:vAlign w:val="bottom"/>
          </w:tcPr>
          <w:p>
            <w:pPr>
              <w:spacing w:after="0"/>
              <w:rPr>
                <w:sz w:val="18"/>
                <w:szCs w:val="18"/>
                <w:color w:val="auto"/>
              </w:rPr>
            </w:pP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96"/>
              </w:rPr>
              <w:t>Quarter</w:t>
            </w:r>
          </w:p>
        </w:tc>
        <w:tc>
          <w:tcPr>
            <w:tcW w:w="260" w:type="dxa"/>
            <w:vAlign w:val="bottom"/>
          </w:tcPr>
          <w:p>
            <w:pPr>
              <w:spacing w:after="0"/>
              <w:rPr>
                <w:sz w:val="18"/>
                <w:szCs w:val="18"/>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rPr>
              <w:t>Quarter</w:t>
            </w:r>
          </w:p>
        </w:tc>
        <w:tc>
          <w:tcPr>
            <w:tcW w:w="3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Quarter</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(amounts in thousands, except per share data)</w:t>
            </w: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207,573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209,313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228,488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219,674</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Gross profit (a)</w:t>
            </w:r>
          </w:p>
        </w:tc>
        <w:tc>
          <w:tcPr>
            <w:tcW w:w="2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53,275</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56,528</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60,480</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58,303</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Consolidated net (loss) income</w:t>
            </w:r>
          </w:p>
        </w:tc>
        <w:tc>
          <w:tcPr>
            <w:tcW w:w="2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(1,718)</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5,220</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7,044</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28,256</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 income attributable to common shareholders</w:t>
            </w:r>
          </w:p>
        </w:tc>
        <w:tc>
          <w:tcPr>
            <w:tcW w:w="2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(2,010)</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4,850</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6,723</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27,950</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 income per share attributable to common shareholders - 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0.78</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 income per share attributable to common shareholders - 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0.77</w:t>
            </w:r>
          </w:p>
        </w:tc>
      </w:tr>
      <w:tr>
        <w:trPr>
          <w:trHeight w:val="384"/>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First</w:t>
            </w:r>
          </w:p>
        </w:tc>
        <w:tc>
          <w:tcPr>
            <w:tcW w:w="280" w:type="dxa"/>
            <w:vAlign w:val="bottom"/>
          </w:tcPr>
          <w:p>
            <w:pPr>
              <w:spacing w:after="0"/>
              <w:rPr>
                <w:sz w:val="24"/>
                <w:szCs w:val="24"/>
                <w:color w:val="auto"/>
              </w:rPr>
            </w:pP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82"/>
              </w:rPr>
              <w:t>Second</w:t>
            </w:r>
          </w:p>
        </w:tc>
        <w:tc>
          <w:tcPr>
            <w:tcW w:w="260" w:type="dxa"/>
            <w:vAlign w:val="bottom"/>
          </w:tcPr>
          <w:p>
            <w:pPr>
              <w:spacing w:after="0"/>
              <w:rPr>
                <w:sz w:val="24"/>
                <w:szCs w:val="24"/>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rPr>
              <w:t>Third</w:t>
            </w:r>
          </w:p>
        </w:tc>
        <w:tc>
          <w:tcPr>
            <w:tcW w:w="320" w:type="dxa"/>
            <w:vAlign w:val="bottom"/>
          </w:tcPr>
          <w:p>
            <w:pPr>
              <w:spacing w:after="0"/>
              <w:rPr>
                <w:sz w:val="24"/>
                <w:szCs w:val="24"/>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Fourth</w:t>
            </w: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96"/>
              </w:rPr>
              <w:t>Quarter</w:t>
            </w:r>
          </w:p>
        </w:tc>
        <w:tc>
          <w:tcPr>
            <w:tcW w:w="280" w:type="dxa"/>
            <w:vAlign w:val="bottom"/>
          </w:tcPr>
          <w:p>
            <w:pPr>
              <w:spacing w:after="0"/>
              <w:rPr>
                <w:sz w:val="18"/>
                <w:szCs w:val="18"/>
                <w:color w:val="auto"/>
              </w:rPr>
            </w:pP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96"/>
              </w:rPr>
              <w:t>Quarter</w:t>
            </w:r>
          </w:p>
        </w:tc>
        <w:tc>
          <w:tcPr>
            <w:tcW w:w="260" w:type="dxa"/>
            <w:vAlign w:val="bottom"/>
          </w:tcPr>
          <w:p>
            <w:pPr>
              <w:spacing w:after="0"/>
              <w:rPr>
                <w:sz w:val="18"/>
                <w:szCs w:val="18"/>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rPr>
              <w:t>Quarter</w:t>
            </w:r>
          </w:p>
        </w:tc>
        <w:tc>
          <w:tcPr>
            <w:tcW w:w="3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Quarter</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(amounts in thousands, except per share data)</w:t>
            </w: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196,583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199,443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214,988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222,523</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Gross profit (a)</w:t>
            </w:r>
          </w:p>
        </w:tc>
        <w:tc>
          <w:tcPr>
            <w:tcW w:w="2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51,046</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54,846</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58,210</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57,633</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Consolidated net income (loss)</w:t>
            </w:r>
          </w:p>
        </w:tc>
        <w:tc>
          <w:tcPr>
            <w:tcW w:w="2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19,186</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(17,095)</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14,289</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(7,649)</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 attributable to common shareholders</w:t>
            </w:r>
          </w:p>
        </w:tc>
        <w:tc>
          <w:tcPr>
            <w:tcW w:w="2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19,022</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(17,237)</w:t>
            </w:r>
          </w:p>
        </w:tc>
        <w:tc>
          <w:tcPr>
            <w:tcW w:w="2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14,066</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(7,884)</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 per share attributable to common shareholders - 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 per share attributable to common shareholders - 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0.09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0.22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249"/>
        </w:trPr>
        <w:tc>
          <w:tcPr>
            <w:tcW w:w="6520" w:type="dxa"/>
            <w:vAlign w:val="bottom"/>
          </w:tcPr>
          <w:p>
            <w:pPr>
              <w:spacing w:after="0"/>
              <w:rPr>
                <w:sz w:val="20"/>
                <w:szCs w:val="20"/>
                <w:color w:val="auto"/>
              </w:rPr>
            </w:pPr>
            <w:r>
              <w:rPr>
                <w:rFonts w:ascii="Arial" w:cs="Arial" w:eastAsia="Arial" w:hAnsi="Arial"/>
                <w:sz w:val="18"/>
                <w:szCs w:val="18"/>
                <w:color w:val="auto"/>
              </w:rPr>
              <w:t>________________</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Excludes depreciation and amortization.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and presentation of our consolidated data:</w:t>
      </w:r>
    </w:p>
    <w:p>
      <w:pPr>
        <w:spacing w:after="0" w:line="225" w:lineRule="exact"/>
        <w:rPr>
          <w:sz w:val="20"/>
          <w:szCs w:val="20"/>
          <w:color w:val="auto"/>
        </w:rPr>
      </w:pPr>
    </w:p>
    <w:p>
      <w:pPr>
        <w:ind w:left="820" w:right="60" w:hanging="326"/>
        <w:spacing w:after="0" w:line="256"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recorded changes in the fair value of Convertible Notes derivative liability, recording a gain in the first quarter of 2017 of $1.6 million, a gain in the first and third quarters of 2016 of $16.4 million and $7.1 million, respectively, and a loss in the second and fourth quarters of 2016 of $3.6 million and $14.2 million, respectively. See Note 9 - Convertible Notes Derivative Liability.</w:t>
      </w:r>
    </w:p>
    <w:p>
      <w:pPr>
        <w:ind w:left="820" w:right="60" w:hanging="326"/>
        <w:spacing w:after="0" w:line="250"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fourth quarter of 2017 and the second quarter of 2016, the Company recorded non-cash impairment charges of $14.4 million and $24.3 million, respectively. See Note 5 - Goodwill, Trade Names, and Other Intangible Assets.</w:t>
      </w:r>
    </w:p>
    <w:p>
      <w:pPr>
        <w:jc w:val="both"/>
        <w:ind w:left="820" w:right="500" w:hanging="326"/>
        <w:spacing w:after="0" w:line="250"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first quarter of 2017, the Company settled its Convertible Notes and recognized a loss on extinguishment of debt of $5.0 million. During the second quarter of 2016, the Company repaid its Second Lien Term Loan and recognized a loss on extinguishment of debt of $1.6 million. See Note 8 - Debt.</w:t>
      </w:r>
    </w:p>
    <w:p>
      <w:pPr>
        <w:spacing w:after="0" w:line="1" w:lineRule="exact"/>
        <w:rPr>
          <w:rFonts w:ascii="Arial" w:cs="Arial" w:eastAsia="Arial" w:hAnsi="Arial"/>
          <w:sz w:val="18"/>
          <w:szCs w:val="18"/>
          <w:color w:val="auto"/>
        </w:rPr>
      </w:pPr>
    </w:p>
    <w:p>
      <w:pPr>
        <w:ind w:left="820" w:right="320" w:hanging="326"/>
        <w:spacing w:after="0" w:line="250"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July 1, 2017, the Company acquired all of the assets of Advantage. The acquisition has been accounted for in accordance with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Topic of the FASB ASC</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acquisition method. The results of the acquisition's operations have been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from its date of acquisition. See Note 3 - Acquisitions.</w:t>
      </w:r>
    </w:p>
    <w:p>
      <w:pPr>
        <w:spacing w:after="0" w:line="1" w:lineRule="exact"/>
        <w:rPr>
          <w:rFonts w:ascii="Arial" w:cs="Arial" w:eastAsia="Arial" w:hAnsi="Arial"/>
          <w:sz w:val="18"/>
          <w:szCs w:val="18"/>
          <w:color w:val="auto"/>
        </w:rPr>
      </w:pPr>
    </w:p>
    <w:p>
      <w:pPr>
        <w:ind w:left="820" w:right="280" w:hanging="326"/>
        <w:spacing w:after="0" w:line="255"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2017 and 2016, the Company recorded acquisition-related contingent consideration expense primarily related to the Mediscan and USR acquisitions, recording expense of $0.3 million in the first and second quarters of 2017, a credit of $0.6 million in the third quarter of 2017, and expense of $0.1 million in the fourth quarter of 2017, 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F- 44</w:t>
      </w:r>
    </w:p>
    <w:p>
      <w:pPr>
        <w:sectPr>
          <w:pgSz w:w="11900" w:h="16838" w:orient="portrait"/>
          <w:cols w:equalWidth="0" w:num="1">
            <w:col w:w="11420"/>
          </w:cols>
          <w:pgMar w:left="240" w:top="243" w:right="239" w:bottom="1440" w:gutter="0" w:footer="0" w:header="0"/>
        </w:sectPr>
      </w:pPr>
    </w:p>
    <w:bookmarkStart w:id="98" w:name="page99"/>
    <w:bookmarkEnd w:id="98"/>
    <w:p>
      <w:pPr>
        <w:jc w:val="center"/>
        <w:ind w:right="-7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Data (Unaudited) (continued)</w:t>
      </w:r>
    </w:p>
    <w:p>
      <w:pPr>
        <w:spacing w:after="0" w:line="200" w:lineRule="exact"/>
        <w:rPr>
          <w:sz w:val="20"/>
          <w:szCs w:val="20"/>
          <w:color w:val="auto"/>
        </w:rPr>
      </w:pPr>
    </w:p>
    <w:p>
      <w:pPr>
        <w:spacing w:after="0" w:line="299" w:lineRule="exact"/>
        <w:rPr>
          <w:sz w:val="20"/>
          <w:szCs w:val="20"/>
          <w:color w:val="auto"/>
        </w:rPr>
      </w:pPr>
    </w:p>
    <w:p>
      <w:pPr>
        <w:ind w:left="820" w:right="60"/>
        <w:spacing w:after="0" w:line="282" w:lineRule="auto"/>
        <w:rPr>
          <w:sz w:val="20"/>
          <w:szCs w:val="20"/>
          <w:color w:val="auto"/>
        </w:rPr>
      </w:pPr>
      <w:r>
        <w:rPr>
          <w:rFonts w:ascii="Arial" w:cs="Arial" w:eastAsia="Arial" w:hAnsi="Arial"/>
          <w:sz w:val="18"/>
          <w:szCs w:val="18"/>
          <w:color w:val="auto"/>
        </w:rPr>
        <w:t>expense of $0.3 million in the first quarter of 2016, $0.2 million in the second and third quarters of 2016, and $0.1 million in the fourth quarter of 2016. See Note 3 - Acquisitions and Note 10 - Fair Value Measurements.</w:t>
      </w:r>
    </w:p>
    <w:p>
      <w:pPr>
        <w:spacing w:after="0" w:line="1" w:lineRule="exact"/>
        <w:rPr>
          <w:sz w:val="20"/>
          <w:szCs w:val="20"/>
          <w:color w:val="auto"/>
        </w:rPr>
      </w:pPr>
    </w:p>
    <w:p>
      <w:pPr>
        <w:ind w:left="820" w:right="40" w:hanging="326"/>
        <w:spacing w:after="0" w:line="255"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third and fourth quarters of 2017, the Company recorded restructuring costs of $0.7 million and $0.3 million, respectively, primarily related to a cost saving initiative, and in the third and fourth quarters of 2016, $0.6 million and $0.2 million, respectively, primarily related to the centralization of corporate functions. See Note 2 - Summary of Significant Accounting Policies.</w:t>
      </w:r>
    </w:p>
    <w:p>
      <w:pPr>
        <w:spacing w:after="0" w:line="1" w:lineRule="exact"/>
        <w:rPr>
          <w:rFonts w:ascii="Arial" w:cs="Arial" w:eastAsia="Arial" w:hAnsi="Arial"/>
          <w:sz w:val="18"/>
          <w:szCs w:val="18"/>
          <w:color w:val="auto"/>
        </w:rPr>
      </w:pPr>
    </w:p>
    <w:p>
      <w:pPr>
        <w:ind w:left="820" w:hanging="326"/>
        <w:spacing w:after="0" w:line="255"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fourth quarter of 2017, the Company benefited from a $43.3 million reversal of valuation allowance on its net deferred tax assets, offset by additional income tax expense of $8.0 million related to the remeasurement of its deferred tax assets as a result of the 2017 Tax Act. See Note 13 - Income Taxes.</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F- 45</w:t>
      </w:r>
    </w:p>
    <w:p>
      <w:pPr>
        <w:sectPr>
          <w:pgSz w:w="11900" w:h="16838" w:orient="portrait"/>
          <w:cols w:equalWidth="0" w:num="1">
            <w:col w:w="11360"/>
          </w:cols>
          <w:pgMar w:left="240" w:top="243" w:right="29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Balance at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Beginning</w:t>
            </w:r>
          </w:p>
        </w:tc>
        <w:tc>
          <w:tcPr>
            <w:tcW w:w="26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Charged to</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End</w:t>
            </w:r>
          </w:p>
        </w:tc>
      </w:tr>
      <w:tr>
        <w:trPr>
          <w:trHeight w:val="210"/>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of Period</w:t>
            </w: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Operations</w:t>
            </w:r>
          </w:p>
        </w:tc>
        <w:tc>
          <w:tcPr>
            <w:tcW w:w="5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Write-Offs</w:t>
            </w:r>
          </w:p>
        </w:tc>
        <w:tc>
          <w:tcPr>
            <w:tcW w:w="4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Recoveries</w:t>
            </w:r>
          </w:p>
        </w:tc>
        <w:tc>
          <w:tcPr>
            <w:tcW w:w="28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Changes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of Period</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gridSpan w:val="3"/>
          </w:tcPr>
          <w:p>
            <w:pPr>
              <w:jc w:val="right"/>
              <w:ind w:right="519"/>
              <w:spacing w:after="0"/>
              <w:rPr>
                <w:sz w:val="20"/>
                <w:szCs w:val="20"/>
                <w:color w:val="auto"/>
              </w:rPr>
            </w:pPr>
            <w:r>
              <w:rPr>
                <w:rFonts w:ascii="Arial" w:cs="Arial" w:eastAsia="Arial" w:hAnsi="Arial"/>
                <w:sz w:val="16"/>
                <w:szCs w:val="16"/>
                <w:color w:val="auto"/>
              </w:rPr>
              <w:t>(amounts 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6"/>
        </w:trPr>
        <w:tc>
          <w:tcPr>
            <w:tcW w:w="3340" w:type="dxa"/>
            <w:vAlign w:val="bottom"/>
            <w:gridSpan w:val="4"/>
          </w:tcPr>
          <w:p>
            <w:pPr>
              <w:ind w:left="40"/>
              <w:spacing w:after="0"/>
              <w:rPr>
                <w:sz w:val="20"/>
                <w:szCs w:val="20"/>
                <w:color w:val="auto"/>
              </w:rPr>
            </w:pPr>
            <w:r>
              <w:rPr>
                <w:rFonts w:ascii="Arial" w:cs="Arial" w:eastAsia="Arial" w:hAnsi="Arial"/>
                <w:sz w:val="16"/>
                <w:szCs w:val="16"/>
                <w:b w:val="1"/>
                <w:bCs w:val="1"/>
                <w:color w:val="auto"/>
              </w:rPr>
              <w:t>Allowances for Accounts Receivable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
        </w:trPr>
        <w:tc>
          <w:tcPr>
            <w:tcW w:w="4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3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3,688</w:t>
            </w:r>
          </w:p>
        </w:tc>
      </w:tr>
      <w:tr>
        <w:trPr>
          <w:trHeight w:val="237"/>
        </w:trPr>
        <w:tc>
          <w:tcPr>
            <w:tcW w:w="33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4,034</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(5,149)</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3,245</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4,045</w:t>
            </w:r>
          </w:p>
        </w:tc>
      </w:tr>
      <w:tr>
        <w:trPr>
          <w:trHeight w:val="324"/>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6"/>
              </w:rPr>
              <w:t>Valuation Allowance for Deferred Tax Assets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37"/>
        </w:trPr>
        <w:tc>
          <w:tcPr>
            <w:tcW w:w="33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46,454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(3,007)</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(43,333)</w:t>
            </w:r>
          </w:p>
        </w:tc>
        <w:tc>
          <w:tcPr>
            <w:tcW w:w="480" w:type="dxa"/>
            <w:vAlign w:val="bottom"/>
          </w:tcPr>
          <w:p>
            <w:pPr>
              <w:jc w:val="right"/>
              <w:spacing w:after="0"/>
              <w:rPr>
                <w:sz w:val="20"/>
                <w:szCs w:val="20"/>
                <w:color w:val="auto"/>
              </w:rPr>
            </w:pPr>
            <w:r>
              <w:rPr>
                <w:rFonts w:ascii="Arial" w:cs="Arial" w:eastAsia="Arial" w:hAnsi="Arial"/>
                <w:sz w:val="16"/>
                <w:szCs w:val="16"/>
                <w:color w:val="auto"/>
              </w:rPr>
              <w:t>(a) $</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962</w:t>
            </w:r>
          </w:p>
        </w:tc>
        <w:tc>
          <w:tcPr>
            <w:tcW w:w="340" w:type="dxa"/>
            <w:vAlign w:val="bottom"/>
          </w:tcPr>
          <w:p>
            <w:pPr>
              <w:ind w:left="100"/>
              <w:spacing w:after="0"/>
              <w:rPr>
                <w:sz w:val="20"/>
                <w:szCs w:val="20"/>
                <w:color w:val="auto"/>
              </w:rPr>
            </w:pPr>
            <w:r>
              <w:rPr>
                <w:rFonts w:ascii="Arial" w:cs="Arial" w:eastAsia="Arial" w:hAnsi="Arial"/>
                <w:sz w:val="16"/>
                <w:szCs w:val="16"/>
                <w:color w:val="auto"/>
              </w:rPr>
              <w:t>(c)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1,076</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46,454</w:t>
            </w:r>
          </w:p>
        </w:tc>
      </w:tr>
      <w:tr>
        <w:trPr>
          <w:trHeight w:val="237"/>
        </w:trPr>
        <w:tc>
          <w:tcPr>
            <w:tcW w:w="33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63,616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(7,518)</w:t>
            </w:r>
          </w:p>
        </w:tc>
        <w:tc>
          <w:tcPr>
            <w:tcW w:w="500" w:type="dxa"/>
            <w:vAlign w:val="bottom"/>
          </w:tcPr>
          <w:p>
            <w:pPr>
              <w:jc w:val="right"/>
              <w:spacing w:after="0"/>
              <w:rPr>
                <w:sz w:val="20"/>
                <w:szCs w:val="20"/>
                <w:color w:val="auto"/>
              </w:rPr>
            </w:pPr>
            <w:r>
              <w:rPr>
                <w:rFonts w:ascii="Arial" w:cs="Arial" w:eastAsia="Arial" w:hAnsi="Arial"/>
                <w:sz w:val="16"/>
                <w:szCs w:val="16"/>
                <w:color w:val="auto"/>
              </w:rPr>
              <w:t>(b) $</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540"/>
              <w:spacing w:after="0"/>
              <w:rPr>
                <w:sz w:val="20"/>
                <w:szCs w:val="20"/>
                <w:color w:val="auto"/>
              </w:rPr>
            </w:pPr>
            <w:r>
              <w:rPr>
                <w:rFonts w:ascii="Arial" w:cs="Arial" w:eastAsia="Arial" w:hAnsi="Arial"/>
                <w:sz w:val="16"/>
                <w:szCs w:val="16"/>
                <w:color w:val="auto"/>
              </w:rPr>
              <w:t>(762) (c)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55,336</w:t>
            </w:r>
          </w:p>
        </w:tc>
      </w:tr>
      <w:tr>
        <w:trPr>
          <w:trHeight w:val="249"/>
        </w:trPr>
        <w:tc>
          <w:tcPr>
            <w:tcW w:w="254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02" w:lineRule="exact"/>
        <w:rPr>
          <w:sz w:val="20"/>
          <w:szCs w:val="20"/>
          <w:color w:val="auto"/>
        </w:rPr>
      </w:pPr>
    </w:p>
    <w:p>
      <w:pPr>
        <w:ind w:left="840" w:hanging="33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 of valuation allowances on the Company’s deferred tax assets.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 reversal of valuation allowance related to CCE.</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Valuation allowance on deferred tax asset related to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II- 1</w:t>
      </w:r>
    </w:p>
    <w:p>
      <w:pPr>
        <w:sectPr>
          <w:pgSz w:w="11900" w:h="16838" w:orient="portrait"/>
          <w:cols w:equalWidth="0" w:num="1">
            <w:col w:w="11420"/>
          </w:cols>
          <w:pgMar w:left="240" w:top="796"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Exhibit 3.2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CORRECTION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CROSS COUNTRY HEALTHCARE, INC.</w:t>
      </w:r>
    </w:p>
    <w:p>
      <w:pPr>
        <w:spacing w:after="0" w:line="36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Cross Country Healthcare, Inc., a Delaware corporation, pursuant to Section 103(f) of the Delaware General</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Corporation Law (the “</w:t>
      </w:r>
      <w:r>
        <w:rPr>
          <w:rFonts w:ascii="Arial" w:cs="Arial" w:eastAsia="Arial" w:hAnsi="Arial"/>
          <w:sz w:val="22"/>
          <w:szCs w:val="22"/>
          <w:b w:val="1"/>
          <w:bCs w:val="1"/>
          <w:color w:val="auto"/>
        </w:rPr>
        <w:t>DGCL</w:t>
      </w:r>
      <w:r>
        <w:rPr>
          <w:rFonts w:ascii="Arial" w:cs="Arial" w:eastAsia="Arial" w:hAnsi="Arial"/>
          <w:sz w:val="22"/>
          <w:szCs w:val="22"/>
          <w:color w:val="auto"/>
        </w:rPr>
        <w:t>”), hereby certifies that:</w:t>
      </w:r>
    </w:p>
    <w:p>
      <w:pPr>
        <w:spacing w:after="0" w:line="13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b w:val="1"/>
          <w:bCs w:val="1"/>
          <w:u w:val="single" w:color="auto"/>
          <w:color w:val="auto"/>
        </w:rPr>
        <w:t>FIRST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That the name of the corporation is Cross Country Healthcare, Inc. (the “</w:t>
      </w:r>
      <w:r>
        <w:rPr>
          <w:rFonts w:ascii="Arial" w:cs="Arial" w:eastAsia="Arial" w:hAnsi="Arial"/>
          <w:sz w:val="19"/>
          <w:szCs w:val="19"/>
          <w:b w:val="1"/>
          <w:bCs w:val="1"/>
          <w:color w:val="auto"/>
        </w:rPr>
        <w:t>Corporation</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u w:val="single" w:color="auto"/>
          <w:color w:val="auto"/>
        </w:rPr>
        <w:t>SECOND</w:t>
      </w:r>
      <w:r>
        <w:rPr>
          <w:rFonts w:ascii="Arial" w:cs="Arial" w:eastAsia="Arial" w:hAnsi="Arial"/>
          <w:sz w:val="22"/>
          <w:szCs w:val="22"/>
          <w:color w:val="auto"/>
        </w:rPr>
        <w:t>: That the Amended and Restated Certificate of Incorporation of the Corporation (the “</w:t>
      </w:r>
      <w:r>
        <w:rPr>
          <w:rFonts w:ascii="Arial" w:cs="Arial" w:eastAsia="Arial" w:hAnsi="Arial"/>
          <w:sz w:val="22"/>
          <w:szCs w:val="22"/>
          <w:b w:val="1"/>
          <w:bCs w:val="1"/>
          <w:color w:val="auto"/>
        </w:rPr>
        <w:t>Restated Certificate</w:t>
      </w:r>
      <w:r>
        <w:rPr>
          <w:rFonts w:ascii="Arial" w:cs="Arial" w:eastAsia="Arial" w:hAnsi="Arial"/>
          <w:sz w:val="22"/>
          <w:szCs w:val="22"/>
          <w:color w:val="auto"/>
        </w:rPr>
        <w:t>”), was filed with the Secretary of State of the State of Delaware on August 23, 2001, and the Restated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requires correction as permitted by Section 103 of the DGCL.</w:t>
      </w:r>
    </w:p>
    <w:p>
      <w:pPr>
        <w:spacing w:after="0" w:line="21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u w:val="single" w:color="auto"/>
          <w:color w:val="auto"/>
        </w:rPr>
        <w:t>THIRD</w:t>
      </w:r>
      <w:r>
        <w:rPr>
          <w:rFonts w:ascii="Arial" w:cs="Arial" w:eastAsia="Arial" w:hAnsi="Arial"/>
          <w:sz w:val="22"/>
          <w:szCs w:val="22"/>
          <w:color w:val="auto"/>
        </w:rPr>
        <w:t>: The inaccuracy or defect of the Restated Certificate to be corrected is that the Restated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inadvertently omitted Article X from the Restated Certificate.</w:t>
      </w:r>
    </w:p>
    <w:p>
      <w:pPr>
        <w:spacing w:after="0" w:line="203"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b w:val="1"/>
          <w:bCs w:val="1"/>
          <w:u w:val="single" w:color="auto"/>
          <w:color w:val="auto"/>
        </w:rPr>
        <w:t>FOURTH</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Article X of the Restated Certificate is hereby added to read in its entirety as follows:</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ARTICLE X</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BYLAWS</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Corporation hereby confers the power to adopt, amend or repeal Bylaws of the Corporation upon the directors.</w:t>
      </w:r>
    </w:p>
    <w:p>
      <w:pPr>
        <w:sectPr>
          <w:pgSz w:w="11900" w:h="16838" w:orient="portrait"/>
          <w:cols w:equalWidth="0" w:num="1">
            <w:col w:w="11420"/>
          </w:cols>
          <w:pgMar w:left="240" w:top="132" w:right="239" w:bottom="1440" w:gutter="0" w:footer="0" w:header="0"/>
        </w:sectPr>
      </w:pPr>
    </w:p>
    <w:bookmarkStart w:id="101" w:name="page102"/>
    <w:bookmarkEnd w:id="101"/>
    <w:p>
      <w:pPr>
        <w:ind w:firstLine="1297"/>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caused this Certificate of Correction to be signed by a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 this 1st day of March, 2018.</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CROSS COUNTRY HEALTHCARE,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By: /s/ Susan E.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-17780</wp:posOffset>
            </wp:positionV>
            <wp:extent cx="1593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1">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Susan E. Ball</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Executive Vice President, General Counsel and Secretary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11612818.2</w:t>
      </w:r>
    </w:p>
    <w:p>
      <w:pPr>
        <w:sectPr>
          <w:pgSz w:w="11900" w:h="16838" w:orient="portrait"/>
          <w:cols w:equalWidth="0" w:num="1">
            <w:col w:w="11400"/>
          </w:cols>
          <w:pgMar w:left="240" w:top="585"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10.55</w:t>
      </w:r>
    </w:p>
    <w:p>
      <w:pPr>
        <w:spacing w:after="0" w:line="200" w:lineRule="exact"/>
        <w:rPr>
          <w:sz w:val="20"/>
          <w:szCs w:val="20"/>
          <w:color w:val="auto"/>
        </w:rPr>
      </w:pPr>
    </w:p>
    <w:p>
      <w:pPr>
        <w:spacing w:after="0" w:line="2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NOTE: Execution of this Adoption Agreement creates a legal liability of the Employer with significant tax consequences to the Employer and Participants. Principal Life Insurance Company disclaims all liability for the legal and tax consequences which result from the elections made by the Employer in this Adoption Agreement.</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Principal Life Insurance Company, Raleigh, NC 27612</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A member of the Principal Financial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EXECUTIVE NONQUALIFIED EXCESS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ADOPTION AGREEMENT</w:t>
      </w: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 xml:space="preserve">THIS AGREEMENT is the adoption by </w:t>
      </w:r>
      <w:r>
        <w:rPr>
          <w:rFonts w:ascii="Arial" w:cs="Arial" w:eastAsia="Arial" w:hAnsi="Arial"/>
          <w:sz w:val="17"/>
          <w:szCs w:val="17"/>
          <w:b w:val="1"/>
          <w:bCs w:val="1"/>
          <w:u w:val="single" w:color="auto"/>
          <w:color w:val="auto"/>
        </w:rPr>
        <w:t>Cross Country Healthcare, Inc.</w:t>
      </w:r>
      <w:r>
        <w:rPr>
          <w:rFonts w:ascii="Arial" w:cs="Arial" w:eastAsia="Arial" w:hAnsi="Arial"/>
          <w:sz w:val="17"/>
          <w:szCs w:val="17"/>
          <w:color w:val="auto"/>
        </w:rPr>
        <w:t xml:space="preserve"> (the "Company") of the Executive Nonqualified Excess Plan ("Plan").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adopt the Plan as an unfunded, nonqualified deferred compensation plan; 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provisions of the Plan are intended to comply with the requirements of Section 409A of the Code and the regulations thereunder and shall apply to amounts subject to section 409A; and</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WHEREAS, the Company has been advised by Principal Life Insurance Company to obtain legal and tax advice from its professional advisors before adopting the Plan,</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NOW, THEREFORE, the Company hereby adopts the Plan in accordance with the terms and conditions set forth in this Adoption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used in this Adoption Agreement shall have the same meaning as in the</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Plan, unless some other meaning is expressly herein set forth. The Employer hereby represents and warrants that the Plan has been adopted by the Employer upon proper authorization and the Employer hereby elects to adopt the Plan for the benefit of its Participants as referred to in the Plan. By the execution of this Adoption Agreement, the Employer hereby agrees to be bound by the terms of the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Employer hereby makes the following designations or elections for the purpose of the Plan:</w:t>
      </w:r>
    </w:p>
    <w:p>
      <w:pPr>
        <w:spacing w:after="0" w:line="221" w:lineRule="exact"/>
        <w:rPr>
          <w:sz w:val="20"/>
          <w:szCs w:val="20"/>
          <w:color w:val="auto"/>
        </w:rPr>
      </w:pPr>
    </w:p>
    <w:p>
      <w:pPr>
        <w:spacing w:after="0"/>
        <w:tabs>
          <w:tab w:leader="none" w:pos="400" w:val="left"/>
          <w:tab w:leader="none" w:pos="1480" w:val="left"/>
        </w:tabs>
        <w:rPr>
          <w:sz w:val="20"/>
          <w:szCs w:val="20"/>
          <w:color w:val="auto"/>
        </w:rPr>
      </w:pPr>
      <w:r>
        <w:rPr>
          <w:rFonts w:ascii="Arial" w:cs="Arial" w:eastAsia="Arial" w:hAnsi="Arial"/>
          <w:sz w:val="18"/>
          <w:szCs w:val="18"/>
          <w:b w:val="1"/>
          <w:bCs w:val="1"/>
          <w:color w:val="auto"/>
        </w:rPr>
        <w:t>2.6</w:t>
        <w:tab/>
        <w:t>Committee:</w:t>
      </w:r>
      <w:r>
        <w:rPr>
          <w:sz w:val="20"/>
          <w:szCs w:val="20"/>
          <w:color w:val="auto"/>
        </w:rPr>
        <w:tab/>
      </w:r>
      <w:r>
        <w:rPr>
          <w:rFonts w:ascii="Arial" w:cs="Arial" w:eastAsia="Arial" w:hAnsi="Arial"/>
          <w:sz w:val="16"/>
          <w:szCs w:val="16"/>
          <w:color w:val="auto"/>
        </w:rPr>
        <w:t>The duties of the Committee set forth in the Plan shall be satisfied by:</w:t>
      </w:r>
    </w:p>
    <w:p>
      <w:pPr>
        <w:spacing w:after="0" w:line="229" w:lineRule="exact"/>
        <w:rPr>
          <w:sz w:val="20"/>
          <w:szCs w:val="20"/>
          <w:color w:val="auto"/>
        </w:rPr>
      </w:pPr>
    </w:p>
    <w:p>
      <w:pPr>
        <w:ind w:left="660"/>
        <w:spacing w:after="0"/>
        <w:tabs>
          <w:tab w:leader="none" w:pos="1000" w:val="left"/>
          <w:tab w:leader="none" w:pos="1380" w:val="left"/>
        </w:tabs>
        <w:rPr>
          <w:sz w:val="20"/>
          <w:szCs w:val="20"/>
          <w:color w:val="auto"/>
        </w:rPr>
      </w:pPr>
      <w:r>
        <w:rPr>
          <w:rFonts w:ascii="Arial" w:cs="Arial" w:eastAsia="Arial" w:hAnsi="Arial"/>
          <w:sz w:val="18"/>
          <w:szCs w:val="18"/>
          <w:color w:val="auto"/>
        </w:rPr>
        <w:t>__</w:t>
        <w:tab/>
        <w:t>(a)</w:t>
      </w:r>
      <w:r>
        <w:rPr>
          <w:sz w:val="20"/>
          <w:szCs w:val="20"/>
          <w:color w:val="auto"/>
        </w:rPr>
        <w:tab/>
      </w:r>
      <w:r>
        <w:rPr>
          <w:rFonts w:ascii="Arial" w:cs="Arial" w:eastAsia="Arial" w:hAnsi="Arial"/>
          <w:sz w:val="15"/>
          <w:szCs w:val="15"/>
          <w:color w:val="auto"/>
        </w:rPr>
        <w:t>Company.</w:t>
      </w:r>
    </w:p>
    <w:p>
      <w:pPr>
        <w:spacing w:after="0" w:line="225" w:lineRule="exact"/>
        <w:rPr>
          <w:sz w:val="20"/>
          <w:szCs w:val="20"/>
          <w:color w:val="auto"/>
        </w:rPr>
      </w:pPr>
    </w:p>
    <w:p>
      <w:pPr>
        <w:ind w:left="1020" w:right="4440" w:hanging="1296"/>
        <w:spacing w:after="0" w:line="277" w:lineRule="auto"/>
        <w:tabs>
          <w:tab w:leader="none" w:pos="1000" w:val="left"/>
        </w:tabs>
        <w:rPr>
          <w:sz w:val="20"/>
          <w:szCs w:val="20"/>
          <w:color w:val="auto"/>
        </w:rPr>
      </w:pPr>
      <w:r>
        <w:rPr>
          <w:rFonts w:ascii="Arial" w:cs="Arial" w:eastAsia="Arial" w:hAnsi="Arial"/>
          <w:sz w:val="18"/>
          <w:szCs w:val="18"/>
          <w:color w:val="auto"/>
        </w:rPr>
        <w:t>__</w:t>
        <w:tab/>
        <w:t>(b) The administrative committee appointed by the Board to serve at the pleasure of the Board.</w:t>
      </w:r>
    </w:p>
    <w:p>
      <w:pPr>
        <w:spacing w:after="0" w:line="170" w:lineRule="exact"/>
        <w:rPr>
          <w:sz w:val="20"/>
          <w:szCs w:val="20"/>
          <w:color w:val="auto"/>
        </w:rPr>
      </w:pPr>
    </w:p>
    <w:p>
      <w:pPr>
        <w:ind w:left="1100" w:hanging="444"/>
        <w:spacing w:after="0"/>
        <w:tabs>
          <w:tab w:leader="none" w:pos="1100" w:val="left"/>
        </w:tabs>
        <w:numPr>
          <w:ilvl w:val="0"/>
          <w:numId w:val="24"/>
        </w:numPr>
        <w:rPr>
          <w:rFonts w:ascii="Arial" w:cs="Arial" w:eastAsia="Arial" w:hAnsi="Arial"/>
          <w:sz w:val="18"/>
          <w:szCs w:val="18"/>
          <w:b w:val="1"/>
          <w:bCs w:val="1"/>
          <w:u w:val="single" w:color="auto"/>
          <w:color w:val="auto"/>
        </w:rPr>
      </w:pPr>
      <w:r>
        <w:rPr>
          <w:rFonts w:ascii="Arial" w:cs="Arial" w:eastAsia="Arial" w:hAnsi="Arial"/>
          <w:sz w:val="18"/>
          <w:szCs w:val="18"/>
          <w:color w:val="auto"/>
        </w:rPr>
        <w:t>(c)   Board (or its designee).</w:t>
      </w:r>
    </w:p>
    <w:p>
      <w:pPr>
        <w:spacing w:after="0" w:line="225" w:lineRule="exact"/>
        <w:rPr>
          <w:sz w:val="20"/>
          <w:szCs w:val="20"/>
          <w:color w:val="auto"/>
        </w:rPr>
      </w:pPr>
    </w:p>
    <w:p>
      <w:pPr>
        <w:ind w:left="660"/>
        <w:spacing w:after="0"/>
        <w:tabs>
          <w:tab w:leader="none" w:pos="1000" w:val="left"/>
          <w:tab w:leader="none" w:pos="1380" w:val="left"/>
        </w:tabs>
        <w:rPr>
          <w:sz w:val="20"/>
          <w:szCs w:val="20"/>
          <w:color w:val="auto"/>
        </w:rPr>
      </w:pPr>
      <w:r>
        <w:rPr>
          <w:rFonts w:ascii="Arial" w:cs="Arial" w:eastAsia="Arial" w:hAnsi="Arial"/>
          <w:sz w:val="18"/>
          <w:szCs w:val="18"/>
          <w:color w:val="auto"/>
        </w:rPr>
        <w:t>__</w:t>
        <w:tab/>
        <w:t>(d)</w:t>
      </w:r>
      <w:r>
        <w:rPr>
          <w:sz w:val="20"/>
          <w:szCs w:val="20"/>
          <w:color w:val="auto"/>
        </w:rPr>
        <w:tab/>
      </w:r>
      <w:r>
        <w:rPr>
          <w:rFonts w:ascii="Arial" w:cs="Arial" w:eastAsia="Arial" w:hAnsi="Arial"/>
          <w:sz w:val="16"/>
          <w:szCs w:val="16"/>
          <w:color w:val="auto"/>
        </w:rPr>
        <w:t>Other (specify):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00" w:val="left"/>
          <w:tab w:leader="none" w:pos="1740" w:val="left"/>
        </w:tabs>
        <w:rPr>
          <w:sz w:val="20"/>
          <w:szCs w:val="20"/>
          <w:color w:val="auto"/>
        </w:rPr>
      </w:pPr>
      <w:r>
        <w:rPr>
          <w:rFonts w:ascii="Arial" w:cs="Arial" w:eastAsia="Arial" w:hAnsi="Arial"/>
          <w:sz w:val="18"/>
          <w:szCs w:val="18"/>
          <w:b w:val="1"/>
          <w:bCs w:val="1"/>
          <w:color w:val="auto"/>
        </w:rPr>
        <w:t>2.8</w:t>
        <w:tab/>
        <w:t>Compensation:</w:t>
      </w:r>
      <w:r>
        <w:rPr>
          <w:sz w:val="20"/>
          <w:szCs w:val="20"/>
          <w:color w:val="auto"/>
        </w:rPr>
        <w:tab/>
      </w:r>
      <w:r>
        <w:rPr>
          <w:rFonts w:ascii="Arial" w:cs="Arial" w:eastAsia="Arial" w:hAnsi="Arial"/>
          <w:sz w:val="16"/>
          <w:szCs w:val="16"/>
          <w:color w:val="auto"/>
        </w:rPr>
        <w:t>The "Compensation" of a Participant shall mean all of a Participant's: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ectPr>
          <w:pgSz w:w="11900" w:h="16838" w:orient="portrait"/>
          <w:cols w:equalWidth="0" w:num="1">
            <w:col w:w="11420"/>
          </w:cols>
          <w:pgMar w:left="240" w:top="125" w:right="239" w:bottom="1440" w:gutter="0" w:footer="0" w:header="0"/>
        </w:sectPr>
      </w:pPr>
    </w:p>
    <w:bookmarkStart w:id="103" w:name="page104"/>
    <w:bookmarkEnd w:id="103"/>
    <w:p>
      <w:pPr>
        <w:ind w:left="1100" w:hanging="444"/>
        <w:spacing w:after="0"/>
        <w:tabs>
          <w:tab w:leader="none" w:pos="1100" w:val="left"/>
        </w:tabs>
        <w:numPr>
          <w:ilvl w:val="0"/>
          <w:numId w:val="25"/>
        </w:numPr>
        <w:rPr>
          <w:rFonts w:ascii="Arial" w:cs="Arial" w:eastAsia="Arial" w:hAnsi="Arial"/>
          <w:sz w:val="18"/>
          <w:szCs w:val="18"/>
          <w:b w:val="1"/>
          <w:bCs w:val="1"/>
          <w:u w:val="single" w:color="auto"/>
          <w:color w:val="auto"/>
        </w:rPr>
      </w:pPr>
      <w:r>
        <w:rPr>
          <w:rFonts w:ascii="Arial" w:cs="Arial" w:eastAsia="Arial" w:hAnsi="Arial"/>
          <w:sz w:val="18"/>
          <w:szCs w:val="18"/>
          <w:color w:val="auto"/>
        </w:rPr>
        <w:t>(a)  Base salary.</w:t>
      </w:r>
    </w:p>
    <w:p>
      <w:pPr>
        <w:spacing w:after="0" w:line="225" w:lineRule="exact"/>
        <w:rPr>
          <w:sz w:val="20"/>
          <w:szCs w:val="20"/>
          <w:color w:val="auto"/>
        </w:rPr>
      </w:pPr>
    </w:p>
    <w:p>
      <w:pPr>
        <w:ind w:left="1100" w:hanging="444"/>
        <w:spacing w:after="0"/>
        <w:tabs>
          <w:tab w:leader="none" w:pos="1100" w:val="left"/>
        </w:tabs>
        <w:numPr>
          <w:ilvl w:val="0"/>
          <w:numId w:val="26"/>
        </w:numPr>
        <w:rPr>
          <w:rFonts w:ascii="Arial" w:cs="Arial" w:eastAsia="Arial" w:hAnsi="Arial"/>
          <w:sz w:val="18"/>
          <w:szCs w:val="18"/>
          <w:b w:val="1"/>
          <w:bCs w:val="1"/>
          <w:u w:val="single" w:color="auto"/>
          <w:color w:val="auto"/>
        </w:rPr>
      </w:pPr>
      <w:r>
        <w:rPr>
          <w:rFonts w:ascii="Arial" w:cs="Arial" w:eastAsia="Arial" w:hAnsi="Arial"/>
          <w:sz w:val="18"/>
          <w:szCs w:val="18"/>
          <w:color w:val="auto"/>
        </w:rPr>
        <w:t>(b)  Service Bonus.</w:t>
      </w:r>
    </w:p>
    <w:p>
      <w:pPr>
        <w:spacing w:after="0" w:line="221" w:lineRule="exact"/>
        <w:rPr>
          <w:rFonts w:ascii="Arial" w:cs="Arial" w:eastAsia="Arial" w:hAnsi="Arial"/>
          <w:sz w:val="18"/>
          <w:szCs w:val="18"/>
          <w:b w:val="1"/>
          <w:bCs w:val="1"/>
          <w:u w:val="single" w:color="auto"/>
          <w:color w:val="auto"/>
        </w:rPr>
      </w:pPr>
    </w:p>
    <w:p>
      <w:pPr>
        <w:ind w:left="1960" w:right="3680"/>
        <w:spacing w:after="0" w:line="282" w:lineRule="auto"/>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XX</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Service Bonus</w:t>
      </w:r>
      <w:r>
        <w:rPr>
          <w:rFonts w:ascii="Arial" w:cs="Arial" w:eastAsia="Arial" w:hAnsi="Arial"/>
          <w:sz w:val="18"/>
          <w:szCs w:val="18"/>
          <w:b w:val="1"/>
          <w:bCs w:val="1"/>
          <w:color w:val="auto"/>
        </w:rPr>
        <w:t xml:space="preserve"> </w:t>
      </w:r>
      <w:r>
        <w:rPr>
          <w:rFonts w:ascii="Arial" w:cs="Arial" w:eastAsia="Arial" w:hAnsi="Arial"/>
          <w:sz w:val="18"/>
          <w:szCs w:val="18"/>
          <w:color w:val="auto"/>
        </w:rPr>
        <w:t>earned from</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1/1 – 12/31</w:t>
      </w:r>
      <w:r>
        <w:rPr>
          <w:rFonts w:ascii="Arial" w:cs="Arial" w:eastAsia="Arial" w:hAnsi="Arial"/>
          <w:sz w:val="18"/>
          <w:szCs w:val="18"/>
          <w:color w:val="auto"/>
        </w:rPr>
        <w:t>, paid on or around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Plan Year.</w:t>
      </w:r>
    </w:p>
    <w:p>
      <w:pPr>
        <w:spacing w:after="0" w:line="149"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__</w:t>
            </w:r>
          </w:p>
        </w:tc>
        <w:tc>
          <w:tcPr>
            <w:tcW w:w="5000" w:type="dxa"/>
            <w:vAlign w:val="bottom"/>
            <w:gridSpan w:val="2"/>
          </w:tcPr>
          <w:p>
            <w:pPr>
              <w:spacing w:after="0"/>
              <w:rPr>
                <w:sz w:val="20"/>
                <w:szCs w:val="20"/>
                <w:color w:val="auto"/>
              </w:rPr>
            </w:pPr>
            <w:r>
              <w:rPr>
                <w:rFonts w:ascii="Arial" w:cs="Arial" w:eastAsia="Arial" w:hAnsi="Arial"/>
                <w:sz w:val="18"/>
                <w:szCs w:val="18"/>
                <w:color w:val="auto"/>
                <w:w w:val="97"/>
              </w:rPr>
              <w:t>Service Bonus earned each calendar quarter, paid on or around</w:t>
            </w:r>
          </w:p>
        </w:tc>
      </w:tr>
      <w:tr>
        <w:trPr>
          <w:trHeight w:val="20"/>
        </w:trPr>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5000" w:type="dxa"/>
            <w:vAlign w:val="bottom"/>
            <w:gridSpan w:val="2"/>
          </w:tcPr>
          <w:p>
            <w:pPr>
              <w:ind w:left="280"/>
              <w:spacing w:after="0"/>
              <w:rPr>
                <w:sz w:val="20"/>
                <w:szCs w:val="20"/>
                <w:color w:val="auto"/>
              </w:rPr>
            </w:pPr>
            <w:r>
              <w:rPr>
                <w:rFonts w:ascii="Arial" w:cs="Arial" w:eastAsia="Arial" w:hAnsi="Arial"/>
                <w:sz w:val="18"/>
                <w:szCs w:val="18"/>
                <w:color w:val="auto"/>
              </w:rPr>
              <w:t>the following calendar quarter.</w:t>
            </w:r>
          </w:p>
        </w:tc>
      </w:tr>
      <w:tr>
        <w:trPr>
          <w:trHeight w:val="392"/>
        </w:trPr>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__</w:t>
            </w:r>
          </w:p>
        </w:tc>
        <w:tc>
          <w:tcPr>
            <w:tcW w:w="5000" w:type="dxa"/>
            <w:vAlign w:val="bottom"/>
            <w:gridSpan w:val="2"/>
          </w:tcPr>
          <w:p>
            <w:pPr>
              <w:spacing w:after="0"/>
              <w:rPr>
                <w:sz w:val="20"/>
                <w:szCs w:val="20"/>
                <w:color w:val="auto"/>
              </w:rPr>
            </w:pPr>
            <w:r>
              <w:rPr>
                <w:rFonts w:ascii="Arial" w:cs="Arial" w:eastAsia="Arial" w:hAnsi="Arial"/>
                <w:sz w:val="18"/>
                <w:szCs w:val="18"/>
                <w:color w:val="auto"/>
                <w:w w:val="90"/>
              </w:rPr>
              <w:t>Service Bonus with no defined earnings period (e.g.: a “spot bonus”).</w:t>
            </w:r>
          </w:p>
        </w:tc>
      </w:tr>
      <w:tr>
        <w:trPr>
          <w:trHeight w:val="20"/>
        </w:trPr>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100" w:hanging="444"/>
        <w:spacing w:after="0"/>
        <w:tabs>
          <w:tab w:leader="none" w:pos="1100" w:val="left"/>
        </w:tabs>
        <w:numPr>
          <w:ilvl w:val="0"/>
          <w:numId w:val="27"/>
        </w:numPr>
        <w:rPr>
          <w:rFonts w:ascii="Arial" w:cs="Arial" w:eastAsia="Arial" w:hAnsi="Arial"/>
          <w:sz w:val="18"/>
          <w:szCs w:val="18"/>
          <w:b w:val="1"/>
          <w:bCs w:val="1"/>
          <w:u w:val="single" w:color="auto"/>
          <w:color w:val="auto"/>
        </w:rPr>
      </w:pPr>
      <w:r>
        <w:rPr>
          <w:rFonts w:ascii="Arial" w:cs="Arial" w:eastAsia="Arial" w:hAnsi="Arial"/>
          <w:sz w:val="18"/>
          <w:szCs w:val="18"/>
          <w:color w:val="auto"/>
        </w:rPr>
        <w:t>(c)  Performance-Based Compensation earned in a period of 12 months or more.</w:t>
      </w:r>
    </w:p>
    <w:p>
      <w:pPr>
        <w:spacing w:after="0" w:line="225" w:lineRule="exact"/>
        <w:rPr>
          <w:sz w:val="20"/>
          <w:szCs w:val="20"/>
          <w:color w:val="auto"/>
        </w:rPr>
      </w:pPr>
    </w:p>
    <w:p>
      <w:pPr>
        <w:ind w:left="1960" w:right="3700" w:hanging="7"/>
        <w:spacing w:after="0" w:line="291" w:lineRule="auto"/>
        <w:tabs>
          <w:tab w:leader="none" w:pos="2400" w:val="left"/>
        </w:tabs>
        <w:numPr>
          <w:ilvl w:val="0"/>
          <w:numId w:val="28"/>
        </w:numPr>
        <w:rPr>
          <w:rFonts w:ascii="Arial" w:cs="Arial" w:eastAsia="Arial" w:hAnsi="Arial"/>
          <w:sz w:val="16"/>
          <w:szCs w:val="16"/>
          <w:b w:val="1"/>
          <w:bCs w:val="1"/>
          <w:u w:val="single" w:color="auto"/>
          <w:color w:val="auto"/>
        </w:rPr>
      </w:pPr>
      <w:r>
        <w:rPr>
          <w:rFonts w:ascii="Arial" w:cs="Arial" w:eastAsia="Arial" w:hAnsi="Arial"/>
          <w:sz w:val="16"/>
          <w:szCs w:val="16"/>
          <w:u w:val="single" w:color="auto"/>
          <w:color w:val="auto"/>
        </w:rPr>
        <w:t>Performance Based Bonus</w:t>
      </w:r>
      <w:r>
        <w:rPr>
          <w:rFonts w:ascii="Arial" w:cs="Arial" w:eastAsia="Arial" w:hAnsi="Arial"/>
          <w:sz w:val="16"/>
          <w:szCs w:val="16"/>
          <w:color w:val="auto"/>
        </w:rPr>
        <w:t xml:space="preserve"> earned from </w:t>
      </w:r>
      <w:r>
        <w:rPr>
          <w:rFonts w:ascii="Arial" w:cs="Arial" w:eastAsia="Arial" w:hAnsi="Arial"/>
          <w:sz w:val="16"/>
          <w:szCs w:val="16"/>
          <w:u w:val="single" w:color="auto"/>
          <w:color w:val="auto"/>
        </w:rPr>
        <w:t>1/1 – 12/31</w:t>
      </w:r>
      <w:r>
        <w:rPr>
          <w:rFonts w:ascii="Arial" w:cs="Arial" w:eastAsia="Arial" w:hAnsi="Arial"/>
          <w:sz w:val="16"/>
          <w:szCs w:val="16"/>
          <w:color w:val="auto"/>
        </w:rPr>
        <w:t>, paid on or around first quarter the following Plan Year and whose elections must be made</w:t>
      </w:r>
    </w:p>
    <w:p>
      <w:pPr>
        <w:ind w:left="1960"/>
        <w:spacing w:after="0"/>
        <w:rPr>
          <w:rFonts w:ascii="Arial" w:cs="Arial" w:eastAsia="Arial" w:hAnsi="Arial"/>
          <w:sz w:val="16"/>
          <w:szCs w:val="16"/>
          <w:b w:val="1"/>
          <w:bCs w:val="1"/>
          <w:u w:val="single" w:color="auto"/>
          <w:color w:val="auto"/>
        </w:rPr>
      </w:pPr>
      <w:r>
        <w:rPr>
          <w:rFonts w:ascii="Arial" w:cs="Arial" w:eastAsia="Arial" w:hAnsi="Arial"/>
          <w:sz w:val="18"/>
          <w:szCs w:val="18"/>
          <w:color w:val="auto"/>
        </w:rPr>
        <w:t>no later than 6/30 of the Plan Year it is earned.</w:t>
      </w:r>
    </w:p>
    <w:p>
      <w:pPr>
        <w:spacing w:after="0" w:line="211"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u w:val="single" w:color="auto"/>
          <w:color w:val="auto"/>
        </w:rPr>
        <w:t xml:space="preserve">Performance Based Bonus </w:t>
      </w:r>
      <w:r>
        <w:rPr>
          <w:rFonts w:ascii="Arial" w:cs="Arial" w:eastAsia="Arial" w:hAnsi="Arial"/>
          <w:sz w:val="16"/>
          <w:szCs w:val="16"/>
          <w:color w:val="auto"/>
        </w:rPr>
        <w:t>earned from _______, paid on or around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 the following Plan Year and whose elections must be made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no later than _____ of the Plan Year it is earned.</w:t>
      </w:r>
    </w:p>
    <w:p>
      <w:pPr>
        <w:spacing w:after="0" w:line="211" w:lineRule="exact"/>
        <w:rPr>
          <w:sz w:val="20"/>
          <w:szCs w:val="20"/>
          <w:color w:val="auto"/>
        </w:rPr>
      </w:pPr>
    </w:p>
    <w:p>
      <w:pPr>
        <w:ind w:left="1100" w:hanging="444"/>
        <w:spacing w:after="0"/>
        <w:tabs>
          <w:tab w:leader="none" w:pos="1100" w:val="left"/>
        </w:tabs>
        <w:numPr>
          <w:ilvl w:val="0"/>
          <w:numId w:val="29"/>
        </w:numPr>
        <w:rPr>
          <w:rFonts w:ascii="Arial" w:cs="Arial" w:eastAsia="Arial" w:hAnsi="Arial"/>
          <w:sz w:val="18"/>
          <w:szCs w:val="18"/>
          <w:b w:val="1"/>
          <w:bCs w:val="1"/>
          <w:u w:val="single" w:color="auto"/>
          <w:color w:val="auto"/>
        </w:rPr>
      </w:pPr>
      <w:r>
        <w:rPr>
          <w:rFonts w:ascii="Arial" w:cs="Arial" w:eastAsia="Arial" w:hAnsi="Arial"/>
          <w:sz w:val="18"/>
          <w:szCs w:val="18"/>
          <w:color w:val="auto"/>
        </w:rPr>
        <w:t>(d)  Commissions.</w:t>
      </w:r>
    </w:p>
    <w:p>
      <w:pPr>
        <w:spacing w:after="0" w:line="225" w:lineRule="exact"/>
        <w:rPr>
          <w:sz w:val="20"/>
          <w:szCs w:val="20"/>
          <w:color w:val="auto"/>
        </w:rPr>
      </w:pPr>
    </w:p>
    <w:p>
      <w:pPr>
        <w:ind w:left="660"/>
        <w:spacing w:after="0"/>
        <w:tabs>
          <w:tab w:leader="none" w:pos="1040" w:val="left"/>
          <w:tab w:leader="none" w:pos="1420" w:val="left"/>
        </w:tabs>
        <w:rPr>
          <w:sz w:val="20"/>
          <w:szCs w:val="20"/>
          <w:color w:val="auto"/>
        </w:rPr>
      </w:pPr>
      <w:r>
        <w:rPr>
          <w:rFonts w:ascii="Arial" w:cs="Arial" w:eastAsia="Arial" w:hAnsi="Arial"/>
          <w:sz w:val="18"/>
          <w:szCs w:val="18"/>
          <w:color w:val="auto"/>
        </w:rPr>
        <w:t>__</w:t>
        <w:tab/>
        <w:t>(e)</w:t>
      </w:r>
      <w:r>
        <w:rPr>
          <w:sz w:val="20"/>
          <w:szCs w:val="20"/>
          <w:color w:val="auto"/>
        </w:rPr>
        <w:tab/>
      </w:r>
      <w:r>
        <w:rPr>
          <w:rFonts w:ascii="Arial" w:cs="Arial" w:eastAsia="Arial" w:hAnsi="Arial"/>
          <w:sz w:val="16"/>
          <w:szCs w:val="16"/>
          <w:color w:val="auto"/>
        </w:rPr>
        <w:t>Compensation received as an Independent Contractor reportable on Form 1099.</w:t>
      </w:r>
    </w:p>
    <w:p>
      <w:pPr>
        <w:spacing w:after="0" w:line="225" w:lineRule="exact"/>
        <w:rPr>
          <w:sz w:val="20"/>
          <w:szCs w:val="20"/>
          <w:color w:val="auto"/>
        </w:rPr>
      </w:pPr>
    </w:p>
    <w:p>
      <w:pPr>
        <w:ind w:left="1100" w:hanging="444"/>
        <w:spacing w:after="0"/>
        <w:tabs>
          <w:tab w:leader="none" w:pos="1100" w:val="left"/>
        </w:tabs>
        <w:numPr>
          <w:ilvl w:val="0"/>
          <w:numId w:val="30"/>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(f)  Other: </w:t>
      </w:r>
      <w:r>
        <w:rPr>
          <w:rFonts w:ascii="Arial" w:cs="Arial" w:eastAsia="Arial" w:hAnsi="Arial"/>
          <w:sz w:val="18"/>
          <w:szCs w:val="18"/>
          <w:u w:val="single" w:color="auto"/>
          <w:color w:val="auto"/>
        </w:rPr>
        <w:t>Director’s Fees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 w:leader="none" w:pos="1780" w:val="left"/>
        </w:tabs>
        <w:rPr>
          <w:sz w:val="20"/>
          <w:szCs w:val="20"/>
          <w:color w:val="auto"/>
        </w:rPr>
      </w:pPr>
      <w:r>
        <w:rPr>
          <w:rFonts w:ascii="Arial" w:cs="Arial" w:eastAsia="Arial" w:hAnsi="Arial"/>
          <w:sz w:val="18"/>
          <w:szCs w:val="18"/>
          <w:b w:val="1"/>
          <w:bCs w:val="1"/>
          <w:color w:val="auto"/>
        </w:rPr>
        <w:t>2.9</w:t>
        <w:tab/>
        <w:t>Crediting Date:</w:t>
      </w:r>
      <w:r>
        <w:rPr>
          <w:sz w:val="20"/>
          <w:szCs w:val="20"/>
          <w:color w:val="auto"/>
        </w:rPr>
        <w:tab/>
      </w:r>
      <w:r>
        <w:rPr>
          <w:rFonts w:ascii="Arial" w:cs="Arial" w:eastAsia="Arial" w:hAnsi="Arial"/>
          <w:sz w:val="16"/>
          <w:szCs w:val="16"/>
          <w:color w:val="auto"/>
        </w:rPr>
        <w:t>The Deferred Compensation Account of a Participant shall be credited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 Deferral Credits at the time designated below:</w:t>
      </w:r>
    </w:p>
    <w:p>
      <w:pPr>
        <w:spacing w:after="0" w:line="171" w:lineRule="exact"/>
        <w:rPr>
          <w:sz w:val="20"/>
          <w:szCs w:val="20"/>
          <w:color w:val="auto"/>
        </w:rPr>
      </w:pPr>
    </w:p>
    <w:p>
      <w:pPr>
        <w:ind w:left="1100" w:hanging="444"/>
        <w:spacing w:after="0"/>
        <w:tabs>
          <w:tab w:leader="none" w:pos="1100" w:val="left"/>
        </w:tabs>
        <w:numPr>
          <w:ilvl w:val="0"/>
          <w:numId w:val="31"/>
        </w:numPr>
        <w:rPr>
          <w:rFonts w:ascii="Arial" w:cs="Arial" w:eastAsia="Arial" w:hAnsi="Arial"/>
          <w:sz w:val="18"/>
          <w:szCs w:val="18"/>
          <w:b w:val="1"/>
          <w:bCs w:val="1"/>
          <w:u w:val="single" w:color="auto"/>
          <w:color w:val="auto"/>
        </w:rPr>
      </w:pPr>
      <w:r>
        <w:rPr>
          <w:rFonts w:ascii="Arial" w:cs="Arial" w:eastAsia="Arial" w:hAnsi="Arial"/>
          <w:sz w:val="18"/>
          <w:szCs w:val="18"/>
          <w:color w:val="auto"/>
        </w:rPr>
        <w:t>(a)  On any business day as specified by the Employer.</w:t>
      </w:r>
    </w:p>
    <w:p>
      <w:pPr>
        <w:sectPr>
          <w:pgSz w:w="11900" w:h="16838" w:orient="portrait"/>
          <w:cols w:equalWidth="0" w:num="1">
            <w:col w:w="11160"/>
          </w:cols>
          <w:pgMar w:left="240" w:top="881" w:right="49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Each pay day as reported by the Employer.</w:t>
      </w:r>
    </w:p>
    <w:p>
      <w:pPr>
        <w:spacing w:after="0" w:line="200" w:lineRule="exact"/>
        <w:rPr>
          <w:sz w:val="20"/>
          <w:szCs w:val="20"/>
          <w:color w:val="auto"/>
        </w:rPr>
      </w:pPr>
    </w:p>
    <w:p>
      <w:pPr>
        <w:sectPr>
          <w:pgSz w:w="11900" w:h="16838" w:orient="portrait"/>
          <w:cols w:equalWidth="0" w:num="3">
            <w:col w:w="840" w:space="180"/>
            <w:col w:w="200" w:space="180"/>
            <w:col w:w="9760"/>
          </w:cols>
          <w:pgMar w:left="240" w:top="881" w:right="49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The last business day of each payroll period during the Plan Year.</w:t>
      </w:r>
    </w:p>
    <w:p>
      <w:pPr>
        <w:spacing w:after="0" w:line="200" w:lineRule="exact"/>
        <w:rPr>
          <w:sz w:val="20"/>
          <w:szCs w:val="20"/>
          <w:color w:val="auto"/>
        </w:rPr>
      </w:pPr>
    </w:p>
    <w:p>
      <w:pPr>
        <w:sectPr>
          <w:pgSz w:w="11900" w:h="16838" w:orient="portrait"/>
          <w:cols w:equalWidth="0" w:num="2">
            <w:col w:w="840" w:space="180"/>
            <w:col w:w="10140"/>
          </w:cols>
          <w:pgMar w:left="240" w:top="881" w:right="4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Employer Credits at the time designated below:</w:t>
      </w:r>
    </w:p>
    <w:p>
      <w:pPr>
        <w:spacing w:after="0" w:line="225" w:lineRule="exact"/>
        <w:rPr>
          <w:sz w:val="20"/>
          <w:szCs w:val="20"/>
          <w:color w:val="auto"/>
        </w:rPr>
      </w:pPr>
    </w:p>
    <w:p>
      <w:pPr>
        <w:ind w:left="1100" w:hanging="444"/>
        <w:spacing w:after="0"/>
        <w:tabs>
          <w:tab w:leader="none" w:pos="1100" w:val="left"/>
        </w:tabs>
        <w:numPr>
          <w:ilvl w:val="0"/>
          <w:numId w:val="32"/>
        </w:numPr>
        <w:rPr>
          <w:rFonts w:ascii="Arial" w:cs="Arial" w:eastAsia="Arial" w:hAnsi="Arial"/>
          <w:sz w:val="18"/>
          <w:szCs w:val="18"/>
          <w:b w:val="1"/>
          <w:bCs w:val="1"/>
          <w:u w:val="single" w:color="auto"/>
          <w:color w:val="auto"/>
        </w:rPr>
      </w:pPr>
      <w:r>
        <w:rPr>
          <w:rFonts w:ascii="Arial" w:cs="Arial" w:eastAsia="Arial" w:hAnsi="Arial"/>
          <w:sz w:val="18"/>
          <w:szCs w:val="18"/>
          <w:color w:val="auto"/>
        </w:rPr>
        <w:t>(a)   On any business day as specified by the Employer.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6"/>
              </w:rPr>
              <w:t>2.13  Effective Date:</w:t>
            </w:r>
          </w:p>
        </w:tc>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38"/>
        </w:trPr>
        <w:tc>
          <w:tcPr>
            <w:tcW w:w="6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w w:val="99"/>
              </w:rPr>
              <w:t>XX</w:t>
            </w:r>
          </w:p>
        </w:tc>
        <w:tc>
          <w:tcPr>
            <w:tcW w:w="740" w:type="dxa"/>
            <w:vAlign w:val="bottom"/>
          </w:tcPr>
          <w:p>
            <w:pPr>
              <w:ind w:left="380"/>
              <w:spacing w:after="0"/>
              <w:rPr>
                <w:sz w:val="20"/>
                <w:szCs w:val="20"/>
                <w:color w:val="auto"/>
              </w:rPr>
            </w:pPr>
            <w:r>
              <w:rPr>
                <w:rFonts w:ascii="Arial" w:cs="Arial" w:eastAsia="Arial" w:hAnsi="Arial"/>
                <w:sz w:val="18"/>
                <w:szCs w:val="18"/>
                <w:color w:val="auto"/>
              </w:rPr>
              <w:t>(a)</w:t>
            </w:r>
          </w:p>
        </w:tc>
        <w:tc>
          <w:tcPr>
            <w:tcW w:w="5220" w:type="dxa"/>
            <w:vAlign w:val="bottom"/>
          </w:tcPr>
          <w:p>
            <w:pPr>
              <w:ind w:left="20"/>
              <w:spacing w:after="0"/>
              <w:rPr>
                <w:sz w:val="20"/>
                <w:szCs w:val="20"/>
                <w:color w:val="auto"/>
              </w:rPr>
            </w:pPr>
            <w:r>
              <w:rPr>
                <w:rFonts w:ascii="Arial" w:cs="Arial" w:eastAsia="Arial" w:hAnsi="Arial"/>
                <w:sz w:val="18"/>
                <w:szCs w:val="18"/>
                <w:color w:val="auto"/>
                <w:w w:val="93"/>
              </w:rPr>
              <w:t>This is a newly-established Plan, and the Effective Date of the Plan is</w:t>
            </w:r>
          </w:p>
        </w:tc>
        <w:tc>
          <w:tcPr>
            <w:tcW w:w="4280" w:type="dxa"/>
            <w:vAlign w:val="bottom"/>
            <w:gridSpan w:val="3"/>
          </w:tcPr>
          <w:p>
            <w:pPr>
              <w:ind w:left="180"/>
              <w:spacing w:after="0"/>
              <w:rPr>
                <w:sz w:val="20"/>
                <w:szCs w:val="20"/>
                <w:color w:val="auto"/>
              </w:rPr>
            </w:pPr>
            <w:r>
              <w:rPr>
                <w:rFonts w:ascii="Arial" w:cs="Arial" w:eastAsia="Arial" w:hAnsi="Arial"/>
                <w:sz w:val="18"/>
                <w:szCs w:val="18"/>
                <w:b w:val="1"/>
                <w:bCs w:val="1"/>
                <w:color w:val="auto"/>
              </w:rPr>
              <w:t>January 1, 2018</w:t>
            </w:r>
            <w:r>
              <w:rPr>
                <w:rFonts w:ascii="Arial" w:cs="Arial" w:eastAsia="Arial" w:hAnsi="Arial"/>
                <w:sz w:val="18"/>
                <w:szCs w:val="18"/>
                <w:color w:val="auto"/>
              </w:rPr>
              <w:t>.</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654"/>
        </w:trPr>
        <w:tc>
          <w:tcPr>
            <w:tcW w:w="920" w:type="dxa"/>
            <w:vAlign w:val="bottom"/>
            <w:gridSpan w:val="2"/>
          </w:tcPr>
          <w:p>
            <w:pPr>
              <w:ind w:left="660"/>
              <w:spacing w:after="0"/>
              <w:rPr>
                <w:sz w:val="20"/>
                <w:szCs w:val="20"/>
                <w:color w:val="auto"/>
              </w:rPr>
            </w:pPr>
            <w:r>
              <w:rPr>
                <w:rFonts w:ascii="Arial" w:cs="Arial" w:eastAsia="Arial" w:hAnsi="Arial"/>
                <w:sz w:val="18"/>
                <w:szCs w:val="18"/>
                <w:color w:val="auto"/>
              </w:rPr>
              <w:t>__</w:t>
            </w:r>
          </w:p>
        </w:tc>
        <w:tc>
          <w:tcPr>
            <w:tcW w:w="740" w:type="dxa"/>
            <w:vAlign w:val="bottom"/>
          </w:tcPr>
          <w:p>
            <w:pPr>
              <w:ind w:left="380"/>
              <w:spacing w:after="0"/>
              <w:rPr>
                <w:sz w:val="20"/>
                <w:szCs w:val="20"/>
                <w:color w:val="auto"/>
              </w:rPr>
            </w:pPr>
            <w:r>
              <w:rPr>
                <w:rFonts w:ascii="Arial" w:cs="Arial" w:eastAsia="Arial" w:hAnsi="Arial"/>
                <w:sz w:val="18"/>
                <w:szCs w:val="18"/>
                <w:color w:val="auto"/>
              </w:rPr>
              <w:t>(b)</w:t>
            </w:r>
          </w:p>
        </w:tc>
        <w:tc>
          <w:tcPr>
            <w:tcW w:w="9500" w:type="dxa"/>
            <w:vAlign w:val="bottom"/>
            <w:gridSpan w:val="4"/>
          </w:tcPr>
          <w:p>
            <w:pPr>
              <w:ind w:left="40"/>
              <w:spacing w:after="0"/>
              <w:rPr>
                <w:sz w:val="20"/>
                <w:szCs w:val="20"/>
                <w:color w:val="auto"/>
              </w:rPr>
            </w:pPr>
            <w:r>
              <w:rPr>
                <w:rFonts w:ascii="Arial" w:cs="Arial" w:eastAsia="Arial" w:hAnsi="Arial"/>
                <w:sz w:val="18"/>
                <w:szCs w:val="18"/>
                <w:color w:val="auto"/>
                <w:w w:val="89"/>
              </w:rPr>
              <w:t>This is an amendment of a plan named _____________________ dated _____________ and governing all contributions to the plan</w:t>
            </w:r>
          </w:p>
        </w:tc>
      </w:tr>
      <w:tr>
        <w:trPr>
          <w:trHeight w:val="230"/>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00" w:type="dxa"/>
            <w:vAlign w:val="bottom"/>
            <w:gridSpan w:val="4"/>
          </w:tcPr>
          <w:p>
            <w:pPr>
              <w:ind w:left="300"/>
              <w:spacing w:after="0"/>
              <w:rPr>
                <w:sz w:val="20"/>
                <w:szCs w:val="20"/>
                <w:color w:val="auto"/>
              </w:rPr>
            </w:pPr>
            <w:r>
              <w:rPr>
                <w:rFonts w:ascii="Arial" w:cs="Arial" w:eastAsia="Arial" w:hAnsi="Arial"/>
                <w:sz w:val="18"/>
                <w:szCs w:val="18"/>
                <w:color w:val="auto"/>
              </w:rPr>
              <w:t>through _________________. The Effective Date of this amended Plan is ___________.</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b w:val="1"/>
          <w:bCs w:val="1"/>
          <w:color w:val="auto"/>
        </w:rPr>
        <w:t xml:space="preserve">Normal Retirement Age: </w:t>
      </w:r>
      <w:r>
        <w:rPr>
          <w:rFonts w:ascii="Arial" w:cs="Arial" w:eastAsia="Arial" w:hAnsi="Arial"/>
          <w:sz w:val="16"/>
          <w:szCs w:val="16"/>
          <w:color w:val="auto"/>
        </w:rPr>
        <w:t>The Normal Retirement Age of a Participant shall be: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881" w:right="499" w:bottom="1440" w:gutter="0" w:footer="0" w:header="0"/>
          <w:type w:val="continuous"/>
        </w:sectPr>
      </w:pPr>
    </w:p>
    <w:bookmarkStart w:id="104" w:name="page105"/>
    <w:bookmarkEnd w:id="104"/>
    <w:p>
      <w:pPr>
        <w:ind w:left="660"/>
        <w:spacing w:after="0"/>
        <w:tabs>
          <w:tab w:leader="none" w:pos="1000" w:val="left"/>
          <w:tab w:leader="none" w:pos="1360" w:val="left"/>
        </w:tabs>
        <w:rPr>
          <w:sz w:val="20"/>
          <w:szCs w:val="20"/>
          <w:color w:val="auto"/>
        </w:rPr>
      </w:pPr>
      <w:r>
        <w:rPr>
          <w:rFonts w:ascii="Arial" w:cs="Arial" w:eastAsia="Arial" w:hAnsi="Arial"/>
          <w:sz w:val="18"/>
          <w:szCs w:val="18"/>
          <w:color w:val="auto"/>
        </w:rPr>
        <w:t>__</w:t>
        <w:tab/>
        <w:t>(a)</w:t>
      </w:r>
      <w:r>
        <w:rPr>
          <w:sz w:val="20"/>
          <w:szCs w:val="20"/>
          <w:color w:val="auto"/>
        </w:rPr>
        <w:tab/>
      </w:r>
      <w:r>
        <w:rPr>
          <w:rFonts w:ascii="Arial" w:cs="Arial" w:eastAsia="Arial" w:hAnsi="Arial"/>
          <w:sz w:val="16"/>
          <w:szCs w:val="16"/>
          <w:color w:val="auto"/>
        </w:rPr>
        <w:t>Age __.</w:t>
      </w:r>
    </w:p>
    <w:p>
      <w:pPr>
        <w:spacing w:after="0" w:line="225" w:lineRule="exact"/>
        <w:rPr>
          <w:sz w:val="20"/>
          <w:szCs w:val="20"/>
          <w:color w:val="auto"/>
        </w:rPr>
      </w:pPr>
    </w:p>
    <w:p>
      <w:pPr>
        <w:ind w:left="660"/>
        <w:spacing w:after="0"/>
        <w:tabs>
          <w:tab w:leader="none" w:pos="1280" w:val="left"/>
          <w:tab w:leader="none" w:pos="1680" w:val="left"/>
          <w:tab w:leader="none" w:pos="71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(b)</w:t>
        <w:tab/>
        <w:t>The later of age ___ or the _______ anniversary of the participation</w:t>
      </w:r>
      <w:r>
        <w:rPr>
          <w:sz w:val="20"/>
          <w:szCs w:val="20"/>
          <w:color w:val="auto"/>
        </w:rPr>
        <w:tab/>
      </w:r>
      <w:r>
        <w:rPr>
          <w:rFonts w:ascii="Arial" w:cs="Arial" w:eastAsia="Arial" w:hAnsi="Arial"/>
          <w:sz w:val="16"/>
          <w:szCs w:val="16"/>
          <w:color w:val="auto"/>
        </w:rPr>
        <w:t>commencement date. The participation commencement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is the first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day of the first Plan Year in which the Participant commenced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participation in the Plan.</w:t>
      </w:r>
    </w:p>
    <w:p>
      <w:pPr>
        <w:spacing w:after="0" w:line="211" w:lineRule="exact"/>
        <w:rPr>
          <w:sz w:val="20"/>
          <w:szCs w:val="20"/>
          <w:color w:val="auto"/>
        </w:rPr>
      </w:pPr>
    </w:p>
    <w:p>
      <w:pPr>
        <w:ind w:left="1100" w:hanging="444"/>
        <w:spacing w:after="0"/>
        <w:tabs>
          <w:tab w:leader="none" w:pos="1100" w:val="left"/>
        </w:tabs>
        <w:numPr>
          <w:ilvl w:val="0"/>
          <w:numId w:val="33"/>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(c)  Other: </w:t>
      </w:r>
      <w:r>
        <w:rPr>
          <w:rFonts w:ascii="Arial" w:cs="Arial" w:eastAsia="Arial" w:hAnsi="Arial"/>
          <w:sz w:val="18"/>
          <w:szCs w:val="18"/>
          <w:u w:val="single" w:color="auto"/>
          <w:color w:val="auto"/>
        </w:rPr>
        <w:t>Not applicable</w:t>
      </w:r>
      <w:r>
        <w:rPr>
          <w:rFonts w:ascii="Arial" w:cs="Arial" w:eastAsia="Arial" w:hAnsi="Arial"/>
          <w:sz w:val="18"/>
          <w:szCs w:val="18"/>
          <w:color w:val="auto"/>
        </w:rPr>
        <w:t>._____________________________________.</w:t>
      </w:r>
    </w:p>
    <w:p>
      <w:pPr>
        <w:spacing w:after="0" w:line="200" w:lineRule="exact"/>
        <w:rPr>
          <w:sz w:val="20"/>
          <w:szCs w:val="20"/>
          <w:color w:val="auto"/>
        </w:rPr>
      </w:pP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 xml:space="preserve">Participating Employer(s): </w:t>
      </w:r>
      <w:r>
        <w:rPr>
          <w:rFonts w:ascii="Arial" w:cs="Arial" w:eastAsia="Arial" w:hAnsi="Arial"/>
          <w:sz w:val="16"/>
          <w:szCs w:val="16"/>
          <w:color w:val="auto"/>
        </w:rPr>
        <w:t>As of the Effective Date, the following Participating Employer(s) are parties to the Plan:</w:t>
      </w:r>
    </w:p>
    <w:p>
      <w:pPr>
        <w:spacing w:after="0" w:line="374"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Name of Employer</w:t>
            </w:r>
          </w:p>
        </w:tc>
        <w:tc>
          <w:tcPr>
            <w:tcW w:w="204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EIN</w:t>
            </w:r>
          </w:p>
        </w:tc>
        <w:tc>
          <w:tcPr>
            <w:tcW w:w="1220" w:type="dxa"/>
            <w:vAlign w:val="bottom"/>
          </w:tcPr>
          <w:p>
            <w:pPr>
              <w:spacing w:after="0"/>
              <w:rPr>
                <w:sz w:val="17"/>
                <w:szCs w:val="17"/>
                <w:color w:val="auto"/>
              </w:rPr>
            </w:pPr>
          </w:p>
        </w:tc>
      </w:tr>
      <w:tr>
        <w:trPr>
          <w:trHeight w:val="291"/>
        </w:trPr>
        <w:tc>
          <w:tcPr>
            <w:tcW w:w="51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Cross Country Healthcare, Inc.</w:t>
            </w:r>
          </w:p>
        </w:tc>
        <w:tc>
          <w:tcPr>
            <w:tcW w:w="276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13-4066229</w:t>
            </w:r>
          </w:p>
        </w:tc>
      </w:tr>
      <w:tr>
        <w:trPr>
          <w:trHeight w:val="27"/>
        </w:trPr>
        <w:tc>
          <w:tcPr>
            <w:tcW w:w="1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 xml:space="preserve">Plan: </w:t>
      </w:r>
      <w:r>
        <w:rPr>
          <w:rFonts w:ascii="Arial" w:cs="Arial" w:eastAsia="Arial" w:hAnsi="Arial"/>
          <w:sz w:val="16"/>
          <w:szCs w:val="16"/>
          <w:color w:val="auto"/>
        </w:rPr>
        <w:t>The name of the Plan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Cross Country Healthcare, Inc. Nonqualified Deferred Compensation Plan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 xml:space="preserve">Plan Year: </w:t>
      </w:r>
      <w:r>
        <w:rPr>
          <w:rFonts w:ascii="Arial" w:cs="Arial" w:eastAsia="Arial" w:hAnsi="Arial"/>
          <w:sz w:val="16"/>
          <w:szCs w:val="16"/>
          <w:color w:val="auto"/>
        </w:rPr>
        <w:t>The Plan Year shall end each year on the last day of the month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December</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6"/>
          <w:szCs w:val="16"/>
          <w:b w:val="1"/>
          <w:bCs w:val="1"/>
          <w:color w:val="auto"/>
        </w:rPr>
        <w:t xml:space="preserve">Seniority Date: </w:t>
      </w:r>
      <w:r>
        <w:rPr>
          <w:rFonts w:ascii="Arial" w:cs="Arial" w:eastAsia="Arial" w:hAnsi="Arial"/>
          <w:sz w:val="16"/>
          <w:szCs w:val="16"/>
          <w:color w:val="auto"/>
        </w:rPr>
        <w:t>The date on which a Participant has:</w:t>
      </w:r>
    </w:p>
    <w:p>
      <w:pPr>
        <w:spacing w:after="0" w:line="229" w:lineRule="exact"/>
        <w:rPr>
          <w:sz w:val="20"/>
          <w:szCs w:val="20"/>
          <w:color w:val="auto"/>
        </w:rPr>
      </w:pPr>
    </w:p>
    <w:p>
      <w:pPr>
        <w:ind w:left="660"/>
        <w:spacing w:after="0"/>
        <w:tabs>
          <w:tab w:leader="none" w:pos="1000" w:val="left"/>
          <w:tab w:leader="none" w:pos="1360" w:val="left"/>
        </w:tabs>
        <w:rPr>
          <w:sz w:val="20"/>
          <w:szCs w:val="20"/>
          <w:color w:val="auto"/>
        </w:rPr>
      </w:pPr>
      <w:r>
        <w:rPr>
          <w:rFonts w:ascii="Arial" w:cs="Arial" w:eastAsia="Arial" w:hAnsi="Arial"/>
          <w:sz w:val="18"/>
          <w:szCs w:val="18"/>
          <w:color w:val="auto"/>
        </w:rPr>
        <w:t>__</w:t>
        <w:tab/>
        <w:t>(a)</w:t>
      </w:r>
      <w:r>
        <w:rPr>
          <w:sz w:val="20"/>
          <w:szCs w:val="20"/>
          <w:color w:val="auto"/>
        </w:rPr>
        <w:tab/>
      </w:r>
      <w:r>
        <w:rPr>
          <w:rFonts w:ascii="Arial" w:cs="Arial" w:eastAsia="Arial" w:hAnsi="Arial"/>
          <w:sz w:val="16"/>
          <w:szCs w:val="16"/>
          <w:color w:val="auto"/>
        </w:rPr>
        <w:t>Attained age __.</w:t>
      </w:r>
    </w:p>
    <w:p>
      <w:pPr>
        <w:spacing w:after="0" w:line="225" w:lineRule="exact"/>
        <w:rPr>
          <w:sz w:val="20"/>
          <w:szCs w:val="20"/>
          <w:color w:val="auto"/>
        </w:rPr>
      </w:pPr>
    </w:p>
    <w:p>
      <w:pPr>
        <w:ind w:left="660"/>
        <w:spacing w:after="0"/>
        <w:tabs>
          <w:tab w:leader="none" w:pos="1280" w:val="left"/>
          <w:tab w:leader="none" w:pos="168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Completed __ Years of Service from First Date of Service.</w:t>
      </w:r>
    </w:p>
    <w:p>
      <w:pPr>
        <w:spacing w:after="0" w:line="225" w:lineRule="exact"/>
        <w:rPr>
          <w:sz w:val="20"/>
          <w:szCs w:val="20"/>
          <w:color w:val="auto"/>
        </w:rPr>
      </w:pPr>
    </w:p>
    <w:p>
      <w:pPr>
        <w:ind w:left="660"/>
        <w:spacing w:after="0"/>
        <w:tabs>
          <w:tab w:leader="none" w:pos="1280" w:val="left"/>
          <w:tab w:leader="none" w:pos="166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Attained age __ and completed __ Years of Service from First Date of Service.</w:t>
      </w:r>
    </w:p>
    <w:p>
      <w:pPr>
        <w:spacing w:after="0" w:line="22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u w:val="single" w:color="auto"/>
          <w:color w:val="auto"/>
        </w:rPr>
      </w:pPr>
      <w:r>
        <w:rPr>
          <w:rFonts w:ascii="Arial" w:cs="Arial" w:eastAsia="Arial" w:hAnsi="Arial"/>
          <w:sz w:val="18"/>
          <w:szCs w:val="18"/>
          <w:color w:val="auto"/>
        </w:rPr>
        <w:t>(d)  Not applicable – distribution elections for Separation from Service are not based on Seniority Date.</w:t>
      </w:r>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 xml:space="preserve">Participant Deferral Credits: </w:t>
      </w:r>
      <w:r>
        <w:rPr>
          <w:rFonts w:ascii="Arial" w:cs="Arial" w:eastAsia="Arial" w:hAnsi="Arial"/>
          <w:sz w:val="16"/>
          <w:szCs w:val="16"/>
          <w:color w:val="auto"/>
        </w:rPr>
        <w:t>Subject to the limitations in Section 4.1 of the Plan, a</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Participant may elect to have his Compensation (as selected in Section 2.8 of this Adoption Agreement) deferred within the annual limits below by the following percentage or amount as designated in writing to the Committee:</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XX</w:t>
            </w: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3220" w:type="dxa"/>
            <w:vAlign w:val="bottom"/>
            <w:gridSpan w:val="5"/>
          </w:tcPr>
          <w:p>
            <w:pPr>
              <w:ind w:left="80"/>
              <w:spacing w:after="0"/>
              <w:rPr>
                <w:sz w:val="20"/>
                <w:szCs w:val="20"/>
                <w:color w:val="auto"/>
              </w:rPr>
            </w:pPr>
            <w:r>
              <w:rPr>
                <w:rFonts w:ascii="Arial" w:cs="Arial" w:eastAsia="Arial" w:hAnsi="Arial"/>
                <w:sz w:val="18"/>
                <w:szCs w:val="18"/>
                <w:color w:val="auto"/>
              </w:rPr>
              <w:t>Base salary:</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minimum deferral:</w:t>
            </w: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maximum deferral:</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50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w w:val="99"/>
              </w:rPr>
              <w:t>XX</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auto"/>
              </w:rPr>
              <w:t>(b)</w:t>
            </w:r>
          </w:p>
        </w:tc>
        <w:tc>
          <w:tcPr>
            <w:tcW w:w="3220" w:type="dxa"/>
            <w:vAlign w:val="bottom"/>
            <w:gridSpan w:val="5"/>
            <w:vMerge w:val="restart"/>
          </w:tcPr>
          <w:p>
            <w:pPr>
              <w:ind w:left="80"/>
              <w:spacing w:after="0"/>
              <w:rPr>
                <w:sz w:val="20"/>
                <w:szCs w:val="20"/>
                <w:color w:val="auto"/>
              </w:rPr>
            </w:pPr>
            <w:r>
              <w:rPr>
                <w:rFonts w:ascii="Arial" w:cs="Arial" w:eastAsia="Arial" w:hAnsi="Arial"/>
                <w:sz w:val="18"/>
                <w:szCs w:val="18"/>
                <w:color w:val="auto"/>
              </w:rPr>
              <w:t>Service Bonus:</w:t>
            </w: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0"/>
        </w:trPr>
        <w:tc>
          <w:tcPr>
            <w:tcW w:w="260" w:type="dxa"/>
            <w:vAlign w:val="bottom"/>
            <w:tcBorders>
              <w:bottom w:val="single" w:sz="8" w:color="auto"/>
            </w:tcBorders>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3220" w:type="dxa"/>
            <w:vAlign w:val="bottom"/>
            <w:gridSpan w:val="5"/>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XX   </w:t>
            </w:r>
            <w:r>
              <w:rPr>
                <w:rFonts w:ascii="Arial" w:cs="Arial" w:eastAsia="Arial" w:hAnsi="Arial"/>
                <w:sz w:val="18"/>
                <w:szCs w:val="18"/>
                <w:color w:val="auto"/>
              </w:rPr>
              <w:t>Service Bonus.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minimum deferral:</w:t>
            </w:r>
          </w:p>
        </w:tc>
        <w:tc>
          <w:tcPr>
            <w:tcW w:w="96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maximum deferral:</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100" w:hanging="444"/>
        <w:spacing w:after="0"/>
        <w:tabs>
          <w:tab w:leader="none" w:pos="1100" w:val="left"/>
        </w:tabs>
        <w:numPr>
          <w:ilvl w:val="0"/>
          <w:numId w:val="35"/>
        </w:numPr>
        <w:rPr>
          <w:rFonts w:ascii="Arial" w:cs="Arial" w:eastAsia="Arial" w:hAnsi="Arial"/>
          <w:sz w:val="18"/>
          <w:szCs w:val="18"/>
          <w:b w:val="1"/>
          <w:bCs w:val="1"/>
          <w:u w:val="single" w:color="auto"/>
          <w:color w:val="auto"/>
        </w:rPr>
      </w:pPr>
      <w:r>
        <w:rPr>
          <w:rFonts w:ascii="Arial" w:cs="Arial" w:eastAsia="Arial" w:hAnsi="Arial"/>
          <w:sz w:val="18"/>
          <w:szCs w:val="18"/>
          <w:color w:val="auto"/>
        </w:rPr>
        <w:t>(c)  Performance-Based Compensation: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ectPr>
          <w:pgSz w:w="11900" w:h="16838" w:orient="portrait"/>
          <w:cols w:equalWidth="0" w:num="1">
            <w:col w:w="11100"/>
          </w:cols>
          <w:pgMar w:left="240" w:top="881" w:right="559" w:bottom="1440" w:gutter="0" w:footer="0" w:header="0"/>
        </w:sectPr>
      </w:pP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00"/>
          </w:cols>
          <w:pgMar w:left="240" w:top="881" w:right="559" w:bottom="1440" w:gutter="0" w:footer="0" w:header="0"/>
          <w:type w:val="continuous"/>
        </w:sectPr>
      </w:pPr>
    </w:p>
    <w:bookmarkStart w:id="105" w:name="page106"/>
    <w:bookmarkEnd w:id="105"/>
    <w:tbl>
      <w:tblPr>
        <w:tblLayout w:type="fixed"/>
        <w:tblInd w:w="6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XX   </w:t>
            </w:r>
            <w:r>
              <w:rPr>
                <w:rFonts w:ascii="Arial" w:cs="Arial" w:eastAsia="Arial" w:hAnsi="Arial"/>
                <w:sz w:val="18"/>
                <w:szCs w:val="18"/>
                <w:color w:val="auto"/>
              </w:rPr>
              <w:t>Performance Based Bonus</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minimum deferral:</w:t>
            </w:r>
          </w:p>
        </w:tc>
        <w:tc>
          <w:tcPr>
            <w:tcW w:w="340" w:type="dxa"/>
            <w:vAlign w:val="bottom"/>
            <w:gridSpan w:val="2"/>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4"/>
          </w:tcPr>
          <w:p>
            <w:pPr>
              <w:ind w:left="180"/>
              <w:spacing w:after="0"/>
              <w:rPr>
                <w:sz w:val="20"/>
                <w:szCs w:val="20"/>
                <w:color w:val="auto"/>
              </w:rPr>
            </w:pPr>
            <w:r>
              <w:rPr>
                <w:rFonts w:ascii="Arial" w:cs="Arial" w:eastAsia="Arial" w:hAnsi="Arial"/>
                <w:sz w:val="18"/>
                <w:szCs w:val="18"/>
                <w:color w:val="auto"/>
              </w:rPr>
              <w:t>maximum deferral:</w:t>
            </w:r>
          </w:p>
        </w:tc>
        <w:tc>
          <w:tcPr>
            <w:tcW w:w="900" w:type="dxa"/>
            <w:vAlign w:val="bottom"/>
          </w:tcPr>
          <w:p>
            <w:pPr>
              <w:jc w:val="right"/>
              <w:ind w:right="510"/>
              <w:spacing w:after="0"/>
              <w:rPr>
                <w:sz w:val="20"/>
                <w:szCs w:val="20"/>
                <w:color w:val="auto"/>
              </w:rPr>
            </w:pPr>
            <w:r>
              <w:rPr>
                <w:rFonts w:ascii="Arial" w:cs="Arial" w:eastAsia="Arial" w:hAnsi="Arial"/>
                <w:sz w:val="18"/>
                <w:szCs w:val="18"/>
                <w:b w:val="1"/>
                <w:bCs w:val="1"/>
                <w:color w:val="auto"/>
                <w:w w:val="93"/>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w w:val="99"/>
              </w:rPr>
              <w:t>XX</w:t>
            </w: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(d)</w:t>
            </w:r>
          </w:p>
        </w:tc>
        <w:tc>
          <w:tcPr>
            <w:tcW w:w="3320" w:type="dxa"/>
            <w:vAlign w:val="bottom"/>
            <w:gridSpan w:val="7"/>
            <w:vMerge w:val="restart"/>
          </w:tcPr>
          <w:p>
            <w:pPr>
              <w:ind w:left="120"/>
              <w:spacing w:after="0"/>
              <w:rPr>
                <w:sz w:val="20"/>
                <w:szCs w:val="20"/>
                <w:color w:val="auto"/>
              </w:rPr>
            </w:pPr>
            <w:r>
              <w:rPr>
                <w:rFonts w:ascii="Arial" w:cs="Arial" w:eastAsia="Arial" w:hAnsi="Arial"/>
                <w:sz w:val="18"/>
                <w:szCs w:val="18"/>
                <w:color w:val="auto"/>
              </w:rPr>
              <w:t>Commissions:</w:t>
            </w: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auto"/>
            </w:tcBorders>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3320" w:type="dxa"/>
            <w:vAlign w:val="bottom"/>
            <w:gridSpan w:val="7"/>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rPr>
              <w:t>minimum deferral:</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79"/>
              </w:rPr>
              <w:t>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rPr>
              <w:t>maximum deferral:</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100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0"/>
                <w:szCs w:val="20"/>
                <w:color w:val="auto"/>
              </w:rPr>
            </w:pPr>
            <w:r>
              <w:rPr>
                <w:rFonts w:ascii="Arial" w:cs="Arial" w:eastAsia="Arial" w:hAnsi="Arial"/>
                <w:sz w:val="18"/>
                <w:szCs w:val="18"/>
                <w:color w:val="auto"/>
              </w:rPr>
              <w:t>__</w:t>
            </w:r>
          </w:p>
        </w:tc>
        <w:tc>
          <w:tcPr>
            <w:tcW w:w="440" w:type="dxa"/>
            <w:vAlign w:val="bottom"/>
          </w:tcPr>
          <w:p>
            <w:pPr>
              <w:ind w:left="100"/>
              <w:spacing w:after="0"/>
              <w:rPr>
                <w:sz w:val="20"/>
                <w:szCs w:val="20"/>
                <w:color w:val="auto"/>
              </w:rPr>
            </w:pPr>
            <w:r>
              <w:rPr>
                <w:rFonts w:ascii="Arial" w:cs="Arial" w:eastAsia="Arial" w:hAnsi="Arial"/>
                <w:sz w:val="18"/>
                <w:szCs w:val="18"/>
                <w:color w:val="auto"/>
              </w:rPr>
              <w:t>(e)</w:t>
            </w:r>
          </w:p>
        </w:tc>
        <w:tc>
          <w:tcPr>
            <w:tcW w:w="3320" w:type="dxa"/>
            <w:vAlign w:val="bottom"/>
            <w:gridSpan w:val="7"/>
          </w:tcPr>
          <w:p>
            <w:pPr>
              <w:ind w:left="40"/>
              <w:spacing w:after="0"/>
              <w:rPr>
                <w:sz w:val="20"/>
                <w:szCs w:val="20"/>
                <w:color w:val="auto"/>
              </w:rPr>
            </w:pPr>
            <w:r>
              <w:rPr>
                <w:rFonts w:ascii="Arial" w:cs="Arial" w:eastAsia="Arial" w:hAnsi="Arial"/>
                <w:sz w:val="18"/>
                <w:szCs w:val="18"/>
                <w:color w:val="auto"/>
              </w:rPr>
              <w:t>Form 1099 Compensation:</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rPr>
              <w:t>minimum deferral:</w:t>
            </w:r>
          </w:p>
        </w:tc>
        <w:tc>
          <w:tcPr>
            <w:tcW w:w="90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rPr>
              <w:t>maximum deferral:</w:t>
            </w:r>
          </w:p>
        </w:tc>
        <w:tc>
          <w:tcPr>
            <w:tcW w:w="90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w w:val="99"/>
              </w:rPr>
              <w:t>XX</w:t>
            </w: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60" w:type="dxa"/>
            <w:vAlign w:val="bottom"/>
            <w:vMerge w:val="continue"/>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(f)</w:t>
            </w:r>
          </w:p>
        </w:tc>
        <w:tc>
          <w:tcPr>
            <w:tcW w:w="3320" w:type="dxa"/>
            <w:vAlign w:val="bottom"/>
            <w:gridSpan w:val="7"/>
          </w:tcPr>
          <w:p>
            <w:pPr>
              <w:ind w:left="100"/>
              <w:spacing w:after="0"/>
              <w:rPr>
                <w:sz w:val="20"/>
                <w:szCs w:val="20"/>
                <w:color w:val="auto"/>
              </w:rPr>
            </w:pPr>
            <w:r>
              <w:rPr>
                <w:rFonts w:ascii="Arial" w:cs="Arial" w:eastAsia="Arial" w:hAnsi="Arial"/>
                <w:sz w:val="18"/>
                <w:szCs w:val="18"/>
                <w:color w:val="auto"/>
              </w:rPr>
              <w:t>Other: Director’s Fees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79"/>
              </w:rPr>
              <w:t>0</w:t>
            </w: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rPr>
              <w:t>minimum deferral:</w:t>
            </w:r>
          </w:p>
        </w:tc>
        <w:tc>
          <w:tcPr>
            <w:tcW w:w="900" w:type="dxa"/>
            <w:vAlign w:val="bottom"/>
            <w:vMerge w:val="continue"/>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rPr>
              <w:t>maximum deferral:</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100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0"/>
                <w:szCs w:val="20"/>
                <w:color w:val="auto"/>
              </w:rPr>
            </w:pPr>
            <w:r>
              <w:rPr>
                <w:rFonts w:ascii="Arial" w:cs="Arial" w:eastAsia="Arial" w:hAnsi="Arial"/>
                <w:sz w:val="18"/>
                <w:szCs w:val="18"/>
                <w:color w:val="auto"/>
              </w:rPr>
              <w:t>__</w:t>
            </w:r>
          </w:p>
        </w:tc>
        <w:tc>
          <w:tcPr>
            <w:tcW w:w="3760" w:type="dxa"/>
            <w:vAlign w:val="bottom"/>
            <w:gridSpan w:val="8"/>
          </w:tcPr>
          <w:p>
            <w:pPr>
              <w:ind w:left="100"/>
              <w:spacing w:after="0"/>
              <w:rPr>
                <w:sz w:val="20"/>
                <w:szCs w:val="20"/>
                <w:color w:val="auto"/>
              </w:rPr>
            </w:pPr>
            <w:r>
              <w:rPr>
                <w:rFonts w:ascii="Arial" w:cs="Arial" w:eastAsia="Arial" w:hAnsi="Arial"/>
                <w:sz w:val="18"/>
                <w:szCs w:val="18"/>
                <w:color w:val="auto"/>
              </w:rPr>
              <w:t>(g)  Participant deferrals not allowed.</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4.1.2 Participant Deferral Credits and Employer Credits – Election Period: </w:t>
      </w:r>
      <w:r>
        <w:rPr>
          <w:rFonts w:ascii="Arial" w:cs="Arial" w:eastAsia="Arial" w:hAnsi="Arial"/>
          <w:sz w:val="18"/>
          <w:szCs w:val="18"/>
          <w:color w:val="auto"/>
        </w:rPr>
        <w:t>Participant elections regarding Participant Deferral Credits and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shall be subject to the following effective periods (one must be selected):</w:t>
      </w:r>
    </w:p>
    <w:p>
      <w:pPr>
        <w:spacing w:after="0" w:line="112" w:lineRule="exact"/>
        <w:rPr>
          <w:sz w:val="20"/>
          <w:szCs w:val="20"/>
          <w:color w:val="auto"/>
        </w:rPr>
      </w:pPr>
    </w:p>
    <w:p>
      <w:pPr>
        <w:ind w:left="660" w:right="4300"/>
        <w:spacing w:after="0" w:line="271" w:lineRule="auto"/>
        <w:rPr>
          <w:sz w:val="20"/>
          <w:szCs w:val="20"/>
          <w:color w:val="auto"/>
        </w:rPr>
      </w:pPr>
      <w:r>
        <w:rPr>
          <w:rFonts w:ascii="Arial" w:cs="Arial" w:eastAsia="Arial" w:hAnsi="Arial"/>
          <w:sz w:val="17"/>
          <w:szCs w:val="17"/>
          <w:color w:val="auto"/>
        </w:rPr>
        <w:t>__ (a) Evergreen election. An election made by the Participant shall continue in effect for subsequent years until modified by the Participant as permitted in Section 4.1 and Section 4.2. (This option is not permitted if source year accounts are</w:t>
      </w:r>
    </w:p>
    <w:p>
      <w:pPr>
        <w:ind w:left="660"/>
        <w:spacing w:after="0"/>
        <w:rPr>
          <w:sz w:val="20"/>
          <w:szCs w:val="20"/>
          <w:color w:val="auto"/>
        </w:rPr>
      </w:pPr>
      <w:r>
        <w:rPr>
          <w:rFonts w:ascii="Arial" w:cs="Arial" w:eastAsia="Arial" w:hAnsi="Arial"/>
          <w:sz w:val="18"/>
          <w:szCs w:val="18"/>
          <w:color w:val="auto"/>
        </w:rPr>
        <w:t>elected in Section 5.1).</w:t>
      </w:r>
    </w:p>
    <w:p>
      <w:pPr>
        <w:spacing w:after="0" w:line="211" w:lineRule="exact"/>
        <w:rPr>
          <w:sz w:val="20"/>
          <w:szCs w:val="20"/>
          <w:color w:val="auto"/>
        </w:rPr>
      </w:pPr>
    </w:p>
    <w:p>
      <w:pPr>
        <w:ind w:left="660" w:right="4140" w:hanging="4"/>
        <w:spacing w:after="0" w:line="258" w:lineRule="auto"/>
        <w:tabs>
          <w:tab w:leader="none" w:pos="1100" w:val="left"/>
        </w:tabs>
        <w:numPr>
          <w:ilvl w:val="0"/>
          <w:numId w:val="36"/>
        </w:numPr>
        <w:rPr>
          <w:rFonts w:ascii="Arial" w:cs="Arial" w:eastAsia="Arial" w:hAnsi="Arial"/>
          <w:sz w:val="18"/>
          <w:szCs w:val="18"/>
          <w:b w:val="1"/>
          <w:bCs w:val="1"/>
          <w:u w:val="single" w:color="auto"/>
          <w:color w:val="auto"/>
        </w:rPr>
      </w:pPr>
      <w:r>
        <w:rPr>
          <w:rFonts w:ascii="Arial" w:cs="Arial" w:eastAsia="Arial" w:hAnsi="Arial"/>
          <w:sz w:val="18"/>
          <w:szCs w:val="18"/>
          <w:color w:val="auto"/>
        </w:rPr>
        <w:t>(b) Non-Evergreen election. Any election made by the Participant shall only remain in effect for the current election period and will then expire. An election for</w:t>
      </w:r>
    </w:p>
    <w:p>
      <w:pPr>
        <w:spacing w:after="0" w:line="1" w:lineRule="exact"/>
        <w:rPr>
          <w:rFonts w:ascii="Arial" w:cs="Arial" w:eastAsia="Arial" w:hAnsi="Arial"/>
          <w:sz w:val="18"/>
          <w:szCs w:val="18"/>
          <w:b w:val="1"/>
          <w:bCs w:val="1"/>
          <w:u w:val="single" w:color="auto"/>
          <w:color w:val="auto"/>
        </w:rPr>
      </w:pPr>
    </w:p>
    <w:p>
      <w:pPr>
        <w:ind w:left="6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each subsequent year will be required as permitted in Sections 4.1 and 4.2.</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Employer Credits: </w:t>
      </w:r>
      <w:r>
        <w:rPr>
          <w:rFonts w:ascii="Arial" w:cs="Arial" w:eastAsia="Arial" w:hAnsi="Arial"/>
          <w:sz w:val="16"/>
          <w:szCs w:val="16"/>
          <w:color w:val="auto"/>
        </w:rPr>
        <w:t>Employer Credits will be made in the following manner:</w:t>
      </w:r>
    </w:p>
    <w:p>
      <w:pPr>
        <w:spacing w:after="0" w:line="171" w:lineRule="exact"/>
        <w:rPr>
          <w:sz w:val="20"/>
          <w:szCs w:val="20"/>
          <w:color w:val="auto"/>
        </w:rPr>
      </w:pPr>
    </w:p>
    <w:p>
      <w:pPr>
        <w:ind w:left="1960" w:right="380" w:hanging="1304"/>
        <w:spacing w:after="0" w:line="282" w:lineRule="auto"/>
        <w:tabs>
          <w:tab w:leader="none" w:pos="1312" w:val="left"/>
        </w:tabs>
        <w:numPr>
          <w:ilvl w:val="0"/>
          <w:numId w:val="37"/>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Employer Discretionary Credits</w:t>
      </w:r>
      <w:r>
        <w:rPr>
          <w:rFonts w:ascii="Arial" w:cs="Arial" w:eastAsia="Arial" w:hAnsi="Arial"/>
          <w:sz w:val="18"/>
          <w:szCs w:val="18"/>
          <w:color w:val="auto"/>
        </w:rPr>
        <w:t>: The Employer may make discretionary credits to the Deferred Compensation Account of each Active Participant in an amount determined as follows:</w:t>
      </w:r>
    </w:p>
    <w:p>
      <w:pPr>
        <w:spacing w:after="0" w:line="121" w:lineRule="exact"/>
        <w:rPr>
          <w:rFonts w:ascii="Arial" w:cs="Arial" w:eastAsia="Arial" w:hAnsi="Arial"/>
          <w:sz w:val="18"/>
          <w:szCs w:val="18"/>
          <w:b w:val="1"/>
          <w:bCs w:val="1"/>
          <w:u w:val="single" w:color="auto"/>
          <w:color w:val="auto"/>
        </w:rPr>
      </w:pPr>
    </w:p>
    <w:p>
      <w:pPr>
        <w:ind w:left="1960"/>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XX</w:t>
      </w:r>
      <w:r>
        <w:rPr>
          <w:rFonts w:ascii="Arial" w:cs="Arial" w:eastAsia="Arial" w:hAnsi="Arial"/>
          <w:sz w:val="16"/>
          <w:szCs w:val="16"/>
          <w:color w:val="auto"/>
        </w:rPr>
        <w:t>(i)  An amount determined each Plan Year by the Employer.</w:t>
      </w:r>
    </w:p>
    <w:p>
      <w:pPr>
        <w:spacing w:after="0" w:line="229" w:lineRule="exact"/>
        <w:rPr>
          <w:sz w:val="20"/>
          <w:szCs w:val="20"/>
          <w:color w:val="auto"/>
        </w:rPr>
      </w:pPr>
    </w:p>
    <w:p>
      <w:pPr>
        <w:ind w:left="1960"/>
        <w:spacing w:after="0"/>
        <w:tabs>
          <w:tab w:leader="none" w:pos="2300" w:val="left"/>
          <w:tab w:leader="none" w:pos="2700" w:val="left"/>
        </w:tabs>
        <w:rPr>
          <w:sz w:val="20"/>
          <w:szCs w:val="20"/>
          <w:color w:val="auto"/>
        </w:rPr>
      </w:pPr>
      <w:r>
        <w:rPr>
          <w:rFonts w:ascii="Arial" w:cs="Arial" w:eastAsia="Arial" w:hAnsi="Arial"/>
          <w:sz w:val="18"/>
          <w:szCs w:val="18"/>
          <w:color w:val="auto"/>
        </w:rPr>
        <w:t>__</w:t>
        <w:tab/>
        <w:t>(ii)</w:t>
      </w:r>
      <w:r>
        <w:rPr>
          <w:sz w:val="20"/>
          <w:szCs w:val="20"/>
          <w:color w:val="auto"/>
        </w:rPr>
        <w:tab/>
      </w:r>
      <w:r>
        <w:rPr>
          <w:rFonts w:ascii="Arial" w:cs="Arial" w:eastAsia="Arial" w:hAnsi="Arial"/>
          <w:sz w:val="16"/>
          <w:szCs w:val="16"/>
          <w:color w:val="auto"/>
        </w:rPr>
        <w:t>Other: _______________________________________.</w:t>
      </w:r>
    </w:p>
    <w:p>
      <w:pPr>
        <w:spacing w:after="0" w:line="221" w:lineRule="exact"/>
        <w:rPr>
          <w:sz w:val="20"/>
          <w:szCs w:val="20"/>
          <w:color w:val="auto"/>
        </w:rPr>
      </w:pPr>
    </w:p>
    <w:p>
      <w:pPr>
        <w:ind w:left="660"/>
        <w:spacing w:after="0"/>
        <w:tabs>
          <w:tab w:leader="none" w:pos="1280" w:val="left"/>
          <w:tab w:leader="none" w:pos="168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6"/>
          <w:szCs w:val="16"/>
          <w:b w:val="1"/>
          <w:bCs w:val="1"/>
          <w:color w:val="auto"/>
        </w:rPr>
        <w:t>Other Employer Credits</w:t>
      </w:r>
      <w:r>
        <w:rPr>
          <w:rFonts w:ascii="Arial" w:cs="Arial" w:eastAsia="Arial" w:hAnsi="Arial"/>
          <w:sz w:val="16"/>
          <w:szCs w:val="16"/>
          <w:color w:val="auto"/>
        </w:rPr>
        <w:t>: The Employer may make other credits to the Deferred Compensation Account of each Active Participant in</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 amount determined as follows:</w:t>
      </w:r>
    </w:p>
    <w:p>
      <w:pPr>
        <w:spacing w:after="0" w:line="170" w:lineRule="exact"/>
        <w:rPr>
          <w:sz w:val="20"/>
          <w:szCs w:val="20"/>
          <w:color w:val="auto"/>
        </w:rPr>
      </w:pPr>
    </w:p>
    <w:p>
      <w:pPr>
        <w:ind w:left="1960"/>
        <w:spacing w:after="0"/>
        <w:tabs>
          <w:tab w:leader="none" w:pos="2580" w:val="left"/>
          <w:tab w:leader="none" w:pos="292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An amount determined each Plan Year by the Employer.</w:t>
      </w:r>
    </w:p>
    <w:p>
      <w:pPr>
        <w:spacing w:after="0" w:line="225" w:lineRule="exact"/>
        <w:rPr>
          <w:sz w:val="20"/>
          <w:szCs w:val="20"/>
          <w:color w:val="auto"/>
        </w:rPr>
      </w:pPr>
    </w:p>
    <w:p>
      <w:pPr>
        <w:ind w:left="1960"/>
        <w:spacing w:after="0"/>
        <w:tabs>
          <w:tab w:leader="none" w:pos="2300" w:val="left"/>
          <w:tab w:leader="none" w:pos="2700" w:val="left"/>
        </w:tabs>
        <w:rPr>
          <w:sz w:val="20"/>
          <w:szCs w:val="20"/>
          <w:color w:val="auto"/>
        </w:rPr>
      </w:pPr>
      <w:r>
        <w:rPr>
          <w:rFonts w:ascii="Arial" w:cs="Arial" w:eastAsia="Arial" w:hAnsi="Arial"/>
          <w:sz w:val="18"/>
          <w:szCs w:val="18"/>
          <w:color w:val="auto"/>
        </w:rPr>
        <w:t>__</w:t>
        <w:tab/>
        <w:t>(ii)</w:t>
      </w:r>
      <w:r>
        <w:rPr>
          <w:sz w:val="20"/>
          <w:szCs w:val="20"/>
          <w:color w:val="auto"/>
        </w:rPr>
        <w:tab/>
      </w:r>
      <w:r>
        <w:rPr>
          <w:rFonts w:ascii="Arial" w:cs="Arial" w:eastAsia="Arial" w:hAnsi="Arial"/>
          <w:sz w:val="16"/>
          <w:szCs w:val="16"/>
          <w:color w:val="auto"/>
        </w:rPr>
        <w:t>Other: _______________________________________.</w:t>
      </w:r>
    </w:p>
    <w:p>
      <w:pPr>
        <w:spacing w:after="0" w:line="225" w:lineRule="exact"/>
        <w:rPr>
          <w:sz w:val="20"/>
          <w:szCs w:val="20"/>
          <w:color w:val="auto"/>
        </w:rPr>
      </w:pPr>
    </w:p>
    <w:p>
      <w:pPr>
        <w:ind w:left="660"/>
        <w:spacing w:after="0"/>
        <w:tabs>
          <w:tab w:leader="none" w:pos="1000" w:val="left"/>
          <w:tab w:leader="none" w:pos="1380" w:val="left"/>
        </w:tabs>
        <w:rPr>
          <w:sz w:val="20"/>
          <w:szCs w:val="20"/>
          <w:color w:val="auto"/>
        </w:rPr>
      </w:pPr>
      <w:r>
        <w:rPr>
          <w:rFonts w:ascii="Arial" w:cs="Arial" w:eastAsia="Arial" w:hAnsi="Arial"/>
          <w:sz w:val="18"/>
          <w:szCs w:val="18"/>
          <w:color w:val="auto"/>
        </w:rPr>
        <w:t>__</w:t>
        <w:tab/>
        <w:t>(c)</w:t>
      </w:r>
      <w:r>
        <w:rPr>
          <w:sz w:val="20"/>
          <w:szCs w:val="20"/>
          <w:color w:val="auto"/>
        </w:rPr>
        <w:tab/>
      </w:r>
      <w:r>
        <w:rPr>
          <w:rFonts w:ascii="Arial" w:cs="Arial" w:eastAsia="Arial" w:hAnsi="Arial"/>
          <w:sz w:val="16"/>
          <w:szCs w:val="16"/>
          <w:color w:val="auto"/>
        </w:rPr>
        <w:t>Employer Credits not allowed.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ectPr>
          <w:pgSz w:w="11900" w:h="16838" w:orient="portrait"/>
          <w:cols w:equalWidth="0" w:num="1">
            <w:col w:w="11400"/>
          </w:cols>
          <w:pgMar w:left="240" w:top="864" w:right="25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864" w:right="259" w:bottom="1440" w:gutter="0" w:footer="0" w:header="0"/>
          <w:type w:val="continuous"/>
        </w:sectPr>
      </w:pPr>
    </w:p>
    <w:bookmarkStart w:id="106" w:name="page107"/>
    <w:bookmarkEnd w:id="106"/>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 xml:space="preserve">Deferred Compensation Account: </w:t>
      </w:r>
      <w:r>
        <w:rPr>
          <w:rFonts w:ascii="Arial" w:cs="Arial" w:eastAsia="Arial" w:hAnsi="Arial"/>
          <w:sz w:val="16"/>
          <w:szCs w:val="16"/>
          <w:color w:val="auto"/>
        </w:rPr>
        <w:t>The Participant is permitted to establish the following accounts:</w:t>
      </w:r>
    </w:p>
    <w:p>
      <w:pPr>
        <w:spacing w:after="0" w:line="175" w:lineRule="exact"/>
        <w:rPr>
          <w:sz w:val="20"/>
          <w:szCs w:val="20"/>
          <w:color w:val="auto"/>
        </w:rPr>
      </w:pPr>
    </w:p>
    <w:p>
      <w:pPr>
        <w:ind w:left="660" w:right="4260"/>
        <w:spacing w:after="0" w:line="277" w:lineRule="auto"/>
        <w:rPr>
          <w:sz w:val="20"/>
          <w:szCs w:val="20"/>
          <w:color w:val="auto"/>
        </w:rPr>
      </w:pPr>
      <w:r>
        <w:rPr>
          <w:rFonts w:ascii="Arial" w:cs="Arial" w:eastAsia="Arial" w:hAnsi="Arial"/>
          <w:sz w:val="18"/>
          <w:szCs w:val="18"/>
          <w:color w:val="auto"/>
        </w:rPr>
        <w:t>__ (a) Non-source year account(s). Deferred Compensation Account(s) will not be established on a source year basis:</w:t>
      </w:r>
    </w:p>
    <w:p>
      <w:pPr>
        <w:spacing w:after="0" w:line="170" w:lineRule="exact"/>
        <w:rPr>
          <w:sz w:val="20"/>
          <w:szCs w:val="20"/>
          <w:color w:val="auto"/>
        </w:rPr>
      </w:pPr>
    </w:p>
    <w:p>
      <w:pPr>
        <w:ind w:left="1300" w:right="4240"/>
        <w:spacing w:after="0" w:line="279" w:lineRule="auto"/>
        <w:rPr>
          <w:sz w:val="20"/>
          <w:szCs w:val="20"/>
          <w:color w:val="auto"/>
        </w:rPr>
      </w:pPr>
      <w:r>
        <w:rPr>
          <w:rFonts w:ascii="Arial" w:cs="Arial" w:eastAsia="Arial" w:hAnsi="Arial"/>
          <w:sz w:val="17"/>
          <w:szCs w:val="17"/>
          <w:color w:val="auto"/>
        </w:rPr>
        <w:t>__ (i) A Participant may establish only one account to be distributed upon Separation from Service. One set of payment options for that account is allowed as permitted in Section 7.1. Additional In-Service or Education accounts may be established as permitted in Section 5.4.</w:t>
      </w:r>
    </w:p>
    <w:p>
      <w:pPr>
        <w:spacing w:after="0" w:line="171" w:lineRule="exact"/>
        <w:rPr>
          <w:sz w:val="20"/>
          <w:szCs w:val="20"/>
          <w:color w:val="auto"/>
        </w:rPr>
      </w:pPr>
    </w:p>
    <w:p>
      <w:pPr>
        <w:ind w:left="1300"/>
        <w:spacing w:after="0"/>
        <w:tabs>
          <w:tab w:leader="none" w:pos="1640" w:val="left"/>
          <w:tab w:leader="none" w:pos="2040" w:val="left"/>
        </w:tabs>
        <w:rPr>
          <w:sz w:val="20"/>
          <w:szCs w:val="20"/>
          <w:color w:val="auto"/>
        </w:rPr>
      </w:pPr>
      <w:r>
        <w:rPr>
          <w:rFonts w:ascii="Arial" w:cs="Arial" w:eastAsia="Arial" w:hAnsi="Arial"/>
          <w:sz w:val="18"/>
          <w:szCs w:val="18"/>
          <w:color w:val="auto"/>
        </w:rPr>
        <w:t>__</w:t>
        <w:tab/>
        <w:t>(ii)</w:t>
      </w:r>
      <w:r>
        <w:rPr>
          <w:sz w:val="20"/>
          <w:szCs w:val="20"/>
          <w:color w:val="auto"/>
        </w:rPr>
        <w:tab/>
      </w:r>
      <w:r>
        <w:rPr>
          <w:rFonts w:ascii="Arial" w:cs="Arial" w:eastAsia="Arial" w:hAnsi="Arial"/>
          <w:sz w:val="16"/>
          <w:szCs w:val="16"/>
          <w:color w:val="auto"/>
        </w:rPr>
        <w:t>A Participant may establish multiple accounts to be distributed upon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Separation from Service. Each account may have one set of payment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options as permitted in Section 7.1 Additional In-Service 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Education accounts may be established as permitted in Section 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this multiple account option is elected, the Participant will also be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required to elect Separation from Service payment options for each 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Service or Education account established.</w:t>
      </w:r>
    </w:p>
    <w:p>
      <w:pPr>
        <w:spacing w:after="0" w:line="211" w:lineRule="exact"/>
        <w:rPr>
          <w:sz w:val="20"/>
          <w:szCs w:val="20"/>
          <w:color w:val="auto"/>
        </w:rPr>
      </w:pPr>
    </w:p>
    <w:p>
      <w:pPr>
        <w:ind w:left="660" w:right="4200" w:hanging="4"/>
        <w:spacing w:after="0" w:line="274" w:lineRule="auto"/>
        <w:tabs>
          <w:tab w:leader="none" w:pos="1100" w:val="left"/>
        </w:tabs>
        <w:numPr>
          <w:ilvl w:val="0"/>
          <w:numId w:val="38"/>
        </w:numPr>
        <w:rPr>
          <w:rFonts w:ascii="Arial" w:cs="Arial" w:eastAsia="Arial" w:hAnsi="Arial"/>
          <w:sz w:val="17"/>
          <w:szCs w:val="17"/>
          <w:b w:val="1"/>
          <w:bCs w:val="1"/>
          <w:u w:val="single" w:color="auto"/>
          <w:color w:val="auto"/>
        </w:rPr>
      </w:pPr>
      <w:r>
        <w:rPr>
          <w:rFonts w:ascii="Arial" w:cs="Arial" w:eastAsia="Arial" w:hAnsi="Arial"/>
          <w:sz w:val="17"/>
          <w:szCs w:val="17"/>
          <w:color w:val="auto"/>
        </w:rPr>
        <w:t>(b) Source year account(s): Annual Deferred Compensation Account(s) will be established each year in which Participant Deferral Credits or Employer Credits</w:t>
      </w:r>
    </w:p>
    <w:p>
      <w:pPr>
        <w:ind w:left="660" w:right="4900"/>
        <w:spacing w:after="0" w:line="270" w:lineRule="auto"/>
        <w:rPr>
          <w:rFonts w:ascii="Arial" w:cs="Arial" w:eastAsia="Arial" w:hAnsi="Arial"/>
          <w:sz w:val="17"/>
          <w:szCs w:val="17"/>
          <w:b w:val="1"/>
          <w:bCs w:val="1"/>
          <w:u w:val="single" w:color="auto"/>
          <w:color w:val="auto"/>
        </w:rPr>
      </w:pPr>
      <w:r>
        <w:rPr>
          <w:rFonts w:ascii="Arial" w:cs="Arial" w:eastAsia="Arial" w:hAnsi="Arial"/>
          <w:sz w:val="17"/>
          <w:szCs w:val="17"/>
          <w:color w:val="auto"/>
        </w:rPr>
        <w:t xml:space="preserve">are credited to the Participant. Only one account may be established each year for distribution upon Separation from Service. One set of payment options for that account is allowed as permitted in Section 7.1. Additional In-Service or Education accounts may be established for each source year as permitted in Section 5.4. If this option is selected, Evergreen elections as described in Section 4.1.2 are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permitted.</w:t>
      </w:r>
    </w:p>
    <w:p>
      <w:pPr>
        <w:spacing w:after="0" w:line="3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Disability of a Participant:</w:t>
      </w:r>
    </w:p>
    <w:p>
      <w:pPr>
        <w:spacing w:after="0" w:line="175" w:lineRule="exact"/>
        <w:rPr>
          <w:sz w:val="20"/>
          <w:szCs w:val="20"/>
          <w:color w:val="auto"/>
        </w:rPr>
      </w:pPr>
    </w:p>
    <w:p>
      <w:pPr>
        <w:ind w:left="660" w:right="3920" w:hanging="4"/>
        <w:spacing w:after="0" w:line="258" w:lineRule="auto"/>
        <w:tabs>
          <w:tab w:leader="none" w:pos="1100" w:val="left"/>
        </w:tabs>
        <w:numPr>
          <w:ilvl w:val="0"/>
          <w:numId w:val="39"/>
        </w:numPr>
        <w:rPr>
          <w:rFonts w:ascii="Arial" w:cs="Arial" w:eastAsia="Arial" w:hAnsi="Arial"/>
          <w:sz w:val="18"/>
          <w:szCs w:val="18"/>
          <w:b w:val="1"/>
          <w:bCs w:val="1"/>
          <w:u w:val="single" w:color="auto"/>
          <w:color w:val="auto"/>
        </w:rPr>
      </w:pPr>
      <w:r>
        <w:rPr>
          <w:rFonts w:ascii="Arial" w:cs="Arial" w:eastAsia="Arial" w:hAnsi="Arial"/>
          <w:sz w:val="18"/>
          <w:szCs w:val="18"/>
          <w:color w:val="auto"/>
        </w:rPr>
        <w:t>(a) A Participant's becoming Disabled shall be a Qualifying Distribution Event and the Deferred Compensation Account shall be paid by the Employer as</w:t>
      </w:r>
    </w:p>
    <w:p>
      <w:pPr>
        <w:spacing w:after="0" w:line="1" w:lineRule="exact"/>
        <w:rPr>
          <w:rFonts w:ascii="Arial" w:cs="Arial" w:eastAsia="Arial" w:hAnsi="Arial"/>
          <w:sz w:val="18"/>
          <w:szCs w:val="18"/>
          <w:b w:val="1"/>
          <w:bCs w:val="1"/>
          <w:u w:val="single" w:color="auto"/>
          <w:color w:val="auto"/>
        </w:rPr>
      </w:pPr>
    </w:p>
    <w:p>
      <w:pPr>
        <w:ind w:left="6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provided in Section 7.1.</w:t>
      </w:r>
    </w:p>
    <w:p>
      <w:pPr>
        <w:spacing w:after="0" w:line="211" w:lineRule="exact"/>
        <w:rPr>
          <w:sz w:val="20"/>
          <w:szCs w:val="20"/>
          <w:color w:val="auto"/>
        </w:rPr>
      </w:pPr>
    </w:p>
    <w:p>
      <w:pPr>
        <w:ind w:left="660"/>
        <w:spacing w:after="0"/>
        <w:tabs>
          <w:tab w:leader="none" w:pos="1000" w:val="left"/>
          <w:tab w:leader="none" w:pos="1380" w:val="left"/>
        </w:tabs>
        <w:rPr>
          <w:sz w:val="20"/>
          <w:szCs w:val="20"/>
          <w:color w:val="auto"/>
        </w:rPr>
      </w:pPr>
      <w:r>
        <w:rPr>
          <w:rFonts w:ascii="Arial" w:cs="Arial" w:eastAsia="Arial" w:hAnsi="Arial"/>
          <w:sz w:val="18"/>
          <w:szCs w:val="18"/>
          <w:color w:val="auto"/>
        </w:rPr>
        <w:t>__</w:t>
        <w:tab/>
        <w:t>(b)</w:t>
      </w:r>
      <w:r>
        <w:rPr>
          <w:sz w:val="20"/>
          <w:szCs w:val="20"/>
          <w:color w:val="auto"/>
        </w:rPr>
        <w:tab/>
      </w:r>
      <w:r>
        <w:rPr>
          <w:rFonts w:ascii="Arial" w:cs="Arial" w:eastAsia="Arial" w:hAnsi="Arial"/>
          <w:sz w:val="16"/>
          <w:szCs w:val="16"/>
          <w:color w:val="auto"/>
        </w:rPr>
        <w:t xml:space="preserve">A Participant becoming Disabled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a Qualifying Distribution Event.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5.3 Death of a Participant: </w:t>
      </w:r>
      <w:r>
        <w:rPr>
          <w:rFonts w:ascii="Arial" w:cs="Arial" w:eastAsia="Arial" w:hAnsi="Arial"/>
          <w:sz w:val="17"/>
          <w:szCs w:val="17"/>
          <w:color w:val="auto"/>
        </w:rPr>
        <w:t>If the Participant dies while in Service, the Employer shall pay a benefit to the Beneficiary in an amount equal to the vested</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in the Deferred Compensation Account of the Participant determined as of the date payments to the Beneficiary commence, plus:</w:t>
      </w:r>
    </w:p>
    <w:p>
      <w:pPr>
        <w:spacing w:after="0" w:line="88" w:lineRule="exact"/>
        <w:rPr>
          <w:sz w:val="20"/>
          <w:szCs w:val="20"/>
          <w:color w:val="auto"/>
        </w:rPr>
      </w:pPr>
    </w:p>
    <w:p>
      <w:pPr>
        <w:ind w:left="660"/>
        <w:spacing w:after="0"/>
        <w:tabs>
          <w:tab w:leader="none" w:pos="1000" w:val="left"/>
          <w:tab w:leader="none" w:pos="1360" w:val="left"/>
        </w:tabs>
        <w:rPr>
          <w:sz w:val="20"/>
          <w:szCs w:val="20"/>
          <w:color w:val="auto"/>
        </w:rPr>
      </w:pPr>
      <w:r>
        <w:rPr>
          <w:rFonts w:ascii="Arial" w:cs="Arial" w:eastAsia="Arial" w:hAnsi="Arial"/>
          <w:sz w:val="18"/>
          <w:szCs w:val="18"/>
          <w:color w:val="auto"/>
        </w:rPr>
        <w:t>__</w:t>
        <w:tab/>
        <w:t>(a)</w:t>
      </w:r>
      <w:r>
        <w:rPr>
          <w:sz w:val="20"/>
          <w:szCs w:val="20"/>
          <w:color w:val="auto"/>
        </w:rPr>
        <w:tab/>
      </w:r>
      <w:r>
        <w:rPr>
          <w:rFonts w:ascii="Arial" w:cs="Arial" w:eastAsia="Arial" w:hAnsi="Arial"/>
          <w:sz w:val="16"/>
          <w:szCs w:val="16"/>
          <w:color w:val="auto"/>
        </w:rPr>
        <w:t>An amount to be determined by the Committee.</w:t>
      </w:r>
    </w:p>
    <w:p>
      <w:pPr>
        <w:spacing w:after="0" w:line="225" w:lineRule="exact"/>
        <w:rPr>
          <w:sz w:val="20"/>
          <w:szCs w:val="20"/>
          <w:color w:val="auto"/>
        </w:rPr>
      </w:pPr>
    </w:p>
    <w:p>
      <w:pPr>
        <w:ind w:left="1100" w:hanging="444"/>
        <w:spacing w:after="0"/>
        <w:tabs>
          <w:tab w:leader="none" w:pos="1100" w:val="left"/>
        </w:tabs>
        <w:numPr>
          <w:ilvl w:val="0"/>
          <w:numId w:val="40"/>
        </w:numPr>
        <w:rPr>
          <w:rFonts w:ascii="Arial" w:cs="Arial" w:eastAsia="Arial" w:hAnsi="Arial"/>
          <w:sz w:val="18"/>
          <w:szCs w:val="18"/>
          <w:b w:val="1"/>
          <w:bCs w:val="1"/>
          <w:u w:val="single" w:color="auto"/>
          <w:color w:val="auto"/>
        </w:rPr>
      </w:pPr>
      <w:r>
        <w:rPr>
          <w:rFonts w:ascii="Arial" w:cs="Arial" w:eastAsia="Arial" w:hAnsi="Arial"/>
          <w:sz w:val="18"/>
          <w:szCs w:val="18"/>
          <w:color w:val="auto"/>
        </w:rPr>
        <w:t>(b)  No additional benefits.</w:t>
      </w:r>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 xml:space="preserve">In-Service or Education Distributions: </w:t>
      </w:r>
      <w:r>
        <w:rPr>
          <w:rFonts w:ascii="Arial" w:cs="Arial" w:eastAsia="Arial" w:hAnsi="Arial"/>
          <w:sz w:val="16"/>
          <w:szCs w:val="16"/>
          <w:color w:val="auto"/>
        </w:rPr>
        <w:t>In-Service and Education Accounts are permitted under the Plan:</w:t>
      </w:r>
    </w:p>
    <w:p>
      <w:pPr>
        <w:spacing w:after="0" w:line="175" w:lineRule="exact"/>
        <w:rPr>
          <w:sz w:val="20"/>
          <w:szCs w:val="20"/>
          <w:color w:val="auto"/>
        </w:rPr>
      </w:pPr>
    </w:p>
    <w:p>
      <w:pPr>
        <w:ind w:left="1100" w:hanging="444"/>
        <w:spacing w:after="0"/>
        <w:tabs>
          <w:tab w:leader="none" w:pos="1100" w:val="left"/>
        </w:tabs>
        <w:numPr>
          <w:ilvl w:val="0"/>
          <w:numId w:val="41"/>
        </w:numPr>
        <w:rPr>
          <w:rFonts w:ascii="Arial" w:cs="Arial" w:eastAsia="Arial" w:hAnsi="Arial"/>
          <w:sz w:val="18"/>
          <w:szCs w:val="18"/>
          <w:b w:val="1"/>
          <w:bCs w:val="1"/>
          <w:u w:val="single" w:color="auto"/>
          <w:color w:val="auto"/>
        </w:rPr>
      </w:pPr>
      <w:r>
        <w:rPr>
          <w:rFonts w:ascii="Arial" w:cs="Arial" w:eastAsia="Arial" w:hAnsi="Arial"/>
          <w:sz w:val="18"/>
          <w:szCs w:val="18"/>
          <w:color w:val="auto"/>
        </w:rPr>
        <w:t>(a)  In-Service Accounts are allowed with respect to:</w:t>
      </w:r>
    </w:p>
    <w:p>
      <w:pPr>
        <w:spacing w:after="0" w:line="23" w:lineRule="exact"/>
        <w:rPr>
          <w:sz w:val="20"/>
          <w:szCs w:val="20"/>
          <w:color w:val="auto"/>
        </w:rPr>
      </w:pPr>
    </w:p>
    <w:p>
      <w:pPr>
        <w:ind w:left="2400" w:hanging="447"/>
        <w:spacing w:after="0"/>
        <w:tabs>
          <w:tab w:leader="none" w:pos="2400" w:val="left"/>
        </w:tabs>
        <w:numPr>
          <w:ilvl w:val="0"/>
          <w:numId w:val="42"/>
        </w:numPr>
        <w:rPr>
          <w:rFonts w:ascii="Arial" w:cs="Arial" w:eastAsia="Arial" w:hAnsi="Arial"/>
          <w:sz w:val="18"/>
          <w:szCs w:val="18"/>
          <w:b w:val="1"/>
          <w:bCs w:val="1"/>
          <w:u w:val="single" w:color="auto"/>
          <w:color w:val="auto"/>
        </w:rPr>
      </w:pPr>
      <w:r>
        <w:rPr>
          <w:rFonts w:ascii="Arial" w:cs="Arial" w:eastAsia="Arial" w:hAnsi="Arial"/>
          <w:sz w:val="18"/>
          <w:szCs w:val="18"/>
          <w:color w:val="auto"/>
        </w:rPr>
        <w:t>Participant Deferral Credits only.</w:t>
      </w:r>
    </w:p>
    <w:p>
      <w:pPr>
        <w:spacing w:after="0" w:line="9"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Employer Credits only.</w:t>
      </w:r>
    </w:p>
    <w:p>
      <w:pPr>
        <w:spacing w:after="0" w:line="9"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Participant Deferral and Employer Credits.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In-service distributions may be made in the following manner:</w:t>
      </w:r>
    </w:p>
    <w:p>
      <w:pPr>
        <w:spacing w:after="0" w:line="23" w:lineRule="exact"/>
        <w:rPr>
          <w:sz w:val="20"/>
          <w:szCs w:val="20"/>
          <w:color w:val="auto"/>
        </w:rPr>
      </w:pPr>
    </w:p>
    <w:p>
      <w:pPr>
        <w:ind w:left="2400" w:hanging="447"/>
        <w:spacing w:after="0"/>
        <w:tabs>
          <w:tab w:leader="none" w:pos="2400" w:val="left"/>
        </w:tabs>
        <w:numPr>
          <w:ilvl w:val="0"/>
          <w:numId w:val="43"/>
        </w:numPr>
        <w:rPr>
          <w:rFonts w:ascii="Arial" w:cs="Arial" w:eastAsia="Arial" w:hAnsi="Arial"/>
          <w:sz w:val="18"/>
          <w:szCs w:val="18"/>
          <w:b w:val="1"/>
          <w:bCs w:val="1"/>
          <w:u w:val="single" w:color="auto"/>
          <w:color w:val="auto"/>
        </w:rPr>
      </w:pPr>
      <w:r>
        <w:rPr>
          <w:rFonts w:ascii="Arial" w:cs="Arial" w:eastAsia="Arial" w:hAnsi="Arial"/>
          <w:sz w:val="18"/>
          <w:szCs w:val="18"/>
          <w:color w:val="auto"/>
        </w:rPr>
        <w:t>Single lump sum payment.</w:t>
      </w:r>
    </w:p>
    <w:p>
      <w:pPr>
        <w:spacing w:after="0" w:line="9" w:lineRule="exact"/>
        <w:rPr>
          <w:sz w:val="20"/>
          <w:szCs w:val="20"/>
          <w:color w:val="auto"/>
        </w:rPr>
      </w:pPr>
    </w:p>
    <w:p>
      <w:pPr>
        <w:ind w:left="2380" w:hanging="427"/>
        <w:spacing w:after="0"/>
        <w:tabs>
          <w:tab w:leader="none" w:pos="2380" w:val="left"/>
        </w:tabs>
        <w:numPr>
          <w:ilvl w:val="0"/>
          <w:numId w:val="44"/>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Annual installments over a term certain not to exceed </w:t>
      </w:r>
      <w:r>
        <w:rPr>
          <w:rFonts w:ascii="Arial" w:cs="Arial" w:eastAsia="Arial" w:hAnsi="Arial"/>
          <w:sz w:val="18"/>
          <w:szCs w:val="18"/>
          <w:b w:val="1"/>
          <w:bCs w:val="1"/>
          <w:u w:val="single" w:color="auto"/>
          <w:color w:val="auto"/>
        </w:rPr>
        <w:t>5</w:t>
      </w:r>
      <w:r>
        <w:rPr>
          <w:rFonts w:ascii="Arial" w:cs="Arial" w:eastAsia="Arial" w:hAnsi="Arial"/>
          <w:sz w:val="18"/>
          <w:szCs w:val="18"/>
          <w:color w:val="auto"/>
        </w:rPr>
        <w:t xml:space="preserve"> years.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ectPr>
          <w:pgSz w:w="11900" w:h="16838" w:orient="portrait"/>
          <w:cols w:equalWidth="0" w:num="1">
            <w:col w:w="11120"/>
          </w:cols>
          <w:pgMar w:left="240" w:top="878" w:right="539" w:bottom="1440" w:gutter="0" w:footer="0" w:header="0"/>
        </w:sectPr>
      </w:pP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20"/>
          </w:cols>
          <w:pgMar w:left="240" w:top="878" w:right="539" w:bottom="1440" w:gutter="0" w:footer="0" w:header="0"/>
          <w:type w:val="continuous"/>
        </w:sectPr>
      </w:pPr>
    </w:p>
    <w:bookmarkStart w:id="107" w:name="page108"/>
    <w:bookmarkEnd w:id="107"/>
    <w:p>
      <w:pPr>
        <w:ind w:left="1960"/>
        <w:spacing w:after="0"/>
        <w:rPr>
          <w:sz w:val="20"/>
          <w:szCs w:val="20"/>
          <w:color w:val="auto"/>
        </w:rPr>
      </w:pPr>
      <w:r>
        <w:rPr>
          <w:rFonts w:ascii="Arial" w:cs="Arial" w:eastAsia="Arial" w:hAnsi="Arial"/>
          <w:sz w:val="18"/>
          <w:szCs w:val="18"/>
          <w:color w:val="auto"/>
        </w:rPr>
        <w:t>Education Accounts are allowed with respect to:</w:t>
      </w:r>
    </w:p>
    <w:p>
      <w:pPr>
        <w:spacing w:after="0" w:line="23"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Participant Deferral Credits only.</w:t>
      </w:r>
    </w:p>
    <w:p>
      <w:pPr>
        <w:spacing w:after="0" w:line="9"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Employer Credits only.</w:t>
      </w:r>
    </w:p>
    <w:p>
      <w:pPr>
        <w:spacing w:after="0" w:line="9"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Participant Deferral and Employer Credits.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Education Accounts distributions may be made in the following manner:</w:t>
      </w:r>
    </w:p>
    <w:p>
      <w:pPr>
        <w:spacing w:after="0" w:line="23"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Single lump sum payment.</w:t>
      </w:r>
    </w:p>
    <w:p>
      <w:pPr>
        <w:spacing w:after="0" w:line="9" w:lineRule="exact"/>
        <w:rPr>
          <w:sz w:val="20"/>
          <w:szCs w:val="20"/>
          <w:color w:val="auto"/>
        </w:rPr>
      </w:pPr>
    </w:p>
    <w:p>
      <w:pPr>
        <w:ind w:left="1960"/>
        <w:spacing w:after="0"/>
        <w:tabs>
          <w:tab w:leader="none" w:pos="228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Annual installments over a term certain not to exceed __ years.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applicable, amounts not vested at the time payments due under this Section cease will be:</w:t>
      </w:r>
    </w:p>
    <w:p>
      <w:pPr>
        <w:spacing w:after="0" w:line="23"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Forfeited.</w:t>
      </w:r>
    </w:p>
    <w:p>
      <w:pPr>
        <w:spacing w:after="0" w:line="9"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Distributed at Separation from Service if vested at that time.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gridSpan w:val="2"/>
          </w:tcPr>
          <w:p>
            <w:pPr>
              <w:ind w:left="660"/>
              <w:spacing w:after="0"/>
              <w:rPr>
                <w:sz w:val="20"/>
                <w:szCs w:val="20"/>
                <w:color w:val="auto"/>
              </w:rPr>
            </w:pPr>
            <w:r>
              <w:rPr>
                <w:rFonts w:ascii="Arial" w:cs="Arial" w:eastAsia="Arial" w:hAnsi="Arial"/>
                <w:sz w:val="18"/>
                <w:szCs w:val="18"/>
                <w:color w:val="auto"/>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5860" w:type="dxa"/>
            <w:vAlign w:val="bottom"/>
            <w:gridSpan w:val="3"/>
          </w:tcPr>
          <w:p>
            <w:pPr>
              <w:ind w:left="80"/>
              <w:spacing w:after="0"/>
              <w:rPr>
                <w:sz w:val="20"/>
                <w:szCs w:val="20"/>
                <w:color w:val="auto"/>
              </w:rPr>
            </w:pPr>
            <w:r>
              <w:rPr>
                <w:rFonts w:ascii="Arial" w:cs="Arial" w:eastAsia="Arial" w:hAnsi="Arial"/>
                <w:sz w:val="18"/>
                <w:szCs w:val="18"/>
                <w:color w:val="auto"/>
              </w:rPr>
              <w:t>No In-Service or Education Distributions permitted.</w:t>
            </w:r>
          </w:p>
        </w:tc>
        <w:tc>
          <w:tcPr>
            <w:tcW w:w="2720" w:type="dxa"/>
            <w:vAlign w:val="bottom"/>
          </w:tcPr>
          <w:p>
            <w:pPr>
              <w:spacing w:after="0"/>
              <w:rPr>
                <w:sz w:val="20"/>
                <w:szCs w:val="20"/>
                <w:color w:val="auto"/>
              </w:rPr>
            </w:pPr>
          </w:p>
        </w:tc>
      </w:tr>
      <w:tr>
        <w:trPr>
          <w:trHeight w:val="648"/>
        </w:trPr>
        <w:tc>
          <w:tcPr>
            <w:tcW w:w="7180" w:type="dxa"/>
            <w:vAlign w:val="bottom"/>
            <w:gridSpan w:val="6"/>
          </w:tcPr>
          <w:p>
            <w:pPr>
              <w:spacing w:after="0"/>
              <w:rPr>
                <w:sz w:val="20"/>
                <w:szCs w:val="20"/>
                <w:color w:val="auto"/>
              </w:rPr>
            </w:pPr>
            <w:r>
              <w:rPr>
                <w:rFonts w:ascii="Arial" w:cs="Arial" w:eastAsia="Arial" w:hAnsi="Arial"/>
                <w:sz w:val="18"/>
                <w:szCs w:val="18"/>
                <w:b w:val="1"/>
                <w:bCs w:val="1"/>
                <w:color w:val="auto"/>
              </w:rPr>
              <w:t>5.5   Change in Control Event:</w:t>
            </w:r>
          </w:p>
        </w:tc>
        <w:tc>
          <w:tcPr>
            <w:tcW w:w="2720" w:type="dxa"/>
            <w:vAlign w:val="bottom"/>
          </w:tcPr>
          <w:p>
            <w:pPr>
              <w:spacing w:after="0"/>
              <w:rPr>
                <w:sz w:val="24"/>
                <w:szCs w:val="24"/>
                <w:color w:val="auto"/>
              </w:rPr>
            </w:pPr>
          </w:p>
        </w:tc>
      </w:tr>
      <w:tr>
        <w:trPr>
          <w:trHeight w:val="338"/>
        </w:trPr>
        <w:tc>
          <w:tcPr>
            <w:tcW w:w="66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XX</w:t>
            </w:r>
          </w:p>
        </w:tc>
        <w:tc>
          <w:tcPr>
            <w:tcW w:w="6260" w:type="dxa"/>
            <w:vAlign w:val="bottom"/>
            <w:gridSpan w:val="4"/>
          </w:tcPr>
          <w:p>
            <w:pPr>
              <w:ind w:left="180"/>
              <w:spacing w:after="0"/>
              <w:rPr>
                <w:sz w:val="20"/>
                <w:szCs w:val="20"/>
                <w:color w:val="auto"/>
              </w:rPr>
            </w:pPr>
            <w:r>
              <w:rPr>
                <w:rFonts w:ascii="Arial" w:cs="Arial" w:eastAsia="Arial" w:hAnsi="Arial"/>
                <w:sz w:val="18"/>
                <w:szCs w:val="18"/>
                <w:color w:val="auto"/>
                <w:w w:val="98"/>
              </w:rPr>
              <w:t>(a)  Participants may elect upon initial enrollment to have accounts distributed</w:t>
            </w:r>
          </w:p>
        </w:tc>
        <w:tc>
          <w:tcPr>
            <w:tcW w:w="2720" w:type="dxa"/>
            <w:vAlign w:val="bottom"/>
          </w:tcPr>
          <w:p>
            <w:pPr>
              <w:ind w:left="360"/>
              <w:spacing w:after="0"/>
              <w:rPr>
                <w:sz w:val="20"/>
                <w:szCs w:val="20"/>
                <w:color w:val="auto"/>
              </w:rPr>
            </w:pPr>
            <w:r>
              <w:rPr>
                <w:rFonts w:ascii="Arial" w:cs="Arial" w:eastAsia="Arial" w:hAnsi="Arial"/>
                <w:sz w:val="18"/>
                <w:szCs w:val="18"/>
                <w:color w:val="auto"/>
                <w:w w:val="89"/>
              </w:rPr>
              <w:t>upon a Change in Control Event.</w:t>
            </w:r>
          </w:p>
        </w:tc>
      </w:tr>
      <w:tr>
        <w:trPr>
          <w:trHeight w:val="412"/>
        </w:trPr>
        <w:tc>
          <w:tcPr>
            <w:tcW w:w="920" w:type="dxa"/>
            <w:vAlign w:val="bottom"/>
            <w:gridSpan w:val="2"/>
          </w:tcPr>
          <w:p>
            <w:pPr>
              <w:ind w:left="660"/>
              <w:spacing w:after="0"/>
              <w:rPr>
                <w:sz w:val="20"/>
                <w:szCs w:val="20"/>
                <w:color w:val="auto"/>
              </w:rPr>
            </w:pPr>
            <w:r>
              <w:rPr>
                <w:rFonts w:ascii="Arial" w:cs="Arial" w:eastAsia="Arial" w:hAnsi="Arial"/>
                <w:sz w:val="18"/>
                <w:szCs w:val="18"/>
                <w:color w:val="auto"/>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5860" w:type="dxa"/>
            <w:vAlign w:val="bottom"/>
            <w:gridSpan w:val="3"/>
          </w:tcPr>
          <w:p>
            <w:pPr>
              <w:ind w:left="80"/>
              <w:spacing w:after="0"/>
              <w:rPr>
                <w:sz w:val="20"/>
                <w:szCs w:val="20"/>
                <w:color w:val="auto"/>
              </w:rPr>
            </w:pPr>
            <w:r>
              <w:rPr>
                <w:rFonts w:ascii="Arial" w:cs="Arial" w:eastAsia="Arial" w:hAnsi="Arial"/>
                <w:sz w:val="18"/>
                <w:szCs w:val="18"/>
                <w:color w:val="auto"/>
              </w:rPr>
              <w:t>A Change in Control shall not be a Qualifying Distribution Event.</w:t>
            </w:r>
          </w:p>
        </w:tc>
        <w:tc>
          <w:tcPr>
            <w:tcW w:w="27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6"/>
          <w:szCs w:val="16"/>
          <w:b w:val="1"/>
          <w:bCs w:val="1"/>
          <w:color w:val="auto"/>
        </w:rPr>
        <w:t>Unforeseeable Emergency Event:</w:t>
      </w:r>
    </w:p>
    <w:p>
      <w:pPr>
        <w:spacing w:after="0" w:line="165"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u w:val="single" w:color="auto"/>
          <w:color w:val="auto"/>
        </w:rPr>
      </w:pPr>
      <w:r>
        <w:rPr>
          <w:rFonts w:ascii="Arial" w:cs="Arial" w:eastAsia="Arial" w:hAnsi="Arial"/>
          <w:sz w:val="18"/>
          <w:szCs w:val="18"/>
          <w:color w:val="auto"/>
        </w:rPr>
        <w:t>(a)  Participants may apply to have accounts distributed upon an Unforeseeable Emergency event.</w:t>
      </w:r>
    </w:p>
    <w:p>
      <w:pPr>
        <w:spacing w:after="0" w:line="225" w:lineRule="exact"/>
        <w:rPr>
          <w:sz w:val="20"/>
          <w:szCs w:val="20"/>
          <w:color w:val="auto"/>
        </w:rPr>
      </w:pPr>
    </w:p>
    <w:p>
      <w:pPr>
        <w:ind w:left="660"/>
        <w:spacing w:after="0"/>
        <w:tabs>
          <w:tab w:leader="none" w:pos="1280" w:val="left"/>
          <w:tab w:leader="none" w:pos="166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 xml:space="preserve">An Unforeseeable Emergency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a Qualifying Distribution Event.</w:t>
      </w:r>
    </w:p>
    <w:p>
      <w:pPr>
        <w:spacing w:after="0" w:line="200" w:lineRule="exact"/>
        <w:rPr>
          <w:sz w:val="20"/>
          <w:szCs w:val="20"/>
          <w:color w:val="auto"/>
        </w:rPr>
      </w:pPr>
    </w:p>
    <w:p>
      <w:pPr>
        <w:spacing w:after="0" w:line="237" w:lineRule="exact"/>
        <w:rPr>
          <w:sz w:val="20"/>
          <w:szCs w:val="20"/>
          <w:color w:val="auto"/>
        </w:rPr>
      </w:pPr>
    </w:p>
    <w:p>
      <w:pPr>
        <w:ind w:right="3519" w:firstLine="8"/>
        <w:spacing w:after="0" w:line="313" w:lineRule="auto"/>
        <w:tabs>
          <w:tab w:leader="none" w:pos="312"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An Active Participant shall be fully vested in the Employer Credits made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Deferred Compensation Account upon the first to occur of the following events: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(a)</w:t>
            </w:r>
          </w:p>
        </w:tc>
        <w:tc>
          <w:tcPr>
            <w:tcW w:w="4280" w:type="dxa"/>
            <w:vAlign w:val="bottom"/>
          </w:tcPr>
          <w:p>
            <w:pPr>
              <w:ind w:left="80"/>
              <w:spacing w:after="0"/>
              <w:rPr>
                <w:sz w:val="20"/>
                <w:szCs w:val="20"/>
                <w:color w:val="auto"/>
              </w:rPr>
            </w:pPr>
            <w:r>
              <w:rPr>
                <w:rFonts w:ascii="Arial" w:cs="Arial" w:eastAsia="Arial" w:hAnsi="Arial"/>
                <w:sz w:val="18"/>
                <w:szCs w:val="18"/>
                <w:color w:val="auto"/>
              </w:rPr>
              <w:t>Normal Retirement Age.</w:t>
            </w: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4280" w:type="dxa"/>
            <w:vAlign w:val="bottom"/>
          </w:tcPr>
          <w:p>
            <w:pPr>
              <w:ind w:left="80"/>
              <w:spacing w:after="0"/>
              <w:rPr>
                <w:sz w:val="20"/>
                <w:szCs w:val="20"/>
                <w:color w:val="auto"/>
              </w:rPr>
            </w:pPr>
            <w:r>
              <w:rPr>
                <w:rFonts w:ascii="Arial" w:cs="Arial" w:eastAsia="Arial" w:hAnsi="Arial"/>
                <w:sz w:val="18"/>
                <w:szCs w:val="18"/>
                <w:color w:val="auto"/>
              </w:rPr>
              <w:t>Death.</w:t>
            </w: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(c)</w:t>
            </w:r>
          </w:p>
        </w:tc>
        <w:tc>
          <w:tcPr>
            <w:tcW w:w="4280" w:type="dxa"/>
            <w:vAlign w:val="bottom"/>
          </w:tcPr>
          <w:p>
            <w:pPr>
              <w:ind w:left="80"/>
              <w:spacing w:after="0"/>
              <w:rPr>
                <w:sz w:val="20"/>
                <w:szCs w:val="20"/>
                <w:color w:val="auto"/>
              </w:rPr>
            </w:pPr>
            <w:r>
              <w:rPr>
                <w:rFonts w:ascii="Arial" w:cs="Arial" w:eastAsia="Arial" w:hAnsi="Arial"/>
                <w:sz w:val="18"/>
                <w:szCs w:val="18"/>
                <w:color w:val="auto"/>
              </w:rPr>
              <w:t>Disability.</w:t>
            </w: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(d)</w:t>
            </w:r>
          </w:p>
        </w:tc>
        <w:tc>
          <w:tcPr>
            <w:tcW w:w="4280" w:type="dxa"/>
            <w:vAlign w:val="bottom"/>
          </w:tcPr>
          <w:p>
            <w:pPr>
              <w:ind w:left="80"/>
              <w:spacing w:after="0"/>
              <w:rPr>
                <w:sz w:val="20"/>
                <w:szCs w:val="20"/>
                <w:color w:val="auto"/>
              </w:rPr>
            </w:pPr>
            <w:r>
              <w:rPr>
                <w:rFonts w:ascii="Arial" w:cs="Arial" w:eastAsia="Arial" w:hAnsi="Arial"/>
                <w:sz w:val="18"/>
                <w:szCs w:val="18"/>
                <w:color w:val="auto"/>
              </w:rPr>
              <w:t>Change in Control Event.</w:t>
            </w: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(e)</w:t>
            </w:r>
          </w:p>
        </w:tc>
        <w:tc>
          <w:tcPr>
            <w:tcW w:w="4280" w:type="dxa"/>
            <w:vAlign w:val="bottom"/>
          </w:tcPr>
          <w:p>
            <w:pPr>
              <w:ind w:left="80"/>
              <w:spacing w:after="0"/>
              <w:rPr>
                <w:sz w:val="20"/>
                <w:szCs w:val="20"/>
                <w:color w:val="auto"/>
              </w:rPr>
            </w:pPr>
            <w:r>
              <w:rPr>
                <w:rFonts w:ascii="Arial" w:cs="Arial" w:eastAsia="Arial" w:hAnsi="Arial"/>
                <w:sz w:val="18"/>
                <w:szCs w:val="18"/>
                <w:color w:val="auto"/>
                <w:w w:val="90"/>
              </w:rPr>
              <w:t>Satisfaction of the vesting requirement as specified below:</w:t>
            </w:r>
          </w:p>
        </w:tc>
      </w:tr>
    </w:tbl>
    <w:p>
      <w:pPr>
        <w:spacing w:after="0" w:line="198" w:lineRule="exact"/>
        <w:rPr>
          <w:sz w:val="20"/>
          <w:szCs w:val="20"/>
          <w:color w:val="auto"/>
        </w:rPr>
      </w:pPr>
    </w:p>
    <w:p>
      <w:pPr>
        <w:ind w:left="1960" w:right="5719" w:hanging="655"/>
        <w:spacing w:after="0" w:line="533" w:lineRule="auto"/>
        <w:tabs>
          <w:tab w:leader="none" w:pos="1752" w:val="left"/>
        </w:tabs>
        <w:numPr>
          <w:ilvl w:val="0"/>
          <w:numId w:val="47"/>
        </w:numPr>
        <w:rPr>
          <w:rFonts w:ascii="Arial" w:cs="Arial" w:eastAsia="Arial" w:hAnsi="Arial"/>
          <w:sz w:val="17"/>
          <w:szCs w:val="17"/>
          <w:b w:val="1"/>
          <w:bCs w:val="1"/>
          <w:u w:val="single" w:color="auto"/>
          <w:color w:val="auto"/>
        </w:rPr>
      </w:pPr>
      <w:r>
        <w:rPr>
          <w:rFonts w:ascii="Arial" w:cs="Arial" w:eastAsia="Arial" w:hAnsi="Arial"/>
          <w:sz w:val="17"/>
          <w:szCs w:val="17"/>
          <w:b w:val="1"/>
          <w:bCs w:val="1"/>
          <w:color w:val="auto"/>
        </w:rPr>
        <w:t xml:space="preserve">Employer Discretionary Credits: </w:t>
      </w:r>
      <w:r>
        <w:rPr>
          <w:rFonts w:ascii="Arial" w:cs="Arial" w:eastAsia="Arial" w:hAnsi="Arial"/>
          <w:sz w:val="17"/>
          <w:szCs w:val="17"/>
          <w:color w:val="auto"/>
        </w:rPr>
        <w:t>__ (i) Immediate 100% vesting.</w:t>
      </w:r>
    </w:p>
    <w:p>
      <w:pPr>
        <w:ind w:left="1960"/>
        <w:spacing w:after="0"/>
        <w:tabs>
          <w:tab w:leader="none" w:pos="2300" w:val="left"/>
          <w:tab w:leader="none" w:pos="2700" w:val="left"/>
        </w:tabs>
        <w:rPr>
          <w:sz w:val="20"/>
          <w:szCs w:val="20"/>
          <w:color w:val="auto"/>
        </w:rPr>
      </w:pPr>
      <w:r>
        <w:rPr>
          <w:rFonts w:ascii="Arial" w:cs="Arial" w:eastAsia="Arial" w:hAnsi="Arial"/>
          <w:sz w:val="18"/>
          <w:szCs w:val="18"/>
          <w:color w:val="auto"/>
        </w:rPr>
        <w:t>__</w:t>
        <w:tab/>
        <w:t>(ii)</w:t>
      </w:r>
      <w:r>
        <w:rPr>
          <w:sz w:val="20"/>
          <w:szCs w:val="20"/>
          <w:color w:val="auto"/>
        </w:rPr>
        <w:tab/>
      </w:r>
      <w:r>
        <w:rPr>
          <w:rFonts w:ascii="Arial" w:cs="Arial" w:eastAsia="Arial" w:hAnsi="Arial"/>
          <w:sz w:val="16"/>
          <w:szCs w:val="16"/>
          <w:color w:val="auto"/>
        </w:rPr>
        <w:t>100% vesting after __ Years of Service.</w:t>
      </w:r>
    </w:p>
    <w:p>
      <w:pPr>
        <w:spacing w:after="0" w:line="225" w:lineRule="exact"/>
        <w:rPr>
          <w:sz w:val="20"/>
          <w:szCs w:val="20"/>
          <w:color w:val="auto"/>
        </w:rPr>
      </w:pPr>
    </w:p>
    <w:p>
      <w:pPr>
        <w:ind w:left="1960"/>
        <w:spacing w:after="0"/>
        <w:tabs>
          <w:tab w:leader="none" w:pos="2300" w:val="left"/>
          <w:tab w:leader="none" w:pos="2740" w:val="left"/>
        </w:tabs>
        <w:rPr>
          <w:sz w:val="20"/>
          <w:szCs w:val="20"/>
          <w:color w:val="auto"/>
        </w:rPr>
      </w:pPr>
      <w:r>
        <w:rPr>
          <w:rFonts w:ascii="Arial" w:cs="Arial" w:eastAsia="Arial" w:hAnsi="Arial"/>
          <w:sz w:val="18"/>
          <w:szCs w:val="18"/>
          <w:color w:val="auto"/>
        </w:rPr>
        <w:t>__</w:t>
        <w:tab/>
        <w:t>(iii)</w:t>
      </w:r>
      <w:r>
        <w:rPr>
          <w:sz w:val="20"/>
          <w:szCs w:val="20"/>
          <w:color w:val="auto"/>
        </w:rPr>
        <w:tab/>
      </w:r>
      <w:r>
        <w:rPr>
          <w:rFonts w:ascii="Arial" w:cs="Arial" w:eastAsia="Arial" w:hAnsi="Arial"/>
          <w:sz w:val="16"/>
          <w:szCs w:val="16"/>
          <w:color w:val="auto"/>
        </w:rPr>
        <w:t>100% vesting at age __.</w:t>
      </w:r>
    </w:p>
    <w:p>
      <w:pPr>
        <w:sectPr>
          <w:pgSz w:w="11900" w:h="16838" w:orient="portrait"/>
          <w:cols w:equalWidth="0" w:num="1">
            <w:col w:w="10219"/>
          </w:cols>
          <w:pgMar w:left="240" w:top="881" w:right="1440" w:bottom="1440" w:gutter="0" w:footer="0" w:header="0"/>
        </w:sectPr>
      </w:pPr>
    </w:p>
    <w:p>
      <w:pPr>
        <w:spacing w:after="0" w:line="225" w:lineRule="exact"/>
        <w:rPr>
          <w:sz w:val="20"/>
          <w:szCs w:val="20"/>
          <w:color w:val="auto"/>
        </w:rPr>
      </w:pPr>
    </w:p>
    <w:p>
      <w:pPr>
        <w:jc w:val="right"/>
        <w:spacing w:after="0"/>
        <w:tabs>
          <w:tab w:leader="none" w:pos="1640" w:val="left"/>
          <w:tab w:leader="none" w:pos="1200" w:val="left"/>
        </w:tabs>
        <w:rPr>
          <w:sz w:val="20"/>
          <w:szCs w:val="20"/>
          <w:color w:val="auto"/>
        </w:rPr>
      </w:pPr>
      <w:r>
        <w:rPr>
          <w:rFonts w:ascii="Arial" w:cs="Arial" w:eastAsia="Arial" w:hAnsi="Arial"/>
          <w:sz w:val="18"/>
          <w:szCs w:val="18"/>
          <w:color w:val="auto"/>
        </w:rPr>
        <w:t>__</w:t>
        <w:tab/>
        <w:t>(iv)</w:t>
      </w:r>
      <w:r>
        <w:rPr>
          <w:sz w:val="20"/>
          <w:szCs w:val="20"/>
          <w:color w:val="auto"/>
        </w:rPr>
        <w:tab/>
      </w:r>
      <w:r>
        <w:rPr>
          <w:rFonts w:ascii="Arial" w:cs="Arial" w:eastAsia="Arial" w:hAnsi="Arial"/>
          <w:sz w:val="16"/>
          <w:szCs w:val="16"/>
          <w:color w:val="auto"/>
        </w:rPr>
        <w:t>Number of Years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Service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Percentage</w:t>
      </w:r>
    </w:p>
    <w:p>
      <w:pPr>
        <w:spacing w:after="0" w:line="234" w:lineRule="exact"/>
        <w:rPr>
          <w:sz w:val="20"/>
          <w:szCs w:val="20"/>
          <w:color w:val="auto"/>
        </w:rPr>
      </w:pPr>
    </w:p>
    <w:p>
      <w:pPr>
        <w:sectPr>
          <w:pgSz w:w="11900" w:h="16838" w:orient="portrait"/>
          <w:cols w:equalWidth="0" w:num="2">
            <w:col w:w="3980" w:space="540"/>
            <w:col w:w="5699"/>
          </w:cols>
          <w:pgMar w:left="240" w:top="881" w:right="1440"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881" w:right="1440" w:bottom="1440" w:gutter="0" w:footer="0" w:header="0"/>
          <w:type w:val="continuous"/>
        </w:sectPr>
      </w:pPr>
    </w:p>
    <w:bookmarkStart w:id="108" w:name="page109"/>
    <w:bookmarkEnd w:id="108"/>
    <w:p>
      <w:pPr>
        <w:ind w:left="3300"/>
        <w:spacing w:after="0"/>
        <w:tabs>
          <w:tab w:leader="none" w:pos="4720" w:val="left"/>
          <w:tab w:leader="none" w:pos="6520" w:val="left"/>
        </w:tabs>
        <w:rPr>
          <w:sz w:val="20"/>
          <w:szCs w:val="20"/>
          <w:color w:val="auto"/>
        </w:rPr>
      </w:pPr>
      <w:r>
        <w:rPr>
          <w:rFonts w:ascii="Arial" w:cs="Arial" w:eastAsia="Arial" w:hAnsi="Arial"/>
          <w:sz w:val="18"/>
          <w:szCs w:val="18"/>
          <w:color w:val="auto"/>
        </w:rPr>
        <w:t>Less than</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4">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5">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7">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6520" w:val="left"/>
        </w:tabs>
        <w:rPr>
          <w:sz w:val="20"/>
          <w:szCs w:val="20"/>
          <w:color w:val="auto"/>
        </w:rPr>
      </w:pPr>
      <w:r>
        <w:rPr>
          <w:rFonts w:ascii="Arial" w:cs="Arial" w:eastAsia="Arial" w:hAnsi="Arial"/>
          <w:sz w:val="18"/>
          <w:szCs w:val="18"/>
          <w:color w:val="auto"/>
        </w:rPr>
        <w:t>10 or more</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66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42" w:lineRule="exact"/>
        <w:rPr>
          <w:sz w:val="20"/>
          <w:szCs w:val="20"/>
          <w:color w:val="auto"/>
        </w:rPr>
      </w:pPr>
    </w:p>
    <w:p>
      <w:pPr>
        <w:ind w:left="3240" w:right="240" w:hanging="1287"/>
        <w:spacing w:after="0" w:line="282" w:lineRule="auto"/>
        <w:tabs>
          <w:tab w:leader="none" w:pos="2664" w:val="left"/>
        </w:tabs>
        <w:numPr>
          <w:ilvl w:val="0"/>
          <w:numId w:val="48"/>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(v) Other: </w:t>
      </w:r>
      <w:r>
        <w:rPr>
          <w:rFonts w:ascii="Arial" w:cs="Arial" w:eastAsia="Arial" w:hAnsi="Arial"/>
          <w:sz w:val="18"/>
          <w:szCs w:val="18"/>
          <w:b w:val="1"/>
          <w:bCs w:val="1"/>
          <w:u w:val="single" w:color="auto"/>
          <w:color w:val="auto"/>
        </w:rPr>
        <w:t>TBD Vesting- Vesting schedule to be determined by the Company at the time of the contribution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subject to approval by Principal.</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this purpose, Years of Service of a Participant shall be calculated from the date designated below:</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4420" w:type="dxa"/>
            <w:vAlign w:val="bottom"/>
          </w:tcPr>
          <w:p>
            <w:pPr>
              <w:ind w:left="100"/>
              <w:spacing w:after="0"/>
              <w:rPr>
                <w:sz w:val="20"/>
                <w:szCs w:val="20"/>
                <w:color w:val="auto"/>
              </w:rPr>
            </w:pPr>
            <w:r>
              <w:rPr>
                <w:rFonts w:ascii="Arial" w:cs="Arial" w:eastAsia="Arial" w:hAnsi="Arial"/>
                <w:sz w:val="18"/>
                <w:szCs w:val="18"/>
                <w:color w:val="auto"/>
              </w:rPr>
              <w:t>First day of Service.</w:t>
            </w:r>
          </w:p>
        </w:tc>
        <w:tc>
          <w:tcPr>
            <w:tcW w:w="4140" w:type="dxa"/>
            <w:vAlign w:val="bottom"/>
          </w:tcPr>
          <w:p>
            <w:pPr>
              <w:spacing w:after="0"/>
              <w:rPr>
                <w:sz w:val="20"/>
                <w:szCs w:val="20"/>
                <w:color w:val="auto"/>
              </w:rPr>
            </w:pP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4420" w:type="dxa"/>
            <w:vAlign w:val="bottom"/>
          </w:tcPr>
          <w:p>
            <w:pPr>
              <w:ind w:left="100"/>
              <w:spacing w:after="0"/>
              <w:rPr>
                <w:sz w:val="20"/>
                <w:szCs w:val="20"/>
                <w:color w:val="auto"/>
              </w:rPr>
            </w:pPr>
            <w:r>
              <w:rPr>
                <w:rFonts w:ascii="Arial" w:cs="Arial" w:eastAsia="Arial" w:hAnsi="Arial"/>
                <w:sz w:val="18"/>
                <w:szCs w:val="18"/>
                <w:color w:val="auto"/>
              </w:rPr>
              <w:t>Effective date of Plan participation.</w:t>
            </w:r>
          </w:p>
        </w:tc>
        <w:tc>
          <w:tcPr>
            <w:tcW w:w="4140" w:type="dxa"/>
            <w:vAlign w:val="bottom"/>
          </w:tcPr>
          <w:p>
            <w:pPr>
              <w:spacing w:after="0"/>
              <w:rPr>
                <w:sz w:val="24"/>
                <w:szCs w:val="24"/>
                <w:color w:val="auto"/>
              </w:rPr>
            </w:pPr>
          </w:p>
        </w:tc>
      </w:tr>
      <w:tr>
        <w:trPr>
          <w:trHeight w:val="418"/>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4420" w:type="dxa"/>
            <w:vAlign w:val="bottom"/>
          </w:tcPr>
          <w:p>
            <w:pPr>
              <w:ind w:left="100"/>
              <w:spacing w:after="0"/>
              <w:rPr>
                <w:sz w:val="20"/>
                <w:szCs w:val="20"/>
                <w:color w:val="auto"/>
              </w:rPr>
            </w:pPr>
            <w:r>
              <w:rPr>
                <w:rFonts w:ascii="Arial" w:cs="Arial" w:eastAsia="Arial" w:hAnsi="Arial"/>
                <w:sz w:val="18"/>
                <w:szCs w:val="18"/>
                <w:color w:val="auto"/>
                <w:w w:val="92"/>
              </w:rPr>
              <w:t>Each Crediting Date. Under this option (3), each Employer</w:t>
            </w:r>
          </w:p>
        </w:tc>
        <w:tc>
          <w:tcPr>
            <w:tcW w:w="4140" w:type="dxa"/>
            <w:vAlign w:val="bottom"/>
          </w:tcPr>
          <w:p>
            <w:pPr>
              <w:ind w:left="480"/>
              <w:spacing w:after="0"/>
              <w:rPr>
                <w:sz w:val="20"/>
                <w:szCs w:val="20"/>
                <w:color w:val="auto"/>
              </w:rPr>
            </w:pPr>
            <w:r>
              <w:rPr>
                <w:rFonts w:ascii="Arial" w:cs="Arial" w:eastAsia="Arial" w:hAnsi="Arial"/>
                <w:sz w:val="18"/>
                <w:szCs w:val="18"/>
                <w:color w:val="auto"/>
                <w:w w:val="88"/>
              </w:rPr>
              <w:t>Credit shall vest based on the Years of Service of a</w:t>
            </w:r>
          </w:p>
        </w:tc>
      </w:tr>
      <w:tr>
        <w:trPr>
          <w:trHeight w:val="216"/>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Participant from the Crediting Date on which each</w:t>
            </w:r>
          </w:p>
        </w:tc>
        <w:tc>
          <w:tcPr>
            <w:tcW w:w="4140" w:type="dxa"/>
            <w:vAlign w:val="bottom"/>
          </w:tcPr>
          <w:p>
            <w:pPr>
              <w:ind w:left="60"/>
              <w:spacing w:after="0"/>
              <w:rPr>
                <w:sz w:val="20"/>
                <w:szCs w:val="20"/>
                <w:color w:val="auto"/>
              </w:rPr>
            </w:pPr>
            <w:r>
              <w:rPr>
                <w:rFonts w:ascii="Arial" w:cs="Arial" w:eastAsia="Arial" w:hAnsi="Arial"/>
                <w:sz w:val="18"/>
                <w:szCs w:val="18"/>
                <w:color w:val="auto"/>
                <w:w w:val="99"/>
              </w:rPr>
              <w:t>Employer Discretionary Credit is made to his or her</w:t>
            </w:r>
          </w:p>
        </w:tc>
      </w:tr>
      <w:tr>
        <w:trPr>
          <w:trHeight w:val="230"/>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Deferred Compensation Account.</w:t>
            </w:r>
          </w:p>
        </w:tc>
        <w:tc>
          <w:tcPr>
            <w:tcW w:w="41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b w:val="1"/>
          <w:bCs w:val="1"/>
          <w:color w:val="auto"/>
        </w:rPr>
        <w:t>Other Employer Credits:</w:t>
      </w:r>
    </w:p>
    <w:p>
      <w:pPr>
        <w:spacing w:after="0" w:line="229"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(i)</w:t>
            </w:r>
          </w:p>
        </w:tc>
        <w:tc>
          <w:tcPr>
            <w:tcW w:w="1900" w:type="dxa"/>
            <w:vAlign w:val="bottom"/>
          </w:tcPr>
          <w:p>
            <w:pPr>
              <w:jc w:val="right"/>
              <w:spacing w:after="0"/>
              <w:rPr>
                <w:sz w:val="20"/>
                <w:szCs w:val="20"/>
                <w:color w:val="auto"/>
              </w:rPr>
            </w:pPr>
            <w:r>
              <w:rPr>
                <w:rFonts w:ascii="Arial" w:cs="Arial" w:eastAsia="Arial" w:hAnsi="Arial"/>
                <w:sz w:val="18"/>
                <w:szCs w:val="18"/>
                <w:color w:val="auto"/>
                <w:w w:val="92"/>
              </w:rPr>
              <w:t>Immediate 100% vesting.</w:t>
            </w: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(ii)  100% vesting after __ Years of Service.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w w:val="95"/>
              </w:rPr>
              <w:t>(iii)  100% vesting at age __.</w:t>
            </w: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400" w:type="dxa"/>
            <w:vAlign w:val="bottom"/>
          </w:tcPr>
          <w:p>
            <w:pPr>
              <w:ind w:left="100"/>
              <w:spacing w:after="0"/>
              <w:rPr>
                <w:sz w:val="20"/>
                <w:szCs w:val="20"/>
                <w:color w:val="auto"/>
              </w:rPr>
            </w:pPr>
            <w:r>
              <w:rPr>
                <w:rFonts w:ascii="Arial" w:cs="Arial" w:eastAsia="Arial" w:hAnsi="Arial"/>
                <w:sz w:val="18"/>
                <w:szCs w:val="18"/>
                <w:color w:val="auto"/>
              </w:rPr>
              <w:t>(iv)</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w w:val="98"/>
              </w:rPr>
              <w:t>Number of Years</w:t>
            </w:r>
          </w:p>
        </w:tc>
        <w:tc>
          <w:tcPr>
            <w:tcW w:w="1560" w:type="dxa"/>
            <w:vAlign w:val="bottom"/>
          </w:tcPr>
          <w:p>
            <w:pPr>
              <w:spacing w:after="0"/>
              <w:rPr>
                <w:sz w:val="20"/>
                <w:szCs w:val="20"/>
                <w:color w:val="auto"/>
              </w:rPr>
            </w:pPr>
            <w:r>
              <w:rPr>
                <w:rFonts w:ascii="Arial" w:cs="Arial" w:eastAsia="Arial" w:hAnsi="Arial"/>
                <w:sz w:val="18"/>
                <w:szCs w:val="18"/>
                <w:color w:val="auto"/>
              </w:rPr>
              <w:t>Vested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of Service</w:t>
            </w:r>
          </w:p>
        </w:tc>
        <w:tc>
          <w:tcPr>
            <w:tcW w:w="1560" w:type="dxa"/>
            <w:vAlign w:val="bottom"/>
          </w:tcPr>
          <w:p>
            <w:pPr>
              <w:spacing w:after="0"/>
              <w:rPr>
                <w:sz w:val="20"/>
                <w:szCs w:val="20"/>
                <w:color w:val="auto"/>
              </w:rPr>
            </w:pPr>
            <w:r>
              <w:rPr>
                <w:rFonts w:ascii="Arial" w:cs="Arial" w:eastAsia="Arial" w:hAnsi="Arial"/>
                <w:sz w:val="18"/>
                <w:szCs w:val="18"/>
                <w:color w:val="auto"/>
              </w:rPr>
              <w:t>Percentage</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94"/>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Less than</w:t>
            </w:r>
          </w:p>
        </w:tc>
        <w:tc>
          <w:tcPr>
            <w:tcW w:w="1560" w:type="dxa"/>
            <w:vAlign w:val="bottom"/>
          </w:tcPr>
          <w:p>
            <w:pPr>
              <w:ind w:left="22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10 or more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ectPr>
          <w:pgSz w:w="11900" w:h="16838" w:orient="portrait"/>
          <w:cols w:equalWidth="0" w:num="1">
            <w:col w:w="11160"/>
          </w:cols>
          <w:pgMar w:left="240" w:top="1044" w:right="499" w:bottom="1440" w:gutter="0" w:footer="0" w:header="0"/>
        </w:sectPr>
      </w:pP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60"/>
          </w:cols>
          <w:pgMar w:left="240" w:top="1044" w:right="499" w:bottom="1440" w:gutter="0" w:footer="0" w:header="0"/>
          <w:type w:val="continuous"/>
        </w:sectPr>
      </w:pPr>
    </w:p>
    <w:bookmarkStart w:id="109" w:name="page110"/>
    <w:bookmarkEnd w:id="109"/>
    <w:p>
      <w:pPr>
        <w:jc w:val="center"/>
        <w:ind w:right="-59"/>
        <w:spacing w:after="0"/>
        <w:rPr>
          <w:sz w:val="20"/>
          <w:szCs w:val="20"/>
          <w:color w:val="auto"/>
        </w:rPr>
      </w:pPr>
      <w:r>
        <w:rPr>
          <w:rFonts w:ascii="Arial" w:cs="Arial" w:eastAsia="Arial" w:hAnsi="Arial"/>
          <w:sz w:val="16"/>
          <w:szCs w:val="16"/>
          <w:color w:val="auto"/>
        </w:rPr>
        <w:t>For this purpose, Years of Service of a Participant shall be calculated from the date designated below:</w:t>
      </w:r>
    </w:p>
    <w:p>
      <w:pPr>
        <w:sectPr>
          <w:pgSz w:w="11900" w:h="16838" w:orient="portrait"/>
          <w:cols w:equalWidth="0" w:num="1">
            <w:col w:w="11160"/>
          </w:cols>
          <w:pgMar w:left="240" w:top="881" w:right="499" w:bottom="1440" w:gutter="0" w:footer="0" w:header="0"/>
        </w:sectPr>
      </w:pPr>
    </w:p>
    <w:p>
      <w:pPr>
        <w:spacing w:after="0" w:line="248"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4360" w:type="dxa"/>
            <w:vAlign w:val="bottom"/>
          </w:tcPr>
          <w:p>
            <w:pPr>
              <w:ind w:left="100"/>
              <w:spacing w:after="0"/>
              <w:rPr>
                <w:sz w:val="20"/>
                <w:szCs w:val="20"/>
                <w:color w:val="auto"/>
              </w:rPr>
            </w:pPr>
            <w:r>
              <w:rPr>
                <w:rFonts w:ascii="Arial" w:cs="Arial" w:eastAsia="Arial" w:hAnsi="Arial"/>
                <w:sz w:val="18"/>
                <w:szCs w:val="18"/>
                <w:color w:val="auto"/>
              </w:rPr>
              <w:t>First day of Service.</w:t>
            </w:r>
          </w:p>
        </w:tc>
      </w:tr>
      <w:tr>
        <w:trPr>
          <w:trHeight w:val="432"/>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4360" w:type="dxa"/>
            <w:vAlign w:val="bottom"/>
          </w:tcPr>
          <w:p>
            <w:pPr>
              <w:ind w:left="100"/>
              <w:spacing w:after="0"/>
              <w:rPr>
                <w:sz w:val="20"/>
                <w:szCs w:val="20"/>
                <w:color w:val="auto"/>
              </w:rPr>
            </w:pPr>
            <w:r>
              <w:rPr>
                <w:rFonts w:ascii="Arial" w:cs="Arial" w:eastAsia="Arial" w:hAnsi="Arial"/>
                <w:sz w:val="18"/>
                <w:szCs w:val="18"/>
                <w:color w:val="auto"/>
              </w:rPr>
              <w:t>Effective date of Plan participation.</w:t>
            </w:r>
          </w:p>
        </w:tc>
      </w:tr>
      <w:tr>
        <w:trPr>
          <w:trHeight w:val="418"/>
        </w:trPr>
        <w:tc>
          <w:tcPr>
            <w:tcW w:w="260" w:type="dxa"/>
            <w:vAlign w:val="bottom"/>
          </w:tcPr>
          <w:p>
            <w:pPr>
              <w:jc w:val="right"/>
              <w:spacing w:after="0"/>
              <w:rPr>
                <w:sz w:val="20"/>
                <w:szCs w:val="20"/>
                <w:color w:val="auto"/>
              </w:rPr>
            </w:pPr>
            <w:r>
              <w:rPr>
                <w:rFonts w:ascii="Arial" w:cs="Arial" w:eastAsia="Arial" w:hAnsi="Arial"/>
                <w:sz w:val="18"/>
                <w:szCs w:val="18"/>
                <w:color w:val="auto"/>
                <w:w w:val="79"/>
              </w:rPr>
              <w:t>__</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4360" w:type="dxa"/>
            <w:vAlign w:val="bottom"/>
          </w:tcPr>
          <w:p>
            <w:pPr>
              <w:ind w:left="100"/>
              <w:spacing w:after="0"/>
              <w:rPr>
                <w:sz w:val="20"/>
                <w:szCs w:val="20"/>
                <w:color w:val="auto"/>
              </w:rPr>
            </w:pPr>
            <w:r>
              <w:rPr>
                <w:rFonts w:ascii="Arial" w:cs="Arial" w:eastAsia="Arial" w:hAnsi="Arial"/>
                <w:sz w:val="18"/>
                <w:szCs w:val="18"/>
                <w:color w:val="auto"/>
                <w:w w:val="91"/>
              </w:rPr>
              <w:t>Each Crediting Date. Under this option (3), each Employer</w:t>
            </w:r>
          </w:p>
        </w:tc>
      </w:tr>
      <w:tr>
        <w:trPr>
          <w:trHeight w:val="216"/>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tcPr>
          <w:p>
            <w:pPr>
              <w:ind w:left="80"/>
              <w:spacing w:after="0"/>
              <w:rPr>
                <w:sz w:val="20"/>
                <w:szCs w:val="20"/>
                <w:color w:val="auto"/>
              </w:rPr>
            </w:pPr>
            <w:r>
              <w:rPr>
                <w:rFonts w:ascii="Arial" w:cs="Arial" w:eastAsia="Arial" w:hAnsi="Arial"/>
                <w:sz w:val="18"/>
                <w:szCs w:val="18"/>
                <w:color w:val="auto"/>
              </w:rPr>
              <w:t>Participant from the Crediting Date on which each</w:t>
            </w:r>
          </w:p>
        </w:tc>
      </w:tr>
      <w:tr>
        <w:trPr>
          <w:trHeight w:val="230"/>
        </w:trPr>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Arial" w:cs="Arial" w:eastAsia="Arial" w:hAnsi="Arial"/>
                <w:sz w:val="18"/>
                <w:szCs w:val="18"/>
                <w:color w:val="auto"/>
              </w:rPr>
              <w:t>Deferred Compensation Account.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420"/>
        <w:spacing w:after="0" w:line="342" w:lineRule="auto"/>
        <w:rPr>
          <w:sz w:val="20"/>
          <w:szCs w:val="20"/>
          <w:color w:val="auto"/>
        </w:rPr>
      </w:pPr>
      <w:r>
        <w:rPr>
          <w:rFonts w:ascii="Arial" w:cs="Arial" w:eastAsia="Arial" w:hAnsi="Arial"/>
          <w:sz w:val="16"/>
          <w:szCs w:val="16"/>
          <w:color w:val="auto"/>
        </w:rPr>
        <w:t>Credit shall vest based on the Years of Service of a Employer Discretionary Credit is made to his or her</w:t>
      </w:r>
    </w:p>
    <w:p>
      <w:pPr>
        <w:spacing w:after="0" w:line="338" w:lineRule="exact"/>
        <w:rPr>
          <w:sz w:val="20"/>
          <w:szCs w:val="20"/>
          <w:color w:val="auto"/>
        </w:rPr>
      </w:pPr>
    </w:p>
    <w:p>
      <w:pPr>
        <w:sectPr>
          <w:pgSz w:w="11900" w:h="16838" w:orient="portrait"/>
          <w:cols w:equalWidth="0" w:num="2">
            <w:col w:w="6960" w:space="120"/>
            <w:col w:w="4080"/>
          </w:cols>
          <w:pgMar w:left="240" w:top="881" w:right="499" w:bottom="1440" w:gutter="0" w:footer="0" w:header="0"/>
          <w:type w:val="continuous"/>
        </w:sect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 xml:space="preserve">Payment Options: </w:t>
      </w:r>
      <w:r>
        <w:rPr>
          <w:rFonts w:ascii="Arial" w:cs="Arial" w:eastAsia="Arial" w:hAnsi="Arial"/>
          <w:sz w:val="16"/>
          <w:szCs w:val="16"/>
          <w:color w:val="auto"/>
        </w:rPr>
        <w:t>Any benefit payable under the Plan upon a permitted Qualifying Distribution Event may be made to the Participant or 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Beneficiary (as applicable) in any of the following payment forms, as selected by the Participant in the Participation Agreement:</w:t>
      </w:r>
    </w:p>
    <w:p>
      <w:pPr>
        <w:spacing w:after="0" w:line="211" w:lineRule="exact"/>
        <w:rPr>
          <w:sz w:val="20"/>
          <w:szCs w:val="20"/>
          <w:color w:val="auto"/>
        </w:rPr>
      </w:pPr>
    </w:p>
    <w:p>
      <w:pPr>
        <w:ind w:left="1040" w:hanging="384"/>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Separation from Service (Seniority Date is Not Applicable)</w:t>
      </w:r>
    </w:p>
    <w:p>
      <w:pPr>
        <w:spacing w:after="0" w:line="225" w:lineRule="exact"/>
        <w:rPr>
          <w:sz w:val="20"/>
          <w:szCs w:val="20"/>
          <w:color w:val="auto"/>
        </w:rPr>
      </w:pPr>
    </w:p>
    <w:p>
      <w:pPr>
        <w:ind w:left="1960" w:hanging="655"/>
        <w:spacing w:after="0"/>
        <w:tabs>
          <w:tab w:leader="none" w:pos="1960" w:val="left"/>
        </w:tabs>
        <w:numPr>
          <w:ilvl w:val="0"/>
          <w:numId w:val="50"/>
        </w:numPr>
        <w:rPr>
          <w:rFonts w:ascii="Arial" w:cs="Arial" w:eastAsia="Arial" w:hAnsi="Arial"/>
          <w:sz w:val="18"/>
          <w:szCs w:val="18"/>
          <w:b w:val="1"/>
          <w:bCs w:val="1"/>
          <w:u w:val="single" w:color="auto"/>
          <w:color w:val="auto"/>
        </w:rPr>
      </w:pPr>
      <w:r>
        <w:rPr>
          <w:rFonts w:ascii="Arial" w:cs="Arial" w:eastAsia="Arial" w:hAnsi="Arial"/>
          <w:sz w:val="18"/>
          <w:szCs w:val="18"/>
          <w:color w:val="auto"/>
        </w:rPr>
        <w:t>(i)  A lump sum.</w:t>
      </w:r>
    </w:p>
    <w:p>
      <w:pPr>
        <w:spacing w:after="0" w:line="221" w:lineRule="exact"/>
        <w:rPr>
          <w:sz w:val="20"/>
          <w:szCs w:val="20"/>
          <w:color w:val="auto"/>
        </w:rPr>
      </w:pPr>
    </w:p>
    <w:p>
      <w:pPr>
        <w:ind w:left="1960" w:hanging="655"/>
        <w:spacing w:after="0"/>
        <w:tabs>
          <w:tab w:leader="none" w:pos="1960" w:val="left"/>
        </w:tabs>
        <w:numPr>
          <w:ilvl w:val="1"/>
          <w:numId w:val="51"/>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(ii)  Annual installments over a term certain as elected by the Participant not to exceed </w:t>
      </w:r>
      <w:r>
        <w:rPr>
          <w:rFonts w:ascii="Arial" w:cs="Arial" w:eastAsia="Arial" w:hAnsi="Arial"/>
          <w:sz w:val="18"/>
          <w:szCs w:val="18"/>
          <w:b w:val="1"/>
          <w:bCs w:val="1"/>
          <w:u w:val="single" w:color="auto"/>
          <w:color w:val="auto"/>
        </w:rPr>
        <w:t>10</w:t>
      </w:r>
      <w:r>
        <w:rPr>
          <w:rFonts w:ascii="Arial" w:cs="Arial" w:eastAsia="Arial" w:hAnsi="Arial"/>
          <w:sz w:val="18"/>
          <w:szCs w:val="18"/>
          <w:color w:val="auto"/>
        </w:rPr>
        <w:t xml:space="preserve"> years.</w:t>
      </w:r>
    </w:p>
    <w:p>
      <w:pPr>
        <w:spacing w:after="0" w:line="229" w:lineRule="exact"/>
        <w:rPr>
          <w:rFonts w:ascii="Arial" w:cs="Arial" w:eastAsia="Arial" w:hAnsi="Arial"/>
          <w:sz w:val="18"/>
          <w:szCs w:val="18"/>
          <w:b w:val="1"/>
          <w:bCs w:val="1"/>
          <w:u w:val="single" w:color="auto"/>
          <w:color w:val="auto"/>
        </w:rPr>
      </w:pPr>
    </w:p>
    <w:p>
      <w:pPr>
        <w:ind w:left="1040" w:hanging="384"/>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Separation from Service prior to Seniority Date (If Applicable)</w:t>
      </w:r>
    </w:p>
    <w:p>
      <w:pPr>
        <w:spacing w:after="0" w:line="225" w:lineRule="exact"/>
        <w:rPr>
          <w:sz w:val="20"/>
          <w:szCs w:val="20"/>
          <w:color w:val="auto"/>
        </w:rPr>
      </w:pPr>
    </w:p>
    <w:p>
      <w:pPr>
        <w:ind w:left="1300"/>
        <w:spacing w:after="0"/>
        <w:tabs>
          <w:tab w:leader="none" w:pos="1940" w:val="left"/>
          <w:tab w:leader="none" w:pos="228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 lump sum.</w:t>
      </w:r>
    </w:p>
    <w:p>
      <w:pPr>
        <w:spacing w:after="0" w:line="225" w:lineRule="exact"/>
        <w:rPr>
          <w:sz w:val="20"/>
          <w:szCs w:val="20"/>
          <w:color w:val="auto"/>
        </w:rPr>
      </w:pPr>
    </w:p>
    <w:p>
      <w:pPr>
        <w:ind w:left="1960" w:hanging="655"/>
        <w:spacing w:after="0"/>
        <w:tabs>
          <w:tab w:leader="none" w:pos="1960" w:val="left"/>
        </w:tabs>
        <w:numPr>
          <w:ilvl w:val="1"/>
          <w:numId w:val="53"/>
        </w:numPr>
        <w:rPr>
          <w:rFonts w:ascii="Arial" w:cs="Arial" w:eastAsia="Arial" w:hAnsi="Arial"/>
          <w:sz w:val="18"/>
          <w:szCs w:val="18"/>
          <w:b w:val="1"/>
          <w:bCs w:val="1"/>
          <w:u w:val="single" w:color="auto"/>
          <w:color w:val="auto"/>
        </w:rPr>
      </w:pPr>
      <w:r>
        <w:rPr>
          <w:rFonts w:ascii="Arial" w:cs="Arial" w:eastAsia="Arial" w:hAnsi="Arial"/>
          <w:sz w:val="18"/>
          <w:szCs w:val="18"/>
          <w:color w:val="auto"/>
        </w:rPr>
        <w:t>(ii)  Not Applicable.</w:t>
      </w:r>
    </w:p>
    <w:p>
      <w:pPr>
        <w:spacing w:after="0" w:line="225" w:lineRule="exact"/>
        <w:rPr>
          <w:rFonts w:ascii="Arial" w:cs="Arial" w:eastAsia="Arial" w:hAnsi="Arial"/>
          <w:sz w:val="18"/>
          <w:szCs w:val="18"/>
          <w:b w:val="1"/>
          <w:bCs w:val="1"/>
          <w:u w:val="single" w:color="auto"/>
          <w:color w:val="auto"/>
        </w:rPr>
      </w:pPr>
    </w:p>
    <w:p>
      <w:pPr>
        <w:ind w:left="1040" w:hanging="384"/>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Separation from Service on or After Seniority Date (If Applicable)</w:t>
      </w:r>
    </w:p>
    <w:p>
      <w:pPr>
        <w:spacing w:after="0" w:line="225" w:lineRule="exact"/>
        <w:rPr>
          <w:sz w:val="20"/>
          <w:szCs w:val="20"/>
          <w:color w:val="auto"/>
        </w:rPr>
      </w:pPr>
    </w:p>
    <w:p>
      <w:pPr>
        <w:ind w:left="1300"/>
        <w:spacing w:after="0"/>
        <w:tabs>
          <w:tab w:leader="none" w:pos="1940" w:val="left"/>
          <w:tab w:leader="none" w:pos="228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 lump sum.</w:t>
      </w:r>
    </w:p>
    <w:p>
      <w:pPr>
        <w:spacing w:after="0" w:line="225" w:lineRule="exact"/>
        <w:rPr>
          <w:sz w:val="20"/>
          <w:szCs w:val="20"/>
          <w:color w:val="auto"/>
        </w:rPr>
      </w:pPr>
    </w:p>
    <w:p>
      <w:pPr>
        <w:ind w:left="1300"/>
        <w:spacing w:after="0"/>
        <w:tabs>
          <w:tab w:leader="none" w:pos="1940" w:val="left"/>
          <w:tab w:leader="none" w:pos="232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Annual installments over a term certain as elected by the Participant not to exceed ___ years.</w:t>
      </w:r>
    </w:p>
    <w:p>
      <w:pPr>
        <w:spacing w:after="0" w:line="225" w:lineRule="exact"/>
        <w:rPr>
          <w:sz w:val="20"/>
          <w:szCs w:val="20"/>
          <w:color w:val="auto"/>
        </w:rPr>
      </w:pPr>
    </w:p>
    <w:p>
      <w:pPr>
        <w:ind w:left="1740" w:hanging="435"/>
        <w:spacing w:after="0"/>
        <w:tabs>
          <w:tab w:leader="none" w:pos="1740" w:val="left"/>
        </w:tabs>
        <w:numPr>
          <w:ilvl w:val="1"/>
          <w:numId w:val="55"/>
        </w:numPr>
        <w:rPr>
          <w:rFonts w:ascii="Arial" w:cs="Arial" w:eastAsia="Arial" w:hAnsi="Arial"/>
          <w:sz w:val="18"/>
          <w:szCs w:val="18"/>
          <w:b w:val="1"/>
          <w:bCs w:val="1"/>
          <w:u w:val="single" w:color="auto"/>
          <w:color w:val="auto"/>
        </w:rPr>
      </w:pPr>
      <w:r>
        <w:rPr>
          <w:rFonts w:ascii="Arial" w:cs="Arial" w:eastAsia="Arial" w:hAnsi="Arial"/>
          <w:sz w:val="18"/>
          <w:szCs w:val="18"/>
          <w:color w:val="auto"/>
        </w:rPr>
        <w:t>(iii)  Not Applicable.</w:t>
      </w:r>
    </w:p>
    <w:p>
      <w:pPr>
        <w:spacing w:after="0" w:line="225" w:lineRule="exact"/>
        <w:rPr>
          <w:rFonts w:ascii="Arial" w:cs="Arial" w:eastAsia="Arial" w:hAnsi="Arial"/>
          <w:sz w:val="18"/>
          <w:szCs w:val="18"/>
          <w:b w:val="1"/>
          <w:bCs w:val="1"/>
          <w:u w:val="single" w:color="auto"/>
          <w:color w:val="auto"/>
        </w:rPr>
      </w:pPr>
    </w:p>
    <w:p>
      <w:pPr>
        <w:ind w:left="1040" w:hanging="384"/>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Separation from Service Upon a Change in Control Event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b w:val="1"/>
          <w:bCs w:val="1"/>
          <w:u w:val="single" w:color="auto"/>
          <w:color w:val="auto"/>
        </w:rPr>
      </w:pPr>
      <w:r>
        <w:rPr>
          <w:rFonts w:ascii="Arial" w:cs="Arial" w:eastAsia="Arial" w:hAnsi="Arial"/>
          <w:sz w:val="18"/>
          <w:szCs w:val="18"/>
          <w:color w:val="auto"/>
        </w:rPr>
        <w:t>(i)  A lump sum.</w:t>
      </w:r>
    </w:p>
    <w:p>
      <w:pPr>
        <w:spacing w:after="0" w:line="225" w:lineRule="exact"/>
        <w:rPr>
          <w:rFonts w:ascii="Arial" w:cs="Arial" w:eastAsia="Arial" w:hAnsi="Arial"/>
          <w:sz w:val="18"/>
          <w:szCs w:val="18"/>
          <w:b w:val="1"/>
          <w:bCs w:val="1"/>
          <w:u w:val="single" w:color="auto"/>
          <w:color w:val="auto"/>
        </w:rPr>
      </w:pPr>
    </w:p>
    <w:p>
      <w:pPr>
        <w:ind w:left="1040" w:hanging="384"/>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Death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b w:val="1"/>
          <w:bCs w:val="1"/>
          <w:u w:val="single" w:color="auto"/>
          <w:color w:val="auto"/>
        </w:rPr>
      </w:pPr>
      <w:r>
        <w:rPr>
          <w:rFonts w:ascii="Arial" w:cs="Arial" w:eastAsia="Arial" w:hAnsi="Arial"/>
          <w:sz w:val="18"/>
          <w:szCs w:val="18"/>
          <w:color w:val="auto"/>
        </w:rPr>
        <w:t>(i)  A lump sum.</w:t>
      </w:r>
    </w:p>
    <w:p>
      <w:pPr>
        <w:spacing w:after="0" w:line="225" w:lineRule="exact"/>
        <w:rPr>
          <w:sz w:val="20"/>
          <w:szCs w:val="20"/>
          <w:color w:val="auto"/>
        </w:rPr>
      </w:pPr>
    </w:p>
    <w:p>
      <w:pPr>
        <w:ind w:left="1300"/>
        <w:spacing w:after="0"/>
        <w:tabs>
          <w:tab w:leader="none" w:pos="1940" w:val="left"/>
          <w:tab w:leader="none" w:pos="232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Annual installments over a term certain as elected by the Participant not to exceed ___ years.</w:t>
      </w:r>
    </w:p>
    <w:p>
      <w:pPr>
        <w:spacing w:after="0" w:line="225" w:lineRule="exact"/>
        <w:rPr>
          <w:sz w:val="20"/>
          <w:szCs w:val="20"/>
          <w:color w:val="auto"/>
        </w:rPr>
      </w:pPr>
    </w:p>
    <w:p>
      <w:pPr>
        <w:ind w:left="1020" w:hanging="364"/>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Disability</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XX</w:t>
      </w:r>
      <w:r>
        <w:rPr>
          <w:rFonts w:ascii="Arial" w:cs="Arial" w:eastAsia="Arial" w:hAnsi="Arial"/>
          <w:sz w:val="17"/>
          <w:szCs w:val="17"/>
          <w:color w:val="auto"/>
        </w:rPr>
        <w:t>(i)  A lump sum.</w:t>
      </w:r>
    </w:p>
    <w:p>
      <w:pPr>
        <w:spacing w:after="0" w:line="229" w:lineRule="exact"/>
        <w:rPr>
          <w:sz w:val="20"/>
          <w:szCs w:val="20"/>
          <w:color w:val="auto"/>
        </w:rPr>
      </w:pPr>
    </w:p>
    <w:p>
      <w:pPr>
        <w:ind w:left="1300"/>
        <w:spacing w:after="0"/>
        <w:tabs>
          <w:tab w:leader="none" w:pos="1940" w:val="left"/>
          <w:tab w:leader="none" w:pos="232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Annual installments over a term certain as elected by the Participant not to exceed ___ years.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881" w:right="499" w:bottom="1440" w:gutter="0" w:footer="0" w:header="0"/>
          <w:type w:val="continuous"/>
        </w:sectPr>
      </w:pPr>
    </w:p>
    <w:bookmarkStart w:id="110" w:name="page111"/>
    <w:bookmarkEnd w:id="110"/>
    <w:p>
      <w:pPr>
        <w:ind w:left="1300"/>
        <w:spacing w:after="0"/>
        <w:tabs>
          <w:tab w:leader="none" w:pos="1640" w:val="left"/>
          <w:tab w:leader="none" w:pos="2100" w:val="left"/>
        </w:tabs>
        <w:rPr>
          <w:sz w:val="20"/>
          <w:szCs w:val="20"/>
          <w:color w:val="auto"/>
        </w:rPr>
      </w:pPr>
      <w:r>
        <w:rPr>
          <w:rFonts w:ascii="Arial" w:cs="Arial" w:eastAsia="Arial" w:hAnsi="Arial"/>
          <w:sz w:val="18"/>
          <w:szCs w:val="18"/>
          <w:color w:val="auto"/>
        </w:rPr>
        <w:t>__</w:t>
        <w:tab/>
        <w:t>(iii)</w:t>
      </w:r>
      <w:r>
        <w:rPr>
          <w:sz w:val="20"/>
          <w:szCs w:val="20"/>
          <w:color w:val="auto"/>
        </w:rPr>
        <w:tab/>
      </w:r>
      <w:r>
        <w:rPr>
          <w:rFonts w:ascii="Arial" w:cs="Arial" w:eastAsia="Arial" w:hAnsi="Arial"/>
          <w:sz w:val="16"/>
          <w:szCs w:val="16"/>
          <w:color w:val="auto"/>
        </w:rPr>
        <w:t>Not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applicable, amounts not vested at the time payments due under this Section cease will be:</w:t>
      </w:r>
    </w:p>
    <w:p>
      <w:pPr>
        <w:spacing w:after="0" w:line="46"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Forfeited.</w:t>
      </w:r>
    </w:p>
    <w:p>
      <w:pPr>
        <w:spacing w:after="0" w:line="9"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Distributed at Separation from Service if vested at that time.</w:t>
      </w:r>
    </w:p>
    <w:p>
      <w:pPr>
        <w:spacing w:after="0" w:line="200" w:lineRule="exact"/>
        <w:rPr>
          <w:sz w:val="20"/>
          <w:szCs w:val="20"/>
          <w:color w:val="auto"/>
        </w:rPr>
      </w:pPr>
    </w:p>
    <w:p>
      <w:pPr>
        <w:spacing w:after="0" w:line="227" w:lineRule="exact"/>
        <w:rPr>
          <w:sz w:val="20"/>
          <w:szCs w:val="20"/>
          <w:color w:val="auto"/>
        </w:rPr>
      </w:pPr>
    </w:p>
    <w:p>
      <w:pPr>
        <w:ind w:left="1040" w:hanging="384"/>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Change in Control Event</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XX</w:t>
      </w:r>
      <w:r>
        <w:rPr>
          <w:rFonts w:ascii="Arial" w:cs="Arial" w:eastAsia="Arial" w:hAnsi="Arial"/>
          <w:sz w:val="17"/>
          <w:szCs w:val="17"/>
          <w:color w:val="auto"/>
        </w:rPr>
        <w:t>(i)  A lump sum.</w:t>
      </w:r>
    </w:p>
    <w:p>
      <w:pPr>
        <w:spacing w:after="0" w:line="229" w:lineRule="exact"/>
        <w:rPr>
          <w:sz w:val="20"/>
          <w:szCs w:val="20"/>
          <w:color w:val="auto"/>
        </w:rPr>
      </w:pPr>
    </w:p>
    <w:p>
      <w:pPr>
        <w:ind w:left="1300"/>
        <w:spacing w:after="0"/>
        <w:tabs>
          <w:tab w:leader="none" w:pos="1640" w:val="left"/>
          <w:tab w:leader="none" w:pos="2040" w:val="left"/>
        </w:tabs>
        <w:rPr>
          <w:sz w:val="20"/>
          <w:szCs w:val="20"/>
          <w:color w:val="auto"/>
        </w:rPr>
      </w:pPr>
      <w:r>
        <w:rPr>
          <w:rFonts w:ascii="Arial" w:cs="Arial" w:eastAsia="Arial" w:hAnsi="Arial"/>
          <w:sz w:val="18"/>
          <w:szCs w:val="18"/>
          <w:color w:val="auto"/>
        </w:rPr>
        <w:t>__</w:t>
        <w:tab/>
        <w:t>(ii)</w:t>
      </w:r>
      <w:r>
        <w:rPr>
          <w:sz w:val="20"/>
          <w:szCs w:val="20"/>
          <w:color w:val="auto"/>
        </w:rPr>
        <w:tab/>
      </w:r>
      <w:r>
        <w:rPr>
          <w:rFonts w:ascii="Arial" w:cs="Arial" w:eastAsia="Arial" w:hAnsi="Arial"/>
          <w:sz w:val="16"/>
          <w:szCs w:val="16"/>
          <w:color w:val="auto"/>
        </w:rPr>
        <w:t>Not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applicable, amounts not vested at the time payments due under this Section cease will be:</w:t>
      </w:r>
    </w:p>
    <w:p>
      <w:pPr>
        <w:spacing w:after="0" w:line="46"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Forfeited.</w:t>
      </w:r>
    </w:p>
    <w:p>
      <w:pPr>
        <w:spacing w:after="0" w:line="9"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Distributed at Separation from Service if vested at that time.</w:t>
      </w:r>
    </w:p>
    <w:p>
      <w:pPr>
        <w:spacing w:after="0" w:line="200" w:lineRule="exact"/>
        <w:rPr>
          <w:sz w:val="20"/>
          <w:szCs w:val="20"/>
          <w:color w:val="auto"/>
        </w:rPr>
      </w:pPr>
    </w:p>
    <w:p>
      <w:pPr>
        <w:spacing w:after="0" w:line="227"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6"/>
          <w:szCs w:val="16"/>
          <w:b w:val="1"/>
          <w:bCs w:val="1"/>
          <w:color w:val="auto"/>
        </w:rPr>
        <w:t>De Minimis Amounts.</w:t>
      </w:r>
    </w:p>
    <w:p>
      <w:pPr>
        <w:sectPr>
          <w:pgSz w:w="11900" w:h="16838" w:orient="portrait"/>
          <w:cols w:equalWidth="0" w:num="1">
            <w:col w:w="11340"/>
          </w:cols>
          <w:pgMar w:left="240" w:top="881" w:right="319" w:bottom="1440" w:gutter="0" w:footer="0" w:header="0"/>
        </w:sectPr>
      </w:pP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hanging="647"/>
        <w:spacing w:after="0" w:line="255" w:lineRule="auto"/>
        <w:rPr>
          <w:sz w:val="20"/>
          <w:szCs w:val="20"/>
          <w:color w:val="auto"/>
        </w:rPr>
      </w:pPr>
      <w:r>
        <w:rPr>
          <w:rFonts w:ascii="Arial" w:cs="Arial" w:eastAsia="Arial" w:hAnsi="Arial"/>
          <w:sz w:val="18"/>
          <w:szCs w:val="18"/>
          <w:color w:val="auto"/>
        </w:rPr>
        <w:t>(a)</w:t>
      </w:r>
      <w:r>
        <w:rPr>
          <w:sz w:val="20"/>
          <w:szCs w:val="20"/>
          <w:color w:val="auto"/>
        </w:rPr>
        <w:t xml:space="preserve"> </w:t>
      </w:r>
      <w:r>
        <w:rPr>
          <w:rFonts w:ascii="Arial" w:cs="Arial" w:eastAsia="Arial" w:hAnsi="Arial"/>
          <w:sz w:val="18"/>
          <w:szCs w:val="18"/>
          <w:color w:val="auto"/>
        </w:rPr>
        <w:t>Notwithstanding any payment election made by the Participant, the vested balance in all Deferred Compensation Account(s) of the Participant will be distributed in a single lump sum payment at the time designated under the Plan if at the time of a permitted Qualifying Distribution Event that is either a Separation from Service, death, Disability (if applicable) or Change in Control Event (if applicable) the vested balance does not exceed $ ___________. In addition, the Employer may distribute a Participant's vested balance in all Deferred Compensation Account(s) of the Participant at any time if the balance does not exceed the limit in Section 402(g)(1)(B) of the Code and results in the termination of the Participant's entire interest in the Plan.</w:t>
      </w:r>
    </w:p>
    <w:p>
      <w:pPr>
        <w:spacing w:after="0" w:line="189" w:lineRule="exact"/>
        <w:rPr>
          <w:sz w:val="20"/>
          <w:szCs w:val="20"/>
          <w:color w:val="auto"/>
        </w:rPr>
      </w:pPr>
    </w:p>
    <w:p>
      <w:pPr>
        <w:sectPr>
          <w:pgSz w:w="11900" w:h="16838" w:orient="portrait"/>
          <w:cols w:equalWidth="0" w:num="2">
            <w:col w:w="1480" w:space="700"/>
            <w:col w:w="9160"/>
          </w:cols>
          <w:pgMar w:left="240" w:top="881" w:right="319" w:bottom="1440" w:gutter="0" w:footer="0" w:header="0"/>
          <w:type w:val="continuous"/>
        </w:sectPr>
      </w:pPr>
    </w:p>
    <w:p>
      <w:pPr>
        <w:ind w:left="1800" w:hanging="495"/>
        <w:spacing w:after="0"/>
        <w:tabs>
          <w:tab w:leader="none" w:pos="1800" w:val="left"/>
        </w:tabs>
        <w:numPr>
          <w:ilvl w:val="0"/>
          <w:numId w:val="59"/>
        </w:numPr>
        <w:rPr>
          <w:rFonts w:ascii="Arial" w:cs="Arial" w:eastAsia="Arial" w:hAnsi="Arial"/>
          <w:sz w:val="18"/>
          <w:szCs w:val="18"/>
          <w:b w:val="1"/>
          <w:bCs w:val="1"/>
          <w:u w:val="single" w:color="auto"/>
          <w:color w:val="auto"/>
        </w:rPr>
      </w:pPr>
      <w:r>
        <w:rPr>
          <w:rFonts w:ascii="Arial" w:cs="Arial" w:eastAsia="Arial" w:hAnsi="Arial"/>
          <w:sz w:val="18"/>
          <w:szCs w:val="18"/>
          <w:color w:val="auto"/>
        </w:rPr>
        <w:t>(b)  There shall be no pre-determined de minimis amount under the Plan.</w:t>
      </w: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Contractual Liability: </w:t>
      </w:r>
      <w:r>
        <w:rPr>
          <w:rFonts w:ascii="Arial" w:cs="Arial" w:eastAsia="Arial" w:hAnsi="Arial"/>
          <w:sz w:val="16"/>
          <w:szCs w:val="16"/>
          <w:color w:val="auto"/>
        </w:rPr>
        <w:t>Liability for payments under the Plan shall be the responsibility of the:</w:t>
      </w:r>
    </w:p>
    <w:p>
      <w:pPr>
        <w:spacing w:after="0" w:line="229" w:lineRule="exact"/>
        <w:rPr>
          <w:sz w:val="20"/>
          <w:szCs w:val="20"/>
          <w:color w:val="auto"/>
        </w:rPr>
      </w:pPr>
    </w:p>
    <w:p>
      <w:pPr>
        <w:ind w:left="1740" w:hanging="435"/>
        <w:spacing w:after="0"/>
        <w:tabs>
          <w:tab w:leader="none" w:pos="1740" w:val="left"/>
        </w:tabs>
        <w:numPr>
          <w:ilvl w:val="0"/>
          <w:numId w:val="60"/>
        </w:numPr>
        <w:rPr>
          <w:rFonts w:ascii="Arial" w:cs="Arial" w:eastAsia="Arial" w:hAnsi="Arial"/>
          <w:sz w:val="18"/>
          <w:szCs w:val="18"/>
          <w:b w:val="1"/>
          <w:bCs w:val="1"/>
          <w:u w:val="single" w:color="auto"/>
          <w:color w:val="auto"/>
        </w:rPr>
      </w:pPr>
      <w:r>
        <w:rPr>
          <w:rFonts w:ascii="Arial" w:cs="Arial" w:eastAsia="Arial" w:hAnsi="Arial"/>
          <w:sz w:val="18"/>
          <w:szCs w:val="18"/>
          <w:color w:val="auto"/>
        </w:rPr>
        <w:t>(a)  Company.</w:t>
      </w:r>
    </w:p>
    <w:p>
      <w:pPr>
        <w:spacing w:after="0" w:line="225" w:lineRule="exact"/>
        <w:rPr>
          <w:sz w:val="20"/>
          <w:szCs w:val="20"/>
          <w:color w:val="auto"/>
        </w:rPr>
      </w:pPr>
    </w:p>
    <w:p>
      <w:pPr>
        <w:ind w:left="1300"/>
        <w:spacing w:after="0"/>
        <w:tabs>
          <w:tab w:leader="none" w:pos="1940" w:val="left"/>
          <w:tab w:leader="none" w:pos="232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Employer or Participating Employer who employed the Participant when amounts were deferred.</w:t>
      </w:r>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and Termination of Plan: </w:t>
      </w:r>
      <w:r>
        <w:rPr>
          <w:rFonts w:ascii="Arial" w:cs="Arial" w:eastAsia="Arial" w:hAnsi="Arial"/>
          <w:sz w:val="18"/>
          <w:szCs w:val="18"/>
          <w:color w:val="auto"/>
        </w:rPr>
        <w:t>Notwithstanding any provision in this Adoption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Agreement or the Plan to the contrary, Section </w:t>
      </w:r>
      <w:r>
        <w:rPr>
          <w:rFonts w:ascii="Arial" w:cs="Arial" w:eastAsia="Arial" w:hAnsi="Arial"/>
          <w:sz w:val="17"/>
          <w:szCs w:val="17"/>
          <w:b w:val="1"/>
          <w:bCs w:val="1"/>
          <w:u w:val="single" w:color="auto"/>
          <w:color w:val="auto"/>
        </w:rPr>
        <w:t>2.5, 2.18, 4.1 and 10.2</w:t>
      </w:r>
      <w:r>
        <w:rPr>
          <w:rFonts w:ascii="Arial" w:cs="Arial" w:eastAsia="Arial" w:hAnsi="Arial"/>
          <w:sz w:val="17"/>
          <w:szCs w:val="17"/>
          <w:color w:val="auto"/>
        </w:rPr>
        <w:t xml:space="preserve"> of the Plan shall be amended to read as provided in attached Exhibit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w:t>
      </w:r>
    </w:p>
    <w:p>
      <w:pPr>
        <w:spacing w:after="0" w:line="222"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__</w:t>
      </w:r>
      <w:r>
        <w:rPr>
          <w:sz w:val="20"/>
          <w:szCs w:val="20"/>
          <w:color w:val="auto"/>
        </w:rPr>
        <w:tab/>
      </w:r>
      <w:r>
        <w:rPr>
          <w:rFonts w:ascii="Arial" w:cs="Arial" w:eastAsia="Arial" w:hAnsi="Arial"/>
          <w:sz w:val="15"/>
          <w:szCs w:val="15"/>
          <w:color w:val="auto"/>
        </w:rPr>
        <w:t>There are no amendments to the Plan.</w:t>
      </w:r>
    </w:p>
    <w:p>
      <w:pPr>
        <w:spacing w:after="0" w:line="200" w:lineRule="exact"/>
        <w:rPr>
          <w:sz w:val="20"/>
          <w:szCs w:val="20"/>
          <w:color w:val="auto"/>
        </w:rPr>
      </w:pPr>
    </w:p>
    <w:p>
      <w:pPr>
        <w:spacing w:after="0" w:line="23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17.8 Construction: </w:t>
      </w:r>
      <w:r>
        <w:rPr>
          <w:rFonts w:ascii="Arial" w:cs="Arial" w:eastAsia="Arial" w:hAnsi="Arial"/>
          <w:sz w:val="18"/>
          <w:szCs w:val="18"/>
          <w:color w:val="auto"/>
        </w:rPr>
        <w:t>The provisions of the Plan shall be construed and enforced according to the laws of the State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Delaware</w:t>
      </w:r>
      <w:r>
        <w:rPr>
          <w:rFonts w:ascii="Arial" w:cs="Arial" w:eastAsia="Arial" w:hAnsi="Arial"/>
          <w:sz w:val="18"/>
          <w:szCs w:val="18"/>
          <w:color w:val="auto"/>
        </w:rPr>
        <w:t>, except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such laws are superseded by ERISA and the applicable provisions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881" w:right="319" w:bottom="1440" w:gutter="0" w:footer="0" w:header="0"/>
          <w:type w:val="continuous"/>
        </w:sectPr>
      </w:pPr>
    </w:p>
    <w:bookmarkStart w:id="111" w:name="page112"/>
    <w:bookmarkEnd w:id="111"/>
    <w:p>
      <w:pPr>
        <w:ind w:left="660"/>
        <w:spacing w:after="0"/>
        <w:rPr>
          <w:sz w:val="20"/>
          <w:szCs w:val="20"/>
          <w:color w:val="auto"/>
        </w:rPr>
      </w:pPr>
      <w:r>
        <w:rPr>
          <w:rFonts w:ascii="Arial" w:cs="Arial" w:eastAsia="Arial" w:hAnsi="Arial"/>
          <w:sz w:val="16"/>
          <w:szCs w:val="16"/>
          <w:color w:val="auto"/>
        </w:rPr>
        <w:t>IN WITNESS WHEREOF, this Agreement has been executed as of the day and year stated below.</w:t>
      </w:r>
    </w:p>
    <w:p>
      <w:pPr>
        <w:spacing w:after="0" w:line="200" w:lineRule="exact"/>
        <w:rPr>
          <w:sz w:val="20"/>
          <w:szCs w:val="20"/>
          <w:color w:val="auto"/>
        </w:rPr>
      </w:pPr>
    </w:p>
    <w:p>
      <w:pPr>
        <w:spacing w:after="0" w:line="260" w:lineRule="exact"/>
        <w:rPr>
          <w:sz w:val="20"/>
          <w:szCs w:val="20"/>
          <w:color w:val="auto"/>
        </w:rPr>
      </w:pPr>
    </w:p>
    <w:p>
      <w:pPr>
        <w:ind w:left="4540"/>
        <w:spacing w:after="0"/>
        <w:rPr>
          <w:sz w:val="20"/>
          <w:szCs w:val="20"/>
          <w:color w:val="auto"/>
        </w:rPr>
      </w:pPr>
      <w:r>
        <w:rPr>
          <w:rFonts w:ascii="Arial" w:cs="Arial" w:eastAsia="Arial" w:hAnsi="Arial"/>
          <w:sz w:val="18"/>
          <w:szCs w:val="18"/>
          <w:b w:val="1"/>
          <w:bCs w:val="1"/>
          <w:u w:val="single" w:color="auto"/>
          <w:color w:val="auto"/>
        </w:rPr>
        <w:t>Cross Country Healthcare, Inc.</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of Employer</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 /s/ William J. Burns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Authorized Person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William J. Burns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November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881"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3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Exhibit A contains modifications and clarifications to provisions of the Executive Nonqualified Excess Plan Adoption Agreement adopted by Cross Country Healthcare, Inc, and the Executive Nonqualified Excess Plan document.</w:t>
      </w:r>
    </w:p>
    <w:p>
      <w:pPr>
        <w:spacing w:after="0" w:line="197" w:lineRule="exact"/>
        <w:rPr>
          <w:sz w:val="20"/>
          <w:szCs w:val="20"/>
          <w:color w:val="auto"/>
        </w:rPr>
      </w:pPr>
    </w:p>
    <w:p>
      <w:pPr>
        <w:ind w:left="1680" w:right="140" w:hanging="321"/>
        <w:spacing w:after="0" w:line="350" w:lineRule="auto"/>
        <w:tabs>
          <w:tab w:leader="none" w:pos="1680" w:val="left"/>
        </w:tabs>
        <w:numPr>
          <w:ilvl w:val="0"/>
          <w:numId w:val="62"/>
        </w:numPr>
        <w:rPr>
          <w:rFonts w:ascii="Arial" w:cs="Arial" w:eastAsia="Arial" w:hAnsi="Arial"/>
          <w:sz w:val="19"/>
          <w:szCs w:val="19"/>
          <w:color w:val="auto"/>
        </w:rPr>
      </w:pPr>
      <w:r>
        <w:rPr>
          <w:rFonts w:ascii="Arial" w:cs="Arial" w:eastAsia="Arial" w:hAnsi="Arial"/>
          <w:sz w:val="16"/>
          <w:szCs w:val="16"/>
          <w:color w:val="auto"/>
        </w:rPr>
        <w:t>Under Section 4.1 of the Adoption Agreement, the maximum deferral of 100% of the Service Bonus, Performance-Based Compensation, and Commissions will be subject to payroll accommodations to the extent necessary to pay all applicable taxes owed.</w:t>
      </w:r>
    </w:p>
    <w:p>
      <w:pPr>
        <w:spacing w:after="0" w:line="142" w:lineRule="exact"/>
        <w:rPr>
          <w:rFonts w:ascii="Arial" w:cs="Arial" w:eastAsia="Arial" w:hAnsi="Arial"/>
          <w:sz w:val="19"/>
          <w:szCs w:val="19"/>
          <w:color w:val="auto"/>
        </w:rPr>
      </w:pPr>
    </w:p>
    <w:p>
      <w:pPr>
        <w:jc w:val="both"/>
        <w:ind w:left="1680" w:right="100" w:hanging="321"/>
        <w:spacing w:after="0" w:line="280" w:lineRule="auto"/>
        <w:tabs>
          <w:tab w:leader="none" w:pos="1680" w:val="left"/>
        </w:tabs>
        <w:numPr>
          <w:ilvl w:val="0"/>
          <w:numId w:val="62"/>
        </w:numPr>
        <w:rPr>
          <w:rFonts w:ascii="Arial" w:cs="Arial" w:eastAsia="Arial" w:hAnsi="Arial"/>
          <w:sz w:val="22"/>
          <w:szCs w:val="22"/>
          <w:color w:val="auto"/>
        </w:rPr>
      </w:pPr>
      <w:r>
        <w:rPr>
          <w:rFonts w:ascii="Arial" w:cs="Arial" w:eastAsia="Arial" w:hAnsi="Arial"/>
          <w:sz w:val="18"/>
          <w:szCs w:val="18"/>
          <w:color w:val="auto"/>
        </w:rPr>
        <w:t>For the purpose of this Plan, all uses of the term “Independent Contractor” throughout the Plan document, including but not limited to the definition of Independent Contractor in Section 2.18, will refer instead to a “Non-Employee Director,” defined as a director of the Employer who is not an Employee.</w:t>
      </w:r>
    </w:p>
    <w:p>
      <w:pPr>
        <w:spacing w:after="0" w:line="207" w:lineRule="exact"/>
        <w:rPr>
          <w:rFonts w:ascii="Arial" w:cs="Arial" w:eastAsia="Arial" w:hAnsi="Arial"/>
          <w:sz w:val="22"/>
          <w:szCs w:val="22"/>
          <w:color w:val="auto"/>
        </w:rPr>
      </w:pPr>
    </w:p>
    <w:p>
      <w:pPr>
        <w:ind w:left="1680" w:right="200" w:hanging="321"/>
        <w:spacing w:after="0" w:line="271" w:lineRule="auto"/>
        <w:tabs>
          <w:tab w:leader="none" w:pos="1680" w:val="left"/>
        </w:tabs>
        <w:numPr>
          <w:ilvl w:val="0"/>
          <w:numId w:val="62"/>
        </w:numPr>
        <w:rPr>
          <w:rFonts w:ascii="Arial" w:cs="Arial" w:eastAsia="Arial" w:hAnsi="Arial"/>
          <w:sz w:val="22"/>
          <w:szCs w:val="22"/>
          <w:color w:val="auto"/>
        </w:rPr>
      </w:pPr>
      <w:r>
        <w:rPr>
          <w:rFonts w:ascii="Arial" w:cs="Arial" w:eastAsia="Arial" w:hAnsi="Arial"/>
          <w:sz w:val="18"/>
          <w:szCs w:val="18"/>
          <w:color w:val="auto"/>
        </w:rPr>
        <w:t>For purposes of this Plan, the following definition of Change in Control Event will be used instead of the definition in Section 2.5 of the Plan document:</w:t>
      </w:r>
    </w:p>
    <w:p>
      <w:pPr>
        <w:spacing w:after="0" w:line="179" w:lineRule="exact"/>
        <w:rPr>
          <w:sz w:val="20"/>
          <w:szCs w:val="20"/>
          <w:color w:val="auto"/>
        </w:rPr>
      </w:pPr>
    </w:p>
    <w:p>
      <w:pPr>
        <w:ind w:left="2120"/>
        <w:spacing w:after="0"/>
        <w:rPr>
          <w:sz w:val="20"/>
          <w:szCs w:val="20"/>
          <w:color w:val="auto"/>
        </w:rPr>
      </w:pPr>
      <w:r>
        <w:rPr>
          <w:rFonts w:ascii="Arial" w:cs="Arial" w:eastAsia="Arial" w:hAnsi="Arial"/>
          <w:sz w:val="18"/>
          <w:szCs w:val="18"/>
          <w:b w:val="1"/>
          <w:bCs w:val="1"/>
          <w:u w:val="single" w:color="auto"/>
          <w:color w:val="auto"/>
        </w:rPr>
        <w:t xml:space="preserve">“Change of Control Event” </w:t>
      </w:r>
      <w:r>
        <w:rPr>
          <w:rFonts w:ascii="Arial" w:cs="Arial" w:eastAsia="Arial" w:hAnsi="Arial"/>
          <w:sz w:val="18"/>
          <w:szCs w:val="18"/>
          <w:u w:val="single" w:color="auto"/>
          <w:color w:val="auto"/>
        </w:rPr>
        <w:t>means:</w:t>
      </w:r>
    </w:p>
    <w:p>
      <w:pPr>
        <w:spacing w:after="0" w:line="270" w:lineRule="exact"/>
        <w:rPr>
          <w:sz w:val="20"/>
          <w:szCs w:val="20"/>
          <w:color w:val="auto"/>
        </w:rPr>
      </w:pPr>
    </w:p>
    <w:p>
      <w:pPr>
        <w:jc w:val="both"/>
        <w:ind w:left="2120" w:firstLine="1291"/>
        <w:spacing w:after="0" w:line="285" w:lineRule="auto"/>
        <w:tabs>
          <w:tab w:leader="none" w:pos="3858" w:val="left"/>
        </w:tabs>
        <w:numPr>
          <w:ilvl w:val="0"/>
          <w:numId w:val="63"/>
        </w:numPr>
        <w:rPr>
          <w:rFonts w:ascii="Arial" w:cs="Arial" w:eastAsia="Arial" w:hAnsi="Arial"/>
          <w:sz w:val="22"/>
          <w:szCs w:val="22"/>
          <w:color w:val="auto"/>
        </w:rPr>
      </w:pPr>
      <w:r>
        <w:rPr>
          <w:rFonts w:ascii="Arial" w:cs="Arial" w:eastAsia="Arial" w:hAnsi="Arial"/>
          <w:sz w:val="18"/>
          <w:szCs w:val="18"/>
          <w:color w:val="auto"/>
        </w:rPr>
        <w:t>the acquisition by any individual, entity or group (within the meaning of Section 13(d)(3) or 14(d)(2) of the Exchange Act (a “Person”) of beneficial ownership (within the meaning of Rule 13d-3 promulgated under the Exchange Act) of a majority of the combined voting power of the then outstanding voting securities of the Company entitled to vote generally in the election of the Company’s directors;</w:t>
      </w:r>
    </w:p>
    <w:p>
      <w:pPr>
        <w:spacing w:after="0" w:line="214" w:lineRule="exact"/>
        <w:rPr>
          <w:rFonts w:ascii="Arial" w:cs="Arial" w:eastAsia="Arial" w:hAnsi="Arial"/>
          <w:sz w:val="22"/>
          <w:szCs w:val="22"/>
          <w:color w:val="auto"/>
        </w:rPr>
      </w:pPr>
    </w:p>
    <w:p>
      <w:pPr>
        <w:jc w:val="both"/>
        <w:ind w:left="2120" w:firstLine="1291"/>
        <w:spacing w:after="0" w:line="335" w:lineRule="auto"/>
        <w:tabs>
          <w:tab w:leader="none" w:pos="3917" w:val="left"/>
        </w:tabs>
        <w:numPr>
          <w:ilvl w:val="0"/>
          <w:numId w:val="63"/>
        </w:numPr>
        <w:rPr>
          <w:rFonts w:ascii="Arial" w:cs="Arial" w:eastAsia="Arial" w:hAnsi="Arial"/>
          <w:sz w:val="19"/>
          <w:szCs w:val="19"/>
          <w:color w:val="auto"/>
        </w:rPr>
      </w:pPr>
      <w:r>
        <w:rPr>
          <w:rFonts w:ascii="Arial" w:cs="Arial" w:eastAsia="Arial" w:hAnsi="Arial"/>
          <w:sz w:val="16"/>
          <w:szCs w:val="16"/>
          <w:color w:val="auto"/>
        </w:rPr>
        <w:t>during any period of two consecutive years (“</w:t>
      </w:r>
      <w:r>
        <w:rPr>
          <w:rFonts w:ascii="Arial" w:cs="Arial" w:eastAsia="Arial" w:hAnsi="Arial"/>
          <w:sz w:val="16"/>
          <w:szCs w:val="16"/>
          <w:b w:val="1"/>
          <w:bCs w:val="1"/>
          <w:u w:val="single" w:color="auto"/>
          <w:color w:val="auto"/>
        </w:rPr>
        <w:t>Board Measurement Period</w:t>
      </w:r>
      <w:r>
        <w:rPr>
          <w:rFonts w:ascii="Arial" w:cs="Arial" w:eastAsia="Arial" w:hAnsi="Arial"/>
          <w:sz w:val="16"/>
          <w:szCs w:val="16"/>
          <w:b w:val="1"/>
          <w:bCs w:val="1"/>
          <w:color w:val="auto"/>
        </w:rPr>
        <w:t>”</w:t>
      </w:r>
      <w:r>
        <w:rPr>
          <w:rFonts w:ascii="Arial" w:cs="Arial" w:eastAsia="Arial" w:hAnsi="Arial"/>
          <w:sz w:val="16"/>
          <w:szCs w:val="16"/>
          <w:color w:val="auto"/>
        </w:rPr>
        <w:t>), individuals who at the beginning of a Board Measurement Period constitute the Board and any new director (other than a director designated by a person who has entered into an agreement with the Company to effect a transaction described in paragraph (a), (c), or (d) of this Section or a director whose initial assumption of office occurs as a result of either an actual or threatened election contest (as such term is used in Rule 14a-11 of Regulation 14A promulgated under the Exchange Act) or other actual or threatened solicitation proxies or consents by or on behalf of a person other than the Board) whose election by the Board or nomination for election by the Company’s stockholders was approved by a vote of at least two-thirds (the “</w:t>
      </w:r>
      <w:r>
        <w:rPr>
          <w:rFonts w:ascii="Arial" w:cs="Arial" w:eastAsia="Arial" w:hAnsi="Arial"/>
          <w:sz w:val="16"/>
          <w:szCs w:val="16"/>
          <w:b w:val="1"/>
          <w:bCs w:val="1"/>
          <w:u w:val="single" w:color="auto"/>
          <w:color w:val="auto"/>
        </w:rPr>
        <w:t>Required Vote</w:t>
      </w:r>
      <w:r>
        <w:rPr>
          <w:rFonts w:ascii="Arial" w:cs="Arial" w:eastAsia="Arial" w:hAnsi="Arial"/>
          <w:sz w:val="16"/>
          <w:szCs w:val="16"/>
          <w:color w:val="auto"/>
        </w:rPr>
        <w:t>”) of the directors then still in office who either were directors at the beginning of the applicable Board Measurement Period or whose election or nomination for election was previously so approved, cease for any reason to constitute at least a majority of the Board;</w:t>
      </w:r>
    </w:p>
    <w:p>
      <w:pPr>
        <w:spacing w:after="0" w:line="183" w:lineRule="exact"/>
        <w:rPr>
          <w:rFonts w:ascii="Arial" w:cs="Arial" w:eastAsia="Arial" w:hAnsi="Arial"/>
          <w:sz w:val="19"/>
          <w:szCs w:val="19"/>
          <w:color w:val="auto"/>
        </w:rPr>
      </w:pPr>
    </w:p>
    <w:p>
      <w:pPr>
        <w:jc w:val="both"/>
        <w:ind w:left="2120" w:firstLine="1291"/>
        <w:spacing w:after="0" w:line="310" w:lineRule="auto"/>
        <w:tabs>
          <w:tab w:leader="none" w:pos="3917" w:val="left"/>
        </w:tabs>
        <w:numPr>
          <w:ilvl w:val="0"/>
          <w:numId w:val="63"/>
        </w:numPr>
        <w:rPr>
          <w:rFonts w:ascii="Arial" w:cs="Arial" w:eastAsia="Arial" w:hAnsi="Arial"/>
          <w:sz w:val="21"/>
          <w:szCs w:val="21"/>
          <w:color w:val="auto"/>
        </w:rPr>
      </w:pPr>
      <w:r>
        <w:rPr>
          <w:rFonts w:ascii="Arial" w:cs="Arial" w:eastAsia="Arial" w:hAnsi="Arial"/>
          <w:sz w:val="17"/>
          <w:szCs w:val="17"/>
          <w:color w:val="auto"/>
        </w:rPr>
        <w:t>the consummation of a merger, consolidation, reorganization or similar form of corporate transaction involving the Company that requires the approval of the Company’s stockholders, whether for such transaction or the issuance of securities in the transaction (a “</w:t>
      </w:r>
      <w:r>
        <w:rPr>
          <w:rFonts w:ascii="Arial" w:cs="Arial" w:eastAsia="Arial" w:hAnsi="Arial"/>
          <w:sz w:val="17"/>
          <w:szCs w:val="17"/>
          <w:b w:val="1"/>
          <w:bCs w:val="1"/>
          <w:u w:val="single" w:color="auto"/>
          <w:color w:val="auto"/>
        </w:rPr>
        <w:t>Business Combination</w:t>
      </w:r>
      <w:r>
        <w:rPr>
          <w:rFonts w:ascii="Arial" w:cs="Arial" w:eastAsia="Arial" w:hAnsi="Arial"/>
          <w:sz w:val="17"/>
          <w:szCs w:val="17"/>
          <w:color w:val="auto"/>
        </w:rPr>
        <w:t>”), if immediately following such Business Combination: (x) a Person is or becomes the beneficial owner, directly or indirectly, of a majority of the combined voting power of the outstanding voting securities eligible to elect directors of the Company (or the surviving entity if the Company is not the surviving entity), or (y) the Company’s shareholders cease to beneficially own, directly or indirectly, in substantially the same proportion as they owned the then outstanding voting securities immediately prior to the Business Combination, a majority of the combined voting power of the outstanding voting securities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98" w:right="239" w:bottom="1440" w:gutter="0" w:footer="0" w:header="0"/>
        </w:sectPr>
      </w:pPr>
    </w:p>
    <w:bookmarkStart w:id="113" w:name="page114"/>
    <w:bookmarkEnd w:id="113"/>
    <w:p>
      <w:pPr>
        <w:ind w:left="2120"/>
        <w:spacing w:after="0"/>
        <w:rPr>
          <w:sz w:val="20"/>
          <w:szCs w:val="20"/>
          <w:color w:val="auto"/>
        </w:rPr>
      </w:pPr>
      <w:r>
        <w:rPr>
          <w:rFonts w:ascii="Arial" w:cs="Arial" w:eastAsia="Arial" w:hAnsi="Arial"/>
          <w:sz w:val="18"/>
          <w:szCs w:val="18"/>
          <w:color w:val="auto"/>
        </w:rPr>
        <w:t>eligible to elect directors of the Company (or the surviving entity if the Company is not the surviving entity);</w:t>
      </w:r>
    </w:p>
    <w:p>
      <w:pPr>
        <w:spacing w:after="0" w:line="243" w:lineRule="exact"/>
        <w:rPr>
          <w:sz w:val="20"/>
          <w:szCs w:val="20"/>
          <w:color w:val="auto"/>
        </w:rPr>
      </w:pPr>
    </w:p>
    <w:p>
      <w:pPr>
        <w:ind w:left="3840" w:hanging="429"/>
        <w:spacing w:after="0"/>
        <w:tabs>
          <w:tab w:leader="none" w:pos="3840" w:val="left"/>
        </w:tabs>
        <w:numPr>
          <w:ilvl w:val="0"/>
          <w:numId w:val="64"/>
        </w:numPr>
        <w:rPr>
          <w:rFonts w:ascii="Arial" w:cs="Arial" w:eastAsia="Arial" w:hAnsi="Arial"/>
          <w:sz w:val="22"/>
          <w:szCs w:val="22"/>
          <w:color w:val="auto"/>
        </w:rPr>
      </w:pPr>
      <w:r>
        <w:rPr>
          <w:rFonts w:ascii="Arial" w:cs="Arial" w:eastAsia="Arial" w:hAnsi="Arial"/>
          <w:sz w:val="18"/>
          <w:szCs w:val="18"/>
          <w:color w:val="auto"/>
        </w:rPr>
        <w:t>the dissolution or liquidation of Employer; or</w:t>
      </w:r>
    </w:p>
    <w:p>
      <w:pPr>
        <w:spacing w:after="0" w:line="244" w:lineRule="exact"/>
        <w:rPr>
          <w:rFonts w:ascii="Arial" w:cs="Arial" w:eastAsia="Arial" w:hAnsi="Arial"/>
          <w:sz w:val="22"/>
          <w:szCs w:val="22"/>
          <w:color w:val="auto"/>
        </w:rPr>
      </w:pPr>
    </w:p>
    <w:p>
      <w:pPr>
        <w:ind w:left="3900" w:hanging="489"/>
        <w:spacing w:after="0"/>
        <w:tabs>
          <w:tab w:leader="none" w:pos="3900" w:val="left"/>
        </w:tabs>
        <w:numPr>
          <w:ilvl w:val="0"/>
          <w:numId w:val="64"/>
        </w:numPr>
        <w:rPr>
          <w:rFonts w:ascii="Arial" w:cs="Arial" w:eastAsia="Arial" w:hAnsi="Arial"/>
          <w:sz w:val="21"/>
          <w:szCs w:val="21"/>
          <w:color w:val="auto"/>
        </w:rPr>
      </w:pPr>
      <w:r>
        <w:rPr>
          <w:rFonts w:ascii="Arial" w:cs="Arial" w:eastAsia="Arial" w:hAnsi="Arial"/>
          <w:sz w:val="17"/>
          <w:szCs w:val="17"/>
          <w:color w:val="auto"/>
        </w:rPr>
        <w:t>an agreement for the sale or disposition by the Company of all or substantially all of the Company’s</w:t>
      </w:r>
    </w:p>
    <w:p>
      <w:pPr>
        <w:spacing w:after="0" w:line="2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assets.</w:t>
      </w:r>
    </w:p>
    <w:p>
      <w:pPr>
        <w:spacing w:after="0" w:line="239" w:lineRule="exact"/>
        <w:rPr>
          <w:sz w:val="20"/>
          <w:szCs w:val="20"/>
          <w:color w:val="auto"/>
        </w:rPr>
      </w:pPr>
    </w:p>
    <w:p>
      <w:pPr>
        <w:ind w:left="2120" w:right="520"/>
        <w:spacing w:after="0" w:line="308" w:lineRule="auto"/>
        <w:rPr>
          <w:sz w:val="20"/>
          <w:szCs w:val="20"/>
          <w:color w:val="auto"/>
        </w:rPr>
      </w:pPr>
      <w:r>
        <w:rPr>
          <w:rFonts w:ascii="Arial" w:cs="Arial" w:eastAsia="Arial" w:hAnsi="Arial"/>
          <w:sz w:val="17"/>
          <w:szCs w:val="17"/>
          <w:u w:val="single" w:color="auto"/>
          <w:color w:val="auto"/>
        </w:rPr>
        <w:t>Notwithstanding anything herein to the contrary, none of the foregoing events shall be deemed to be a “Change in Control Event” unless such event constitutes a “change in control event” within the meaning of Code Section 409A.</w:t>
      </w:r>
    </w:p>
    <w:p>
      <w:pPr>
        <w:spacing w:after="0" w:line="390" w:lineRule="exact"/>
        <w:rPr>
          <w:sz w:val="20"/>
          <w:szCs w:val="20"/>
          <w:color w:val="auto"/>
        </w:rPr>
      </w:pPr>
    </w:p>
    <w:p>
      <w:pPr>
        <w:ind w:left="1680" w:right="20" w:hanging="321"/>
        <w:spacing w:after="0" w:line="271" w:lineRule="auto"/>
        <w:tabs>
          <w:tab w:leader="none" w:pos="1680" w:val="left"/>
        </w:tabs>
        <w:numPr>
          <w:ilvl w:val="0"/>
          <w:numId w:val="65"/>
        </w:numPr>
        <w:rPr>
          <w:rFonts w:ascii="Arial" w:cs="Arial" w:eastAsia="Arial" w:hAnsi="Arial"/>
          <w:sz w:val="22"/>
          <w:szCs w:val="22"/>
          <w:color w:val="auto"/>
        </w:rPr>
      </w:pPr>
      <w:r>
        <w:rPr>
          <w:rFonts w:ascii="Arial" w:cs="Arial" w:eastAsia="Arial" w:hAnsi="Arial"/>
          <w:sz w:val="18"/>
          <w:szCs w:val="18"/>
          <w:color w:val="auto"/>
        </w:rPr>
        <w:t>For purposes of this Plan, in Section 10.2 of the Plan document the reference to Revenue Procedure 92-65 will be disregarded, and any subsequent related guidance to Revenue Procedure 92-64 will be applied instead.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DD2320-7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8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t>Exhibit 10.56</w:t>
      </w:r>
    </w:p>
    <w:p>
      <w:pPr>
        <w:spacing w:after="0" w:line="22" w:lineRule="exact"/>
        <w:rPr>
          <w:sz w:val="20"/>
          <w:szCs w:val="20"/>
          <w:color w:val="auto"/>
        </w:rPr>
      </w:pPr>
    </w:p>
    <w:p>
      <w:pPr>
        <w:jc w:val="center"/>
        <w:ind w:right="96"/>
        <w:spacing w:after="0"/>
        <w:rPr>
          <w:sz w:val="20"/>
          <w:szCs w:val="20"/>
          <w:color w:val="auto"/>
        </w:rPr>
      </w:pPr>
      <w:r>
        <w:rPr>
          <w:rFonts w:ascii="Arial" w:cs="Arial" w:eastAsia="Arial" w:hAnsi="Arial"/>
          <w:sz w:val="86"/>
          <w:szCs w:val="86"/>
          <w:b w:val="1"/>
          <w:bCs w:val="1"/>
          <w:color w:val="auto"/>
        </w:rPr>
        <w:t>ISDA</w:t>
      </w:r>
      <w:r>
        <w:rPr>
          <w:rFonts w:ascii="Arial" w:cs="Arial" w:eastAsia="Arial" w:hAnsi="Arial"/>
          <w:sz w:val="19"/>
          <w:szCs w:val="19"/>
          <w:color w:val="auto"/>
        </w:rPr>
        <w:t>®</w:t>
      </w:r>
    </w:p>
    <w:p>
      <w:pPr>
        <w:spacing w:after="0" w:line="247" w:lineRule="exact"/>
        <w:rPr>
          <w:sz w:val="20"/>
          <w:szCs w:val="20"/>
          <w:color w:val="auto"/>
        </w:rPr>
      </w:pPr>
    </w:p>
    <w:p>
      <w:pPr>
        <w:ind w:left="4564"/>
        <w:spacing w:after="0"/>
        <w:rPr>
          <w:sz w:val="20"/>
          <w:szCs w:val="20"/>
          <w:color w:val="auto"/>
        </w:rPr>
      </w:pPr>
      <w:r>
        <w:rPr>
          <w:rFonts w:ascii="Arial" w:cs="Arial" w:eastAsia="Arial" w:hAnsi="Arial"/>
          <w:sz w:val="16"/>
          <w:szCs w:val="16"/>
          <w:color w:val="auto"/>
        </w:rPr>
        <w:t>International Swaps and Derivatives Association, Inc.</w:t>
      </w:r>
    </w:p>
    <w:p>
      <w:pPr>
        <w:spacing w:after="0" w:line="255" w:lineRule="exact"/>
        <w:rPr>
          <w:sz w:val="20"/>
          <w:szCs w:val="20"/>
          <w:color w:val="auto"/>
        </w:rPr>
      </w:pPr>
    </w:p>
    <w:p>
      <w:pPr>
        <w:ind w:left="3444"/>
        <w:spacing w:after="0"/>
        <w:rPr>
          <w:sz w:val="20"/>
          <w:szCs w:val="20"/>
          <w:color w:val="auto"/>
        </w:rPr>
      </w:pPr>
      <w:r>
        <w:rPr>
          <w:rFonts w:ascii="Arial" w:cs="Arial" w:eastAsia="Arial" w:hAnsi="Arial"/>
          <w:sz w:val="43"/>
          <w:szCs w:val="43"/>
          <w:b w:val="1"/>
          <w:bCs w:val="1"/>
          <w:color w:val="auto"/>
        </w:rPr>
        <w:t>2002 MASTER AGREEMENT</w:t>
      </w:r>
    </w:p>
    <w:p>
      <w:pPr>
        <w:spacing w:after="0" w:line="200" w:lineRule="exact"/>
        <w:rPr>
          <w:sz w:val="20"/>
          <w:szCs w:val="20"/>
          <w:color w:val="auto"/>
        </w:rPr>
      </w:pPr>
    </w:p>
    <w:p>
      <w:pPr>
        <w:spacing w:after="0" w:line="21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dated as of February 14, 2018</w:t>
      </w:r>
    </w:p>
    <w:p>
      <w:pPr>
        <w:spacing w:after="0" w:line="157" w:lineRule="exact"/>
        <w:rPr>
          <w:sz w:val="20"/>
          <w:szCs w:val="20"/>
          <w:color w:val="auto"/>
        </w:rPr>
      </w:pPr>
    </w:p>
    <w:p>
      <w:pPr>
        <w:ind w:left="6344"/>
        <w:spacing w:after="0"/>
        <w:rPr>
          <w:sz w:val="20"/>
          <w:szCs w:val="20"/>
          <w:color w:val="auto"/>
        </w:rPr>
      </w:pPr>
      <w:r>
        <w:rPr>
          <w:rFonts w:ascii="Arial" w:cs="Arial" w:eastAsia="Arial" w:hAnsi="Arial"/>
          <w:sz w:val="20"/>
          <w:szCs w:val="20"/>
          <w:b w:val="1"/>
          <w:bCs w:val="1"/>
          <w:color w:val="auto"/>
        </w:rPr>
        <w:t>CROSS COUNTRY HEALTHCARE,</w:t>
      </w:r>
    </w:p>
    <w:p>
      <w:pPr>
        <w:ind w:left="2584"/>
        <w:spacing w:after="0"/>
        <w:rPr>
          <w:sz w:val="20"/>
          <w:szCs w:val="20"/>
          <w:color w:val="auto"/>
        </w:rPr>
      </w:pPr>
      <w:r>
        <w:rPr>
          <w:rFonts w:ascii="Arial" w:cs="Arial" w:eastAsia="Arial" w:hAnsi="Arial"/>
          <w:sz w:val="20"/>
          <w:szCs w:val="20"/>
          <w:b w:val="1"/>
          <w:bCs w:val="1"/>
          <w:color w:val="auto"/>
        </w:rPr>
        <w:t>SUNTRUST BANK</w:t>
      </w:r>
    </w:p>
    <w:p>
      <w:pPr>
        <w:spacing w:after="0" w:line="50" w:lineRule="exact"/>
        <w:rPr>
          <w:sz w:val="20"/>
          <w:szCs w:val="20"/>
          <w:color w:val="auto"/>
        </w:rPr>
      </w:pPr>
    </w:p>
    <w:p>
      <w:pPr>
        <w:ind w:left="6344"/>
        <w:spacing w:after="0"/>
        <w:rPr>
          <w:sz w:val="20"/>
          <w:szCs w:val="20"/>
          <w:color w:val="auto"/>
        </w:rPr>
      </w:pPr>
      <w:r>
        <w:rPr>
          <w:rFonts w:ascii="Arial" w:cs="Arial" w:eastAsia="Arial" w:hAnsi="Arial"/>
          <w:sz w:val="18"/>
          <w:szCs w:val="18"/>
          <w:b w:val="1"/>
          <w:bCs w:val="1"/>
          <w:color w:val="auto"/>
        </w:rPr>
        <w:t>INC.</w:t>
      </w:r>
    </w:p>
    <w:p>
      <w:pPr>
        <w:spacing w:after="0" w:line="200" w:lineRule="exact"/>
        <w:rPr>
          <w:sz w:val="20"/>
          <w:szCs w:val="20"/>
          <w:color w:val="auto"/>
        </w:rPr>
      </w:pPr>
    </w:p>
    <w:p>
      <w:pPr>
        <w:spacing w:after="0" w:line="380" w:lineRule="exact"/>
        <w:rPr>
          <w:sz w:val="20"/>
          <w:szCs w:val="20"/>
          <w:color w:val="auto"/>
        </w:rPr>
      </w:pPr>
    </w:p>
    <w:p>
      <w:pPr>
        <w:ind w:left="1684"/>
        <w:spacing w:after="0"/>
        <w:rPr>
          <w:sz w:val="20"/>
          <w:szCs w:val="20"/>
          <w:color w:val="auto"/>
        </w:rPr>
      </w:pPr>
      <w:r>
        <w:rPr>
          <w:rFonts w:ascii="Arial" w:cs="Arial" w:eastAsia="Arial" w:hAnsi="Arial"/>
          <w:sz w:val="18"/>
          <w:szCs w:val="18"/>
          <w:color w:val="auto"/>
        </w:rPr>
        <w:t>.................................................................................... and .....................................................................................</w:t>
      </w:r>
    </w:p>
    <w:p>
      <w:pPr>
        <w:spacing w:after="0" w:line="239" w:lineRule="exact"/>
        <w:rPr>
          <w:sz w:val="20"/>
          <w:szCs w:val="20"/>
          <w:color w:val="auto"/>
        </w:rPr>
      </w:pPr>
    </w:p>
    <w:p>
      <w:pPr>
        <w:jc w:val="center"/>
        <w:ind w:right="16"/>
        <w:spacing w:after="0" w:line="259" w:lineRule="auto"/>
        <w:rPr>
          <w:sz w:val="20"/>
          <w:szCs w:val="20"/>
          <w:color w:val="auto"/>
        </w:rPr>
      </w:pPr>
      <w:r>
        <w:rPr>
          <w:rFonts w:ascii="Arial" w:cs="Arial" w:eastAsia="Arial" w:hAnsi="Arial"/>
          <w:sz w:val="18"/>
          <w:szCs w:val="18"/>
          <w:color w:val="auto"/>
        </w:rPr>
        <w:t>have entered and/or anticipate entering into one or more transactions (each a “Transaction”) that are or will be governed by this 2002 Master Agreement, which includes the schedule (the “Schedule”), and the documents and other confirming evidence (each a “Confirmation”) exchanged between the parties or otherwise effective for the purpose of confirming or evidencing those Transactions. This 2002 Master Agreement and the Schedule are together referred to as this “Master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Accordingly, the parties agree as follows:―</w:t>
      </w:r>
    </w:p>
    <w:p>
      <w:pPr>
        <w:spacing w:after="0" w:line="221" w:lineRule="exact"/>
        <w:rPr>
          <w:sz w:val="20"/>
          <w:szCs w:val="20"/>
          <w:color w:val="auto"/>
        </w:rPr>
      </w:pPr>
    </w:p>
    <w:p>
      <w:pPr>
        <w:ind w:left="624" w:hanging="624"/>
        <w:spacing w:after="0"/>
        <w:tabs>
          <w:tab w:leader="none" w:pos="624"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left="4" w:hanging="4"/>
        <w:spacing w:after="0" w:line="324" w:lineRule="auto"/>
        <w:tabs>
          <w:tab w:leader="none" w:pos="82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The terms defined in Section 14 and elsewhere in this Master Agreement will have the meanings therein specified for the purpose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Master Agreement.</w:t>
      </w:r>
    </w:p>
    <w:p>
      <w:pPr>
        <w:spacing w:after="0" w:line="170" w:lineRule="exact"/>
        <w:rPr>
          <w:rFonts w:ascii="Arial" w:cs="Arial" w:eastAsia="Arial" w:hAnsi="Arial"/>
          <w:sz w:val="18"/>
          <w:szCs w:val="18"/>
          <w:color w:val="auto"/>
        </w:rPr>
      </w:pPr>
    </w:p>
    <w:p>
      <w:pPr>
        <w:jc w:val="both"/>
        <w:ind w:left="4" w:hanging="4"/>
        <w:spacing w:after="0" w:line="311" w:lineRule="auto"/>
        <w:tabs>
          <w:tab w:leader="none" w:pos="8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Inconsistency. </w:t>
      </w:r>
      <w:r>
        <w:rPr>
          <w:rFonts w:ascii="Arial" w:cs="Arial" w:eastAsia="Arial" w:hAnsi="Arial"/>
          <w:sz w:val="18"/>
          <w:szCs w:val="18"/>
          <w:color w:val="auto"/>
        </w:rPr>
        <w:t>In the event of any inconsistency between the provisions of the Schedule and the other provisions of this Master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 will prevail. In the event of any inconsistency between the provisions of any Confirmation and this Master Agreement, such Confirmation will prevail for the purpose of the relevant Transaction.</w:t>
      </w:r>
    </w:p>
    <w:p>
      <w:pPr>
        <w:spacing w:after="0" w:line="181" w:lineRule="exact"/>
        <w:rPr>
          <w:rFonts w:ascii="Arial" w:cs="Arial" w:eastAsia="Arial" w:hAnsi="Arial"/>
          <w:sz w:val="18"/>
          <w:szCs w:val="18"/>
          <w:color w:val="auto"/>
        </w:rPr>
      </w:pPr>
    </w:p>
    <w:p>
      <w:pPr>
        <w:ind w:left="4" w:hanging="4"/>
        <w:spacing w:after="0" w:line="357" w:lineRule="auto"/>
        <w:tabs>
          <w:tab w:leader="none" w:pos="825"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Single Agreement. </w:t>
      </w:r>
      <w:r>
        <w:rPr>
          <w:rFonts w:ascii="Arial" w:cs="Arial" w:eastAsia="Arial" w:hAnsi="Arial"/>
          <w:sz w:val="17"/>
          <w:szCs w:val="17"/>
          <w:color w:val="auto"/>
        </w:rPr>
        <w:t>All Transactions are entered into in reliance on the fact that this Master Agreement and all Confirmations form a single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between the parties (collectively referred to as this “Agreement”), and the parties would not otherwise enter into any Transactions.</w:t>
      </w:r>
    </w:p>
    <w:p>
      <w:pPr>
        <w:spacing w:after="0" w:line="333" w:lineRule="exact"/>
        <w:rPr>
          <w:sz w:val="20"/>
          <w:szCs w:val="20"/>
          <w:color w:val="auto"/>
        </w:rPr>
      </w:pPr>
    </w:p>
    <w:p>
      <w:pPr>
        <w:ind w:left="624" w:hanging="624"/>
        <w:spacing w:after="0"/>
        <w:tabs>
          <w:tab w:leader="none" w:pos="62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Obligations</w:t>
      </w:r>
    </w:p>
    <w:p>
      <w:pPr>
        <w:spacing w:after="0" w:line="256" w:lineRule="exact"/>
        <w:rPr>
          <w:sz w:val="20"/>
          <w:szCs w:val="20"/>
          <w:color w:val="auto"/>
        </w:rPr>
      </w:pPr>
    </w:p>
    <w:p>
      <w:pPr>
        <w:ind w:left="824" w:hanging="824"/>
        <w:spacing w:after="0"/>
        <w:tabs>
          <w:tab w:leader="none" w:pos="824"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General Conditions.</w:t>
      </w:r>
    </w:p>
    <w:p>
      <w:pPr>
        <w:spacing w:after="0" w:line="252" w:lineRule="exact"/>
        <w:rPr>
          <w:rFonts w:ascii="Arial" w:cs="Arial" w:eastAsia="Arial" w:hAnsi="Arial"/>
          <w:sz w:val="18"/>
          <w:szCs w:val="18"/>
          <w:color w:val="auto"/>
        </w:rPr>
      </w:pPr>
    </w:p>
    <w:p>
      <w:pPr>
        <w:ind w:left="624" w:hanging="3"/>
        <w:spacing w:after="0" w:line="277" w:lineRule="auto"/>
        <w:tabs>
          <w:tab w:leader="none" w:pos="1076"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party will make each payment or delivery specified in each Confirmation to be made by it, subject to the other provisions of this Agreement.</w:t>
      </w:r>
    </w:p>
    <w:p>
      <w:pPr>
        <w:spacing w:after="0" w:line="170" w:lineRule="exact"/>
        <w:rPr>
          <w:rFonts w:ascii="Arial" w:cs="Arial" w:eastAsia="Arial" w:hAnsi="Arial"/>
          <w:sz w:val="18"/>
          <w:szCs w:val="18"/>
          <w:color w:val="auto"/>
        </w:rPr>
      </w:pPr>
    </w:p>
    <w:p>
      <w:pPr>
        <w:jc w:val="both"/>
        <w:ind w:left="624" w:hanging="3"/>
        <w:spacing w:after="0" w:line="264" w:lineRule="auto"/>
        <w:tabs>
          <w:tab w:leader="none" w:pos="1104" w:val="left"/>
        </w:tabs>
        <w:numPr>
          <w:ilvl w:val="1"/>
          <w:numId w:val="69"/>
        </w:numPr>
        <w:rPr>
          <w:rFonts w:ascii="Arial" w:cs="Arial" w:eastAsia="Arial" w:hAnsi="Arial"/>
          <w:sz w:val="18"/>
          <w:szCs w:val="18"/>
          <w:color w:val="auto"/>
        </w:rPr>
      </w:pPr>
      <w:r>
        <w:rPr>
          <w:rFonts w:ascii="Arial" w:cs="Arial" w:eastAsia="Arial" w:hAnsi="Arial"/>
          <w:sz w:val="18"/>
          <w:szCs w:val="18"/>
          <w:color w:val="auto"/>
        </w:rPr>
        <w:t>Payments under this Agreement will be made on the due date for value on that date in the place of the account specified in the relevant Confirmation or otherwise pursuant to this Agreement, in freely transferable funds and in the manner customary for payments in the required currency. Where settlement is by delivery</w:t>
      </w:r>
    </w:p>
    <w:p>
      <w:pPr>
        <w:spacing w:after="0" w:line="19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4"/>
          </w:cols>
          <w:pgMar w:left="356" w:top="388" w:right="239" w:bottom="1440" w:gutter="0" w:footer="0" w:header="0"/>
        </w:sectPr>
      </w:pPr>
    </w:p>
    <w:bookmarkStart w:id="115" w:name="page116"/>
    <w:bookmarkEnd w:id="115"/>
    <w:p>
      <w:pPr>
        <w:ind w:left="624"/>
        <w:spacing w:after="0" w:line="277" w:lineRule="auto"/>
        <w:rPr>
          <w:sz w:val="20"/>
          <w:szCs w:val="20"/>
          <w:color w:val="auto"/>
        </w:rPr>
      </w:pPr>
      <w:r>
        <w:rPr>
          <w:rFonts w:ascii="Arial" w:cs="Arial" w:eastAsia="Arial" w:hAnsi="Arial"/>
          <w:sz w:val="18"/>
          <w:szCs w:val="18"/>
          <w:color w:val="auto"/>
        </w:rPr>
        <w:t>(that is, other than by payment), such delivery will be made for receipt on the due date in the manner customary for the relevant obligation unless otherwise specified in the relevant Confirmation or elsewhere in this Agreement.</w:t>
      </w:r>
    </w:p>
    <w:p>
      <w:pPr>
        <w:spacing w:after="0" w:line="238" w:lineRule="exact"/>
        <w:rPr>
          <w:sz w:val="20"/>
          <w:szCs w:val="20"/>
          <w:color w:val="auto"/>
        </w:rPr>
      </w:pPr>
    </w:p>
    <w:p>
      <w:pPr>
        <w:ind w:left="624" w:hanging="3"/>
        <w:spacing w:after="0" w:line="258" w:lineRule="auto"/>
        <w:tabs>
          <w:tab w:leader="none" w:pos="1126"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obligation of each party under Section 2(a)(i) is subject to (1) the condition precedent that no Event of Default or Potential Event of Default with respect to the other party has occurred and is continuing,</w:t>
      </w:r>
    </w:p>
    <w:p>
      <w:pPr>
        <w:spacing w:after="0" w:line="1" w:lineRule="exact"/>
        <w:rPr>
          <w:rFonts w:ascii="Arial" w:cs="Arial" w:eastAsia="Arial" w:hAnsi="Arial"/>
          <w:sz w:val="18"/>
          <w:szCs w:val="18"/>
          <w:color w:val="auto"/>
        </w:rPr>
      </w:pPr>
    </w:p>
    <w:p>
      <w:pPr>
        <w:ind w:left="624"/>
        <w:spacing w:after="0" w:line="290" w:lineRule="auto"/>
        <w:rPr>
          <w:rFonts w:ascii="Arial" w:cs="Arial" w:eastAsia="Arial" w:hAnsi="Arial"/>
          <w:sz w:val="18"/>
          <w:szCs w:val="18"/>
          <w:color w:val="auto"/>
        </w:rPr>
      </w:pPr>
      <w:r>
        <w:rPr>
          <w:rFonts w:ascii="Arial" w:cs="Arial" w:eastAsia="Arial" w:hAnsi="Arial"/>
          <w:sz w:val="17"/>
          <w:szCs w:val="17"/>
          <w:color w:val="auto"/>
        </w:rPr>
        <w:t>(2) the condition precedent that no Early Termination Date in respect of the relevant Transaction has occurred or been effectively designated and (3) each other condition specified in this Agreement to be a condition precedent for the purpose of this Section 2(a)(iii).</w:t>
      </w:r>
    </w:p>
    <w:p>
      <w:pPr>
        <w:spacing w:after="0" w:line="188" w:lineRule="exact"/>
        <w:rPr>
          <w:rFonts w:ascii="Arial" w:cs="Arial" w:eastAsia="Arial" w:hAnsi="Arial"/>
          <w:sz w:val="18"/>
          <w:szCs w:val="18"/>
          <w:color w:val="auto"/>
        </w:rPr>
      </w:pPr>
    </w:p>
    <w:p>
      <w:pPr>
        <w:jc w:val="both"/>
        <w:ind w:left="4" w:hanging="4"/>
        <w:spacing w:after="0" w:line="311" w:lineRule="auto"/>
        <w:tabs>
          <w:tab w:leader="none" w:pos="83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of Account. </w:t>
      </w:r>
      <w:r>
        <w:rPr>
          <w:rFonts w:ascii="Arial" w:cs="Arial" w:eastAsia="Arial" w:hAnsi="Arial"/>
          <w:sz w:val="18"/>
          <w:szCs w:val="18"/>
          <w:color w:val="auto"/>
        </w:rPr>
        <w:t>Either party may change its account for receiving a payment or delivery by giving notice to the other party at least five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Business Days prior to the Scheduled Settlement Date for the payment or delivery to which such change applies unless such other party gives timely notice of a reasonable objection to such change.</w:t>
      </w:r>
    </w:p>
    <w:p>
      <w:pPr>
        <w:spacing w:after="0" w:line="154" w:lineRule="exact"/>
        <w:rPr>
          <w:rFonts w:ascii="Arial" w:cs="Arial" w:eastAsia="Arial" w:hAnsi="Arial"/>
          <w:sz w:val="18"/>
          <w:szCs w:val="18"/>
          <w:color w:val="auto"/>
        </w:rPr>
      </w:pPr>
    </w:p>
    <w:p>
      <w:pPr>
        <w:ind w:left="624" w:hanging="624"/>
        <w:spacing w:after="0"/>
        <w:tabs>
          <w:tab w:leader="none" w:pos="624"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Netting of Payments. </w:t>
      </w:r>
      <w:r>
        <w:rPr>
          <w:rFonts w:ascii="Arial" w:cs="Arial" w:eastAsia="Arial" w:hAnsi="Arial"/>
          <w:sz w:val="18"/>
          <w:szCs w:val="18"/>
          <w:color w:val="auto"/>
        </w:rPr>
        <w:t>If on any date amounts would otherwise be payable:―</w:t>
      </w:r>
    </w:p>
    <w:p>
      <w:pPr>
        <w:spacing w:after="0" w:line="238" w:lineRule="exact"/>
        <w:rPr>
          <w:rFonts w:ascii="Arial" w:cs="Arial" w:eastAsia="Arial" w:hAnsi="Arial"/>
          <w:sz w:val="18"/>
          <w:szCs w:val="18"/>
          <w:color w:val="auto"/>
        </w:rPr>
      </w:pPr>
    </w:p>
    <w:p>
      <w:pPr>
        <w:ind w:left="1264" w:hanging="643"/>
        <w:spacing w:after="0"/>
        <w:tabs>
          <w:tab w:leader="none" w:pos="12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the same currency; and</w:t>
      </w:r>
    </w:p>
    <w:p>
      <w:pPr>
        <w:spacing w:after="0" w:line="239" w:lineRule="exact"/>
        <w:rPr>
          <w:sz w:val="20"/>
          <w:szCs w:val="20"/>
          <w:color w:val="auto"/>
        </w:rPr>
      </w:pPr>
    </w:p>
    <w:p>
      <w:pPr>
        <w:ind w:left="1264" w:hanging="643"/>
        <w:spacing w:after="0"/>
        <w:tabs>
          <w:tab w:leader="none" w:pos="12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respect of the same Transaction,</w:t>
      </w:r>
    </w:p>
    <w:p>
      <w:pPr>
        <w:spacing w:after="0" w:line="239"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by each party to the other, then, on such date, each party’s obligation to make payment of any such amount will be automatically satisfied and discharged and, if the aggregate amount that would otherwise have been payable by one party exceeds the aggregate amount that would otherwise have been payable by the other party, replaced by an obligation upon the party by which the larger aggregate amount would have been payable to pay to the other party the excess of the larger aggregate amount over the smaller aggregate amount.</w:t>
      </w:r>
    </w:p>
    <w:p>
      <w:pPr>
        <w:spacing w:after="0" w:line="187"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The parties may elect in respect of two or more Transactions that a net amount and payment obligation will be determined in respect of all amounts payable on the same date in the same currency in respect of those Transactions, regardless of whether such amounts are payable in respect of the same Transaction. The election may be made in the Schedule or any Confirmation by specifying that “Multiple Transaction Payment Netting” applies to the Transactions identified as being subject to the election (in which case clause (ii) above will not apply to such Transactions). If Multiple Transaction Payment Netting is applicable to Transactions, it will apply to those Transactions with effect from the starting date specified in the Schedule or such Confirmation, or, if a starting date is not specified in the Schedule or such Confirmation, the starting date otherwise agreed by the parties in writing. This election may be made separately for different groups of Transactions and will apply separately to each pairing of Offices through which the parties make and receive payments or deliveries.</w:t>
      </w:r>
    </w:p>
    <w:p>
      <w:pPr>
        <w:spacing w:after="0" w:line="192" w:lineRule="exact"/>
        <w:rPr>
          <w:sz w:val="20"/>
          <w:szCs w:val="20"/>
          <w:color w:val="auto"/>
        </w:rPr>
      </w:pPr>
    </w:p>
    <w:p>
      <w:pPr>
        <w:ind w:left="624" w:hanging="624"/>
        <w:spacing w:after="0"/>
        <w:tabs>
          <w:tab w:leader="none" w:pos="624"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Deduction or Withholding for Tax.</w:t>
      </w:r>
    </w:p>
    <w:p>
      <w:pPr>
        <w:spacing w:after="0" w:line="225" w:lineRule="exact"/>
        <w:rPr>
          <w:rFonts w:ascii="Arial" w:cs="Arial" w:eastAsia="Arial" w:hAnsi="Arial"/>
          <w:sz w:val="18"/>
          <w:szCs w:val="18"/>
          <w:color w:val="auto"/>
        </w:rPr>
      </w:pPr>
    </w:p>
    <w:p>
      <w:pPr>
        <w:jc w:val="both"/>
        <w:ind w:left="624" w:hanging="3"/>
        <w:spacing w:after="0" w:line="264" w:lineRule="auto"/>
        <w:tabs>
          <w:tab w:leader="none" w:pos="1001"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Gross-Up. </w:t>
      </w:r>
      <w:r>
        <w:rPr>
          <w:rFonts w:ascii="Arial" w:cs="Arial" w:eastAsia="Arial" w:hAnsi="Arial"/>
          <w:sz w:val="18"/>
          <w:szCs w:val="18"/>
          <w:color w:val="auto"/>
        </w:rPr>
        <w:t>All payments under this Agreement will be made without any deduction or withholding for or on account of any Tax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 or withholding is required by any applicable law, as modified by the practice of any relevant governmental revenue authority, then in effect. If a party is so required to deduct or withhold, then that party (“X”) will:―</w:t>
      </w:r>
    </w:p>
    <w:p>
      <w:pPr>
        <w:spacing w:after="0" w:line="181" w:lineRule="exact"/>
        <w:rPr>
          <w:rFonts w:ascii="Arial" w:cs="Arial" w:eastAsia="Arial" w:hAnsi="Arial"/>
          <w:sz w:val="18"/>
          <w:szCs w:val="18"/>
          <w:color w:val="auto"/>
        </w:rPr>
      </w:pPr>
    </w:p>
    <w:p>
      <w:pPr>
        <w:ind w:left="1664" w:hanging="394"/>
        <w:spacing w:after="0"/>
        <w:tabs>
          <w:tab w:leader="none" w:pos="1664" w:val="left"/>
        </w:tabs>
        <w:numPr>
          <w:ilvl w:val="2"/>
          <w:numId w:val="73"/>
        </w:numPr>
        <w:rPr>
          <w:rFonts w:ascii="Arial" w:cs="Arial" w:eastAsia="Arial" w:hAnsi="Arial"/>
          <w:sz w:val="18"/>
          <w:szCs w:val="18"/>
          <w:color w:val="auto"/>
        </w:rPr>
      </w:pPr>
      <w:r>
        <w:rPr>
          <w:rFonts w:ascii="Arial" w:cs="Arial" w:eastAsia="Arial" w:hAnsi="Arial"/>
          <w:sz w:val="18"/>
          <w:szCs w:val="18"/>
          <w:color w:val="auto"/>
        </w:rPr>
        <w:t>promptly notify the other party (“Y”) of such requirement;</w:t>
      </w:r>
    </w:p>
    <w:p>
      <w:pPr>
        <w:spacing w:after="0" w:line="238" w:lineRule="exact"/>
        <w:rPr>
          <w:rFonts w:ascii="Arial" w:cs="Arial" w:eastAsia="Arial" w:hAnsi="Arial"/>
          <w:sz w:val="18"/>
          <w:szCs w:val="18"/>
          <w:color w:val="auto"/>
        </w:rPr>
      </w:pPr>
    </w:p>
    <w:p>
      <w:pPr>
        <w:jc w:val="both"/>
        <w:ind w:left="1264" w:firstLine="6"/>
        <w:spacing w:after="0" w:line="264" w:lineRule="auto"/>
        <w:tabs>
          <w:tab w:leader="none" w:pos="1667" w:val="left"/>
        </w:tabs>
        <w:numPr>
          <w:ilvl w:val="2"/>
          <w:numId w:val="73"/>
        </w:numPr>
        <w:rPr>
          <w:rFonts w:ascii="Arial" w:cs="Arial" w:eastAsia="Arial" w:hAnsi="Arial"/>
          <w:sz w:val="18"/>
          <w:szCs w:val="18"/>
          <w:color w:val="auto"/>
        </w:rPr>
      </w:pPr>
      <w:r>
        <w:rPr>
          <w:rFonts w:ascii="Arial" w:cs="Arial" w:eastAsia="Arial" w:hAnsi="Arial"/>
          <w:sz w:val="18"/>
          <w:szCs w:val="18"/>
          <w:color w:val="auto"/>
        </w:rPr>
        <w:t>pay to the relevant authorities the full amount required to be deducted or withheld (including the full amount required to be deducted or withheld from any additional amount paid by X to Y under this Section 2(d)) promptly upon the earlier of determining that such deduction or withholding is required or receiving notice that such amount has been assessed against Y;</w:t>
      </w:r>
    </w:p>
    <w:p>
      <w:pPr>
        <w:spacing w:after="0" w:line="181" w:lineRule="exact"/>
        <w:rPr>
          <w:rFonts w:ascii="Arial" w:cs="Arial" w:eastAsia="Arial" w:hAnsi="Arial"/>
          <w:sz w:val="18"/>
          <w:szCs w:val="18"/>
          <w:color w:val="auto"/>
        </w:rPr>
      </w:pPr>
    </w:p>
    <w:p>
      <w:pPr>
        <w:ind w:left="1264" w:firstLine="6"/>
        <w:spacing w:after="0" w:line="277" w:lineRule="auto"/>
        <w:tabs>
          <w:tab w:leader="none" w:pos="1694" w:val="left"/>
        </w:tabs>
        <w:numPr>
          <w:ilvl w:val="2"/>
          <w:numId w:val="73"/>
        </w:numPr>
        <w:rPr>
          <w:rFonts w:ascii="Arial" w:cs="Arial" w:eastAsia="Arial" w:hAnsi="Arial"/>
          <w:sz w:val="18"/>
          <w:szCs w:val="18"/>
          <w:color w:val="auto"/>
        </w:rPr>
      </w:pPr>
      <w:r>
        <w:rPr>
          <w:rFonts w:ascii="Arial" w:cs="Arial" w:eastAsia="Arial" w:hAnsi="Arial"/>
          <w:sz w:val="18"/>
          <w:szCs w:val="18"/>
          <w:color w:val="auto"/>
        </w:rPr>
        <w:t>promptly forward to Y an official receipt (or a certified copy), or other documentation reasonably acceptable to Y, evidencing such payment to such authorities; and</w:t>
      </w:r>
    </w:p>
    <w:p>
      <w:pPr>
        <w:spacing w:after="0" w:line="18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4"/>
          </w:cols>
          <w:pgMar w:left="356" w:top="368" w:right="239" w:bottom="1440" w:gutter="0" w:footer="0" w:header="0"/>
        </w:sectPr>
      </w:pPr>
    </w:p>
    <w:bookmarkStart w:id="116" w:name="page117"/>
    <w:bookmarkEnd w:id="116"/>
    <w:p>
      <w:pPr>
        <w:jc w:val="both"/>
        <w:ind w:left="1264" w:firstLine="6"/>
        <w:spacing w:after="0" w:line="302" w:lineRule="auto"/>
        <w:tabs>
          <w:tab w:leader="none" w:pos="1664"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such Tax is an Indemnifiable Tax, pay to Y, in addition to the payment to which Y is otherwise entitled under this Agreement, such additional amount as is necessary to ensure that the net amount actually received by Y (free and clear of Indemnifiable Taxes, whether assessed against X or Y) will equal the full amount Y would have received had no such deduction or withholding been required. However, X will not be required to pay any additional amount to Y to the extent that it would not be required to be paid but for:―</w:t>
      </w:r>
    </w:p>
    <w:p>
      <w:pPr>
        <w:spacing w:after="0" w:line="154" w:lineRule="exact"/>
        <w:rPr>
          <w:rFonts w:ascii="Arial" w:cs="Arial" w:eastAsia="Arial" w:hAnsi="Arial"/>
          <w:sz w:val="16"/>
          <w:szCs w:val="16"/>
          <w:color w:val="auto"/>
        </w:rPr>
      </w:pPr>
    </w:p>
    <w:p>
      <w:pPr>
        <w:ind w:left="2344" w:hanging="440"/>
        <w:spacing w:after="0"/>
        <w:tabs>
          <w:tab w:leader="none" w:pos="2344"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failure by Y to comply with or perform any agreement contained in Section 4(a)(i), 4(a)(iii) or 4(d); or</w:t>
      </w:r>
    </w:p>
    <w:p>
      <w:pPr>
        <w:spacing w:after="0" w:line="225" w:lineRule="exact"/>
        <w:rPr>
          <w:rFonts w:ascii="Arial" w:cs="Arial" w:eastAsia="Arial" w:hAnsi="Arial"/>
          <w:sz w:val="18"/>
          <w:szCs w:val="18"/>
          <w:color w:val="auto"/>
        </w:rPr>
      </w:pPr>
    </w:p>
    <w:p>
      <w:pPr>
        <w:jc w:val="both"/>
        <w:ind w:left="1904"/>
        <w:spacing w:after="0" w:line="259" w:lineRule="auto"/>
        <w:tabs>
          <w:tab w:leader="none" w:pos="2332"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failure of a representation made by Y pursuant to Section 3(f) to be accurate and true unless such failure would not have occurred but for (I) any action taken by a taxing authority, or brought in a court of competent jurisdiction, after a Transaction is entered into (regardless of whether such action is taken or brought with respect to a party to this Agreement) or (II) a Change in Tax Law.</w:t>
      </w:r>
    </w:p>
    <w:p>
      <w:pPr>
        <w:spacing w:after="0" w:line="186" w:lineRule="exact"/>
        <w:rPr>
          <w:rFonts w:ascii="Arial" w:cs="Arial" w:eastAsia="Arial" w:hAnsi="Arial"/>
          <w:sz w:val="18"/>
          <w:szCs w:val="18"/>
          <w:color w:val="auto"/>
        </w:rPr>
      </w:pPr>
    </w:p>
    <w:p>
      <w:pPr>
        <w:ind w:left="1264" w:hanging="643"/>
        <w:spacing w:after="0"/>
        <w:tabs>
          <w:tab w:leader="none" w:pos="1264"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Liability. </w:t>
      </w:r>
      <w:r>
        <w:rPr>
          <w:rFonts w:ascii="Arial" w:cs="Arial" w:eastAsia="Arial" w:hAnsi="Arial"/>
          <w:sz w:val="18"/>
          <w:szCs w:val="18"/>
          <w:color w:val="auto"/>
        </w:rPr>
        <w:t>If:―</w:t>
      </w:r>
    </w:p>
    <w:p>
      <w:pPr>
        <w:spacing w:after="0" w:line="238" w:lineRule="exact"/>
        <w:rPr>
          <w:rFonts w:ascii="Arial" w:cs="Arial" w:eastAsia="Arial" w:hAnsi="Arial"/>
          <w:sz w:val="18"/>
          <w:szCs w:val="18"/>
          <w:color w:val="auto"/>
        </w:rPr>
      </w:pPr>
    </w:p>
    <w:p>
      <w:pPr>
        <w:ind w:left="1264" w:firstLine="6"/>
        <w:spacing w:after="0" w:line="308" w:lineRule="auto"/>
        <w:tabs>
          <w:tab w:leader="none" w:pos="1757" w:val="left"/>
        </w:tabs>
        <w:numPr>
          <w:ilvl w:val="1"/>
          <w:numId w:val="75"/>
        </w:numPr>
        <w:rPr>
          <w:rFonts w:ascii="Arial" w:cs="Arial" w:eastAsia="Arial" w:hAnsi="Arial"/>
          <w:sz w:val="17"/>
          <w:szCs w:val="17"/>
          <w:color w:val="auto"/>
        </w:rPr>
      </w:pPr>
      <w:r>
        <w:rPr>
          <w:rFonts w:ascii="Arial" w:cs="Arial" w:eastAsia="Arial" w:hAnsi="Arial"/>
          <w:sz w:val="17"/>
          <w:szCs w:val="17"/>
          <w:color w:val="auto"/>
        </w:rPr>
        <w:t>X is required by any applicable law, as modified by the practice of any relevant governmental revenue authority, to make any deduction or withholding in respect of which X would not be required to pay an additional amount to Y under Section 2(d)(i)(4);</w:t>
      </w:r>
    </w:p>
    <w:p>
      <w:pPr>
        <w:spacing w:after="0" w:line="146" w:lineRule="exact"/>
        <w:rPr>
          <w:rFonts w:ascii="Arial" w:cs="Arial" w:eastAsia="Arial" w:hAnsi="Arial"/>
          <w:sz w:val="17"/>
          <w:szCs w:val="17"/>
          <w:color w:val="auto"/>
        </w:rPr>
      </w:pPr>
    </w:p>
    <w:p>
      <w:pPr>
        <w:ind w:left="1904" w:hanging="634"/>
        <w:spacing w:after="0"/>
        <w:tabs>
          <w:tab w:leader="none" w:pos="19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X does not so deduct or withhold; and</w:t>
      </w:r>
    </w:p>
    <w:p>
      <w:pPr>
        <w:spacing w:after="0" w:line="238" w:lineRule="exact"/>
        <w:rPr>
          <w:rFonts w:ascii="Arial" w:cs="Arial" w:eastAsia="Arial" w:hAnsi="Arial"/>
          <w:sz w:val="18"/>
          <w:szCs w:val="18"/>
          <w:color w:val="auto"/>
        </w:rPr>
      </w:pPr>
    </w:p>
    <w:p>
      <w:pPr>
        <w:ind w:left="1904" w:hanging="634"/>
        <w:spacing w:after="0"/>
        <w:tabs>
          <w:tab w:leader="none" w:pos="19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liability resulting from such Tax is assessed directly against X,</w:t>
      </w:r>
    </w:p>
    <w:p>
      <w:pPr>
        <w:spacing w:after="0" w:line="239" w:lineRule="exact"/>
        <w:rPr>
          <w:sz w:val="20"/>
          <w:szCs w:val="20"/>
          <w:color w:val="auto"/>
        </w:rPr>
      </w:pPr>
    </w:p>
    <w:p>
      <w:pPr>
        <w:jc w:val="both"/>
        <w:ind w:left="624"/>
        <w:spacing w:after="0" w:line="264" w:lineRule="auto"/>
        <w:rPr>
          <w:sz w:val="20"/>
          <w:szCs w:val="20"/>
          <w:color w:val="auto"/>
        </w:rPr>
      </w:pPr>
      <w:r>
        <w:rPr>
          <w:rFonts w:ascii="Arial" w:cs="Arial" w:eastAsia="Arial" w:hAnsi="Arial"/>
          <w:sz w:val="18"/>
          <w:szCs w:val="18"/>
          <w:color w:val="auto"/>
        </w:rPr>
        <w:t>then, except to the extent Y has satisfied or then satisfies the liability resulting from such Tax, Y will promptly pay to X the amount of such liability (including any related liability for interest, but including any related liability for penalties only if Y has failed to comply with or perform any agreement contained in Section 4(a)(i), 4(a)(iii) or 4(d)).</w:t>
      </w:r>
    </w:p>
    <w:p>
      <w:pPr>
        <w:spacing w:after="0" w:line="177" w:lineRule="exact"/>
        <w:rPr>
          <w:sz w:val="20"/>
          <w:szCs w:val="20"/>
          <w:color w:val="auto"/>
        </w:rPr>
      </w:pPr>
    </w:p>
    <w:p>
      <w:pPr>
        <w:ind w:left="624" w:hanging="624"/>
        <w:spacing w:after="0"/>
        <w:tabs>
          <w:tab w:leader="none" w:pos="62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243" w:lineRule="exact"/>
        <w:rPr>
          <w:sz w:val="20"/>
          <w:szCs w:val="20"/>
          <w:color w:val="auto"/>
        </w:rPr>
      </w:pPr>
    </w:p>
    <w:p>
      <w:pPr>
        <w:jc w:val="both"/>
        <w:ind w:left="4"/>
        <w:spacing w:after="0" w:line="276" w:lineRule="auto"/>
        <w:rPr>
          <w:sz w:val="20"/>
          <w:szCs w:val="20"/>
          <w:color w:val="auto"/>
        </w:rPr>
      </w:pPr>
      <w:r>
        <w:rPr>
          <w:rFonts w:ascii="Arial" w:cs="Arial" w:eastAsia="Arial" w:hAnsi="Arial"/>
          <w:sz w:val="17"/>
          <w:szCs w:val="17"/>
          <w:color w:val="auto"/>
        </w:rPr>
        <w:t>Each party makes the representations contained in Sections 3(a), 3(b), 3(c), 3(d), 3(e) and 3(f) and, if specified in the Schedule as applying, 3(g) to the other party (which representations will be deemed to be repeated by each party on each date on which a Transaction is entered into and, in the case of the representations in Section 3(f), at all times until the termination of this Agreement). If any “Additional Representation” is specified in the Schedule or any Confirmation as applying, the party or parties specified for such Additional Representation will make and, if applicable, be deemed to repeat such Additional Representation at the time or times specified for such Additional Representation.</w:t>
      </w:r>
    </w:p>
    <w:p>
      <w:pPr>
        <w:spacing w:after="0" w:line="200" w:lineRule="exact"/>
        <w:rPr>
          <w:sz w:val="20"/>
          <w:szCs w:val="20"/>
          <w:color w:val="auto"/>
        </w:rPr>
      </w:pPr>
    </w:p>
    <w:p>
      <w:pPr>
        <w:ind w:left="824" w:hanging="824"/>
        <w:spacing w:after="0"/>
        <w:tabs>
          <w:tab w:leader="none" w:pos="824"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Basic Representations.</w:t>
      </w:r>
    </w:p>
    <w:p>
      <w:pPr>
        <w:spacing w:after="0" w:line="238" w:lineRule="exact"/>
        <w:rPr>
          <w:rFonts w:ascii="Arial" w:cs="Arial" w:eastAsia="Arial" w:hAnsi="Arial"/>
          <w:sz w:val="18"/>
          <w:szCs w:val="18"/>
          <w:color w:val="auto"/>
        </w:rPr>
      </w:pPr>
    </w:p>
    <w:p>
      <w:pPr>
        <w:ind w:left="624" w:hanging="3"/>
        <w:spacing w:after="0" w:line="277" w:lineRule="auto"/>
        <w:tabs>
          <w:tab w:leader="none" w:pos="974"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Status. </w:t>
      </w:r>
      <w:r>
        <w:rPr>
          <w:rFonts w:ascii="Arial" w:cs="Arial" w:eastAsia="Arial" w:hAnsi="Arial"/>
          <w:sz w:val="18"/>
          <w:szCs w:val="18"/>
          <w:color w:val="auto"/>
        </w:rPr>
        <w:t>It is duly organised and validly existing under the laws of the jurisdiction of its organisation or incorporation and, if relevant under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in good standing;</w:t>
      </w:r>
    </w:p>
    <w:p>
      <w:pPr>
        <w:spacing w:after="0" w:line="170" w:lineRule="exact"/>
        <w:rPr>
          <w:rFonts w:ascii="Arial" w:cs="Arial" w:eastAsia="Arial" w:hAnsi="Arial"/>
          <w:sz w:val="18"/>
          <w:szCs w:val="18"/>
          <w:color w:val="auto"/>
        </w:rPr>
      </w:pPr>
    </w:p>
    <w:p>
      <w:pPr>
        <w:jc w:val="both"/>
        <w:ind w:left="624" w:hanging="3"/>
        <w:spacing w:after="0" w:line="259" w:lineRule="auto"/>
        <w:tabs>
          <w:tab w:leader="none" w:pos="1051"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Powers. </w:t>
      </w:r>
      <w:r>
        <w:rPr>
          <w:rFonts w:ascii="Arial" w:cs="Arial" w:eastAsia="Arial" w:hAnsi="Arial"/>
          <w:sz w:val="18"/>
          <w:szCs w:val="18"/>
          <w:color w:val="auto"/>
        </w:rPr>
        <w:t>It has the power to execute this Agreement and any other documentation relating to this Agreement to which it is a party,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and any other documentation relating to this Agreement that it is required by this Agreement to deliver and to perform its obligations under this Agreement and any obligations it has under any Credit Support Document to which it is a party and has taken all necessary action to authorise such execution, delivery and performance;</w:t>
      </w:r>
    </w:p>
    <w:p>
      <w:pPr>
        <w:spacing w:after="0" w:line="240" w:lineRule="exact"/>
        <w:rPr>
          <w:rFonts w:ascii="Arial" w:cs="Arial" w:eastAsia="Arial" w:hAnsi="Arial"/>
          <w:sz w:val="18"/>
          <w:szCs w:val="18"/>
          <w:color w:val="auto"/>
        </w:rPr>
      </w:pPr>
    </w:p>
    <w:p>
      <w:pPr>
        <w:ind w:left="624" w:right="20" w:hanging="3"/>
        <w:spacing w:after="0" w:line="277" w:lineRule="auto"/>
        <w:tabs>
          <w:tab w:leader="none" w:pos="1087"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Violation or Conflict. </w:t>
      </w:r>
      <w:r>
        <w:rPr>
          <w:rFonts w:ascii="Arial" w:cs="Arial" w:eastAsia="Arial" w:hAnsi="Arial"/>
          <w:sz w:val="18"/>
          <w:szCs w:val="18"/>
          <w:color w:val="auto"/>
        </w:rPr>
        <w:t>Such execution, delivery and performance do not violate or conflict with any law applicable to it,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constitutional documents, any order or judgment of any court or</w:t>
      </w:r>
    </w:p>
    <w:p>
      <w:pPr>
        <w:spacing w:after="0" w:line="18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4"/>
          </w:cols>
          <w:pgMar w:left="356" w:top="436" w:right="239" w:bottom="1440" w:gutter="0" w:footer="0" w:header="0"/>
        </w:sectPr>
      </w:pPr>
    </w:p>
    <w:bookmarkStart w:id="117" w:name="page118"/>
    <w:bookmarkEnd w:id="117"/>
    <w:p>
      <w:pPr>
        <w:ind w:left="624"/>
        <w:spacing w:after="0"/>
        <w:rPr>
          <w:sz w:val="20"/>
          <w:szCs w:val="20"/>
          <w:color w:val="auto"/>
        </w:rPr>
      </w:pPr>
      <w:r>
        <w:rPr>
          <w:rFonts w:ascii="Arial" w:cs="Arial" w:eastAsia="Arial" w:hAnsi="Arial"/>
          <w:sz w:val="17"/>
          <w:szCs w:val="17"/>
          <w:color w:val="auto"/>
        </w:rPr>
        <w:t>other agency of government applicable to it or any of its assets or any contractual restriction binding on or affecting it or any of its assets;</w:t>
      </w:r>
    </w:p>
    <w:p>
      <w:pPr>
        <w:spacing w:after="0" w:line="237" w:lineRule="exact"/>
        <w:rPr>
          <w:sz w:val="20"/>
          <w:szCs w:val="20"/>
          <w:color w:val="auto"/>
        </w:rPr>
      </w:pPr>
    </w:p>
    <w:p>
      <w:pPr>
        <w:jc w:val="both"/>
        <w:ind w:left="624" w:hanging="3"/>
        <w:spacing w:after="0" w:line="264" w:lineRule="auto"/>
        <w:tabs>
          <w:tab w:leader="none" w:pos="1118"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Consents. </w:t>
      </w:r>
      <w:r>
        <w:rPr>
          <w:rFonts w:ascii="Arial" w:cs="Arial" w:eastAsia="Arial" w:hAnsi="Arial"/>
          <w:sz w:val="18"/>
          <w:szCs w:val="18"/>
          <w:color w:val="auto"/>
        </w:rPr>
        <w:t>All governmental and other consents that are required to have been obtained by it with respect to this Agreement or any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Document to which it is a party have been obtained and are in full force and effect and all conditions of any such consents have been complied with; and</w:t>
      </w:r>
    </w:p>
    <w:p>
      <w:pPr>
        <w:spacing w:after="0" w:line="181" w:lineRule="exact"/>
        <w:rPr>
          <w:rFonts w:ascii="Arial" w:cs="Arial" w:eastAsia="Arial" w:hAnsi="Arial"/>
          <w:sz w:val="18"/>
          <w:szCs w:val="18"/>
          <w:color w:val="auto"/>
        </w:rPr>
      </w:pPr>
    </w:p>
    <w:p>
      <w:pPr>
        <w:jc w:val="both"/>
        <w:ind w:left="624" w:hanging="3"/>
        <w:spacing w:after="0" w:line="259" w:lineRule="auto"/>
        <w:tabs>
          <w:tab w:leader="none" w:pos="1041"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Obligations Binding. </w:t>
      </w:r>
      <w:r>
        <w:rPr>
          <w:rFonts w:ascii="Arial" w:cs="Arial" w:eastAsia="Arial" w:hAnsi="Arial"/>
          <w:sz w:val="18"/>
          <w:szCs w:val="18"/>
          <w:color w:val="auto"/>
        </w:rPr>
        <w:t>Its obligations under this Agreement and any Credit Support Document to which it is a party constitute its legal, valid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binding obligations, enforceable in accordance with their respective terms (subject to applicable bankruptcy, reorganisation,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13" w:lineRule="exact"/>
        <w:rPr>
          <w:rFonts w:ascii="Arial" w:cs="Arial" w:eastAsia="Arial" w:hAnsi="Arial"/>
          <w:sz w:val="18"/>
          <w:szCs w:val="18"/>
          <w:color w:val="auto"/>
        </w:rPr>
      </w:pPr>
    </w:p>
    <w:p>
      <w:pPr>
        <w:jc w:val="both"/>
        <w:ind w:left="4" w:hanging="4"/>
        <w:spacing w:after="0" w:line="311" w:lineRule="auto"/>
        <w:tabs>
          <w:tab w:leader="none" w:pos="835"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Absence of Certain Events. </w:t>
      </w:r>
      <w:r>
        <w:rPr>
          <w:rFonts w:ascii="Arial" w:cs="Arial" w:eastAsia="Arial" w:hAnsi="Arial"/>
          <w:sz w:val="18"/>
          <w:szCs w:val="18"/>
          <w:color w:val="auto"/>
        </w:rPr>
        <w:t>No Event of Default or Potential Event of Default or, to its knowledge, Termination Event with respect to it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occurred and is continuing and no such event or circumstance would occur as a result of its entering into or performing its obligations under this Agreement or any Credit Support Document to which it is a party.</w:t>
      </w:r>
    </w:p>
    <w:p>
      <w:pPr>
        <w:spacing w:after="0" w:line="181" w:lineRule="exact"/>
        <w:rPr>
          <w:rFonts w:ascii="Arial" w:cs="Arial" w:eastAsia="Arial" w:hAnsi="Arial"/>
          <w:sz w:val="18"/>
          <w:szCs w:val="18"/>
          <w:color w:val="auto"/>
        </w:rPr>
      </w:pPr>
    </w:p>
    <w:p>
      <w:pPr>
        <w:jc w:val="both"/>
        <w:ind w:left="4" w:hanging="4"/>
        <w:spacing w:after="0" w:line="306" w:lineRule="auto"/>
        <w:tabs>
          <w:tab w:leader="none" w:pos="825"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Absence of Litigation. </w:t>
      </w:r>
      <w:r>
        <w:rPr>
          <w:rFonts w:ascii="Arial" w:cs="Arial" w:eastAsia="Arial" w:hAnsi="Arial"/>
          <w:sz w:val="18"/>
          <w:szCs w:val="18"/>
          <w:color w:val="auto"/>
        </w:rPr>
        <w:t>There is not pending or, to its knowledge, threatened against it, any of its Credit Support Providers or any of its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Entities any action, suit or proceeding at law or in equity or before any court, tribunal, governmental body, agency or official or any arbitrator that is likely to affect the legality, validity or enforceability against it of this Agreement or any Credit Support Document to which it is a party or its ability to perform its obligations under this Agreement or such Credit Support Document.</w:t>
      </w:r>
    </w:p>
    <w:p>
      <w:pPr>
        <w:spacing w:after="0" w:line="186" w:lineRule="exact"/>
        <w:rPr>
          <w:rFonts w:ascii="Arial" w:cs="Arial" w:eastAsia="Arial" w:hAnsi="Arial"/>
          <w:sz w:val="18"/>
          <w:szCs w:val="18"/>
          <w:color w:val="auto"/>
        </w:rPr>
      </w:pPr>
    </w:p>
    <w:p>
      <w:pPr>
        <w:ind w:left="4" w:right="20" w:hanging="4"/>
        <w:spacing w:after="0" w:line="395" w:lineRule="auto"/>
        <w:tabs>
          <w:tab w:leader="none" w:pos="835"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Accuracy of Specified Information. </w:t>
      </w:r>
      <w:r>
        <w:rPr>
          <w:rFonts w:ascii="Arial" w:cs="Arial" w:eastAsia="Arial" w:hAnsi="Arial"/>
          <w:sz w:val="16"/>
          <w:szCs w:val="16"/>
          <w:color w:val="auto"/>
        </w:rPr>
        <w:t>All applicable information that is furnished in writing by or on behalf of it to the other party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for the purpose of this Section 3(d) in the Schedule is, as of the date of the information, true, accurate and complete in every material respect.</w:t>
      </w:r>
    </w:p>
    <w:p>
      <w:pPr>
        <w:spacing w:after="0" w:line="123" w:lineRule="exact"/>
        <w:rPr>
          <w:rFonts w:ascii="Arial" w:cs="Arial" w:eastAsia="Arial" w:hAnsi="Arial"/>
          <w:sz w:val="16"/>
          <w:szCs w:val="16"/>
          <w:color w:val="auto"/>
        </w:rPr>
      </w:pPr>
    </w:p>
    <w:p>
      <w:pPr>
        <w:ind w:left="824" w:hanging="824"/>
        <w:spacing w:after="0"/>
        <w:tabs>
          <w:tab w:leader="none" w:pos="824"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Payer Tax Representation. </w:t>
      </w:r>
      <w:r>
        <w:rPr>
          <w:rFonts w:ascii="Arial" w:cs="Arial" w:eastAsia="Arial" w:hAnsi="Arial"/>
          <w:sz w:val="16"/>
          <w:szCs w:val="16"/>
          <w:color w:val="auto"/>
        </w:rPr>
        <w:t>Each representation specified in the Schedule as being made by it for the purpose of this Section 3(e) is accurate and</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true.</w:t>
      </w:r>
    </w:p>
    <w:p>
      <w:pPr>
        <w:spacing w:after="0" w:line="265" w:lineRule="exact"/>
        <w:rPr>
          <w:rFonts w:ascii="Arial" w:cs="Arial" w:eastAsia="Arial" w:hAnsi="Arial"/>
          <w:sz w:val="16"/>
          <w:szCs w:val="16"/>
          <w:color w:val="auto"/>
        </w:rPr>
      </w:pPr>
    </w:p>
    <w:p>
      <w:pPr>
        <w:ind w:left="804" w:hanging="804"/>
        <w:spacing w:after="0"/>
        <w:tabs>
          <w:tab w:leader="none" w:pos="804"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 Tax Representations. </w:t>
      </w:r>
      <w:r>
        <w:rPr>
          <w:rFonts w:ascii="Arial" w:cs="Arial" w:eastAsia="Arial" w:hAnsi="Arial"/>
          <w:sz w:val="16"/>
          <w:szCs w:val="16"/>
          <w:color w:val="auto"/>
        </w:rPr>
        <w:t>Each representation specified in the Schedule as being made by it for the purpose of this Section 3(f) is accurate and</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true.</w:t>
      </w:r>
    </w:p>
    <w:p>
      <w:pPr>
        <w:spacing w:after="0" w:line="265" w:lineRule="exact"/>
        <w:rPr>
          <w:rFonts w:ascii="Arial" w:cs="Arial" w:eastAsia="Arial" w:hAnsi="Arial"/>
          <w:sz w:val="16"/>
          <w:szCs w:val="16"/>
          <w:color w:val="auto"/>
        </w:rPr>
      </w:pPr>
    </w:p>
    <w:p>
      <w:pPr>
        <w:ind w:left="824" w:hanging="824"/>
        <w:spacing w:after="0"/>
        <w:tabs>
          <w:tab w:leader="none" w:pos="824"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Agency. </w:t>
      </w:r>
      <w:r>
        <w:rPr>
          <w:rFonts w:ascii="Arial" w:cs="Arial" w:eastAsia="Arial" w:hAnsi="Arial"/>
          <w:sz w:val="18"/>
          <w:szCs w:val="18"/>
          <w:color w:val="auto"/>
        </w:rPr>
        <w:t>It is entering into this Agreement, including each Transaction, as principal and not as agent of any person or entity.</w:t>
      </w:r>
    </w:p>
    <w:p>
      <w:pPr>
        <w:spacing w:after="0" w:line="235" w:lineRule="exact"/>
        <w:rPr>
          <w:sz w:val="20"/>
          <w:szCs w:val="20"/>
          <w:color w:val="auto"/>
        </w:rPr>
      </w:pPr>
    </w:p>
    <w:p>
      <w:pPr>
        <w:ind w:left="624" w:hanging="624"/>
        <w:spacing w:after="0"/>
        <w:tabs>
          <w:tab w:leader="none" w:pos="6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Agreements</w:t>
      </w:r>
    </w:p>
    <w:p>
      <w:pPr>
        <w:spacing w:after="0" w:line="243"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Each party agrees with the other that, so long as either party has or may have any obligation under this Agreement or under any Credit Support Document to which it is a party:―</w:t>
      </w:r>
    </w:p>
    <w:p>
      <w:pPr>
        <w:spacing w:after="0" w:line="197" w:lineRule="exact"/>
        <w:rPr>
          <w:sz w:val="20"/>
          <w:szCs w:val="20"/>
          <w:color w:val="auto"/>
        </w:rPr>
      </w:pPr>
    </w:p>
    <w:p>
      <w:pPr>
        <w:ind w:left="4" w:hanging="4"/>
        <w:spacing w:after="0" w:line="324" w:lineRule="auto"/>
        <w:tabs>
          <w:tab w:leader="none" w:pos="82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Furnish Specified Information. </w:t>
      </w:r>
      <w:r>
        <w:rPr>
          <w:rFonts w:ascii="Arial" w:cs="Arial" w:eastAsia="Arial" w:hAnsi="Arial"/>
          <w:sz w:val="18"/>
          <w:szCs w:val="18"/>
          <w:color w:val="auto"/>
        </w:rPr>
        <w:t>It will deliver to the other party or, in certain cases under clause (iii) below, to such government or taxing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as the other party reasonably directs:―</w:t>
      </w:r>
    </w:p>
    <w:p>
      <w:pPr>
        <w:spacing w:after="0" w:line="143" w:lineRule="exact"/>
        <w:rPr>
          <w:rFonts w:ascii="Arial" w:cs="Arial" w:eastAsia="Arial" w:hAnsi="Arial"/>
          <w:sz w:val="18"/>
          <w:szCs w:val="18"/>
          <w:color w:val="auto"/>
        </w:rPr>
      </w:pPr>
    </w:p>
    <w:p>
      <w:pPr>
        <w:ind w:left="964" w:hanging="343"/>
        <w:spacing w:after="0"/>
        <w:tabs>
          <w:tab w:leader="none" w:pos="96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forms, documents or certificates relating to taxation specified in the Schedule or any Confirmation;</w:t>
      </w:r>
    </w:p>
    <w:p>
      <w:pPr>
        <w:spacing w:after="0" w:line="225" w:lineRule="exact"/>
        <w:rPr>
          <w:rFonts w:ascii="Arial" w:cs="Arial" w:eastAsia="Arial" w:hAnsi="Arial"/>
          <w:sz w:val="18"/>
          <w:szCs w:val="18"/>
          <w:color w:val="auto"/>
        </w:rPr>
      </w:pPr>
    </w:p>
    <w:p>
      <w:pPr>
        <w:ind w:left="1264" w:hanging="643"/>
        <w:spacing w:after="0"/>
        <w:tabs>
          <w:tab w:leader="none" w:pos="126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other documents specified in the Schedule or any Confirmation; and</w:t>
      </w:r>
    </w:p>
    <w:p>
      <w:pPr>
        <w:spacing w:after="0" w:line="76" w:lineRule="exact"/>
        <w:rPr>
          <w:rFonts w:ascii="Arial" w:cs="Arial" w:eastAsia="Arial" w:hAnsi="Arial"/>
          <w:sz w:val="18"/>
          <w:szCs w:val="18"/>
          <w:color w:val="auto"/>
        </w:rPr>
      </w:pPr>
    </w:p>
    <w:p>
      <w:pPr>
        <w:jc w:val="both"/>
        <w:ind w:left="624" w:hanging="3"/>
        <w:spacing w:after="0" w:line="276" w:lineRule="auto"/>
        <w:tabs>
          <w:tab w:leader="none" w:pos="1082" w:val="left"/>
        </w:tabs>
        <w:numPr>
          <w:ilvl w:val="1"/>
          <w:numId w:val="81"/>
        </w:numPr>
        <w:rPr>
          <w:rFonts w:ascii="Arial" w:cs="Arial" w:eastAsia="Arial" w:hAnsi="Arial"/>
          <w:sz w:val="17"/>
          <w:szCs w:val="17"/>
          <w:color w:val="auto"/>
        </w:rPr>
      </w:pPr>
      <w:r>
        <w:rPr>
          <w:rFonts w:ascii="Arial" w:cs="Arial" w:eastAsia="Arial" w:hAnsi="Arial"/>
          <w:sz w:val="17"/>
          <w:szCs w:val="17"/>
          <w:color w:val="auto"/>
        </w:rPr>
        <w:t>upon reasonable demand by such other party, any form or document that may be required or reasonably requested in writing in order to allow such other party or its Credit Support Provider to make a payment under this Agreement or any applicable Credit Support Document without any deduction or withholding for or on account of any Tax or with such deduction or withholding at a reduced rate (so long as the completion, execution or submission of such form or document would not materially prejudice the legal or commercial position of the party in receipt of such demand), with any such form or document to be accurate and completed in a manner</w:t>
      </w:r>
    </w:p>
    <w:p>
      <w:pPr>
        <w:spacing w:after="0" w:line="18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4"/>
          </w:cols>
          <w:pgMar w:left="356" w:top="436" w:right="239" w:bottom="1440" w:gutter="0" w:footer="0" w:header="0"/>
        </w:sectPr>
      </w:pPr>
    </w:p>
    <w:bookmarkStart w:id="118" w:name="page119"/>
    <w:bookmarkEnd w:id="118"/>
    <w:p>
      <w:pPr>
        <w:ind w:left="624"/>
        <w:spacing w:after="0"/>
        <w:rPr>
          <w:sz w:val="20"/>
          <w:szCs w:val="20"/>
          <w:color w:val="auto"/>
        </w:rPr>
      </w:pPr>
      <w:r>
        <w:rPr>
          <w:rFonts w:ascii="Arial" w:cs="Arial" w:eastAsia="Arial" w:hAnsi="Arial"/>
          <w:sz w:val="18"/>
          <w:szCs w:val="18"/>
          <w:color w:val="auto"/>
        </w:rPr>
        <w:t>reasonably satisfactory to such other party and to be executed and to be delivered with any reasonably required certification,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each case by the date specified in the Schedule or such Confirmation or, if none is specified, as soon as reasonably practicable.</w:t>
      </w:r>
    </w:p>
    <w:p>
      <w:pPr>
        <w:spacing w:after="0" w:line="252" w:lineRule="exact"/>
        <w:rPr>
          <w:sz w:val="20"/>
          <w:szCs w:val="20"/>
          <w:color w:val="auto"/>
        </w:rPr>
      </w:pPr>
    </w:p>
    <w:p>
      <w:pPr>
        <w:jc w:val="both"/>
        <w:ind w:left="4" w:hanging="4"/>
        <w:spacing w:after="0" w:line="311" w:lineRule="auto"/>
        <w:tabs>
          <w:tab w:leader="none" w:pos="83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Authorisations. </w:t>
      </w:r>
      <w:r>
        <w:rPr>
          <w:rFonts w:ascii="Arial" w:cs="Arial" w:eastAsia="Arial" w:hAnsi="Arial"/>
          <w:sz w:val="18"/>
          <w:szCs w:val="18"/>
          <w:color w:val="auto"/>
        </w:rPr>
        <w:t>It will use all reasonable efforts to maintain in full force and effect all consents of any governmental or other authority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required to be obtained by it with respect to this Agreement or any Credit Support Document to which it is a party and will use all reasonable efforts to obtain any that may become necessary in the future.</w:t>
      </w:r>
    </w:p>
    <w:p>
      <w:pPr>
        <w:spacing w:after="0" w:line="181" w:lineRule="exact"/>
        <w:rPr>
          <w:rFonts w:ascii="Arial" w:cs="Arial" w:eastAsia="Arial" w:hAnsi="Arial"/>
          <w:sz w:val="18"/>
          <w:szCs w:val="18"/>
          <w:color w:val="auto"/>
        </w:rPr>
      </w:pPr>
    </w:p>
    <w:p>
      <w:pPr>
        <w:ind w:left="4" w:hanging="4"/>
        <w:spacing w:after="0" w:line="357" w:lineRule="auto"/>
        <w:tabs>
          <w:tab w:leader="none" w:pos="825"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Comply With Laws. </w:t>
      </w:r>
      <w:r>
        <w:rPr>
          <w:rFonts w:ascii="Arial" w:cs="Arial" w:eastAsia="Arial" w:hAnsi="Arial"/>
          <w:sz w:val="17"/>
          <w:szCs w:val="17"/>
          <w:color w:val="auto"/>
        </w:rPr>
        <w:t>It will comply in all material respects with all applicable laws and orders to which it may be subject if failure so to comply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would materially impair its ability to perform its obligations under this Agreement or any Credit Support Document to which it is a party.</w:t>
      </w:r>
    </w:p>
    <w:p>
      <w:pPr>
        <w:spacing w:after="0" w:line="147" w:lineRule="exact"/>
        <w:rPr>
          <w:rFonts w:ascii="Arial" w:cs="Arial" w:eastAsia="Arial" w:hAnsi="Arial"/>
          <w:sz w:val="17"/>
          <w:szCs w:val="17"/>
          <w:color w:val="auto"/>
        </w:rPr>
      </w:pPr>
    </w:p>
    <w:p>
      <w:pPr>
        <w:ind w:left="4" w:hanging="4"/>
        <w:spacing w:after="0" w:line="324" w:lineRule="auto"/>
        <w:tabs>
          <w:tab w:leader="none" w:pos="83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Agreement. </w:t>
      </w:r>
      <w:r>
        <w:rPr>
          <w:rFonts w:ascii="Arial" w:cs="Arial" w:eastAsia="Arial" w:hAnsi="Arial"/>
          <w:sz w:val="18"/>
          <w:szCs w:val="18"/>
          <w:color w:val="auto"/>
        </w:rPr>
        <w:t>It will give notice of any failure of a representation made by it under Section 3(f) to be accurate and true promptly upon learning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such failure.</w:t>
      </w:r>
    </w:p>
    <w:p>
      <w:pPr>
        <w:spacing w:after="0" w:line="170" w:lineRule="exact"/>
        <w:rPr>
          <w:rFonts w:ascii="Arial" w:cs="Arial" w:eastAsia="Arial" w:hAnsi="Arial"/>
          <w:sz w:val="18"/>
          <w:szCs w:val="18"/>
          <w:color w:val="auto"/>
        </w:rPr>
      </w:pPr>
    </w:p>
    <w:p>
      <w:pPr>
        <w:jc w:val="both"/>
        <w:ind w:left="4" w:hanging="4"/>
        <w:spacing w:after="0" w:line="304" w:lineRule="auto"/>
        <w:tabs>
          <w:tab w:leader="none" w:pos="82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of Stamp Tax. </w:t>
      </w:r>
      <w:r>
        <w:rPr>
          <w:rFonts w:ascii="Arial" w:cs="Arial" w:eastAsia="Arial" w:hAnsi="Arial"/>
          <w:sz w:val="18"/>
          <w:szCs w:val="18"/>
          <w:color w:val="auto"/>
        </w:rPr>
        <w:t>Subject to Section 11, it will pay any Stamp Tax levied or imposed upon it or in respect of its execution or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by a jurisdiction in which it is incorporated, organised, managed and controlled or considered to have its seat, or where an Office through which it is acting for the purpose of this Agreement is located (“Stamp Tax Jurisdiction”), and will indemnify the other party against any Stamp Tax levied or imposed upon the other party or in respect of the other party’s execution or performance of this Agreement by any such Stamp Tax Jurisdiction which is not also a Stamp Tax Jurisdiction with respect to the other party.</w:t>
      </w:r>
    </w:p>
    <w:p>
      <w:pPr>
        <w:spacing w:after="0" w:line="157" w:lineRule="exact"/>
        <w:rPr>
          <w:sz w:val="20"/>
          <w:szCs w:val="20"/>
          <w:color w:val="auto"/>
        </w:rPr>
      </w:pPr>
    </w:p>
    <w:p>
      <w:pPr>
        <w:ind w:left="624" w:hanging="624"/>
        <w:spacing w:after="0"/>
        <w:tabs>
          <w:tab w:leader="none" w:pos="62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Events of Default and Termination Events</w:t>
      </w:r>
    </w:p>
    <w:p>
      <w:pPr>
        <w:spacing w:after="0" w:line="256" w:lineRule="exact"/>
        <w:rPr>
          <w:sz w:val="20"/>
          <w:szCs w:val="20"/>
          <w:color w:val="auto"/>
        </w:rPr>
      </w:pPr>
    </w:p>
    <w:p>
      <w:pPr>
        <w:jc w:val="both"/>
        <w:ind w:left="4" w:hanging="4"/>
        <w:spacing w:after="0" w:line="311" w:lineRule="auto"/>
        <w:tabs>
          <w:tab w:leader="none" w:pos="82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occurrence at any time with respect to a party or, if applicable, any Credit Support Provider of such party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Entity of such party of any of the following events constitutes (subject to Sections 5(c) and 6(e)(iv)) an event of default (an “Event of Default”) with respect to such party:―</w:t>
      </w:r>
    </w:p>
    <w:p>
      <w:pPr>
        <w:spacing w:after="0" w:line="154" w:lineRule="exact"/>
        <w:rPr>
          <w:rFonts w:ascii="Arial" w:cs="Arial" w:eastAsia="Arial" w:hAnsi="Arial"/>
          <w:sz w:val="18"/>
          <w:szCs w:val="18"/>
          <w:color w:val="auto"/>
        </w:rPr>
      </w:pPr>
    </w:p>
    <w:p>
      <w:pPr>
        <w:jc w:val="both"/>
        <w:ind w:left="624" w:hanging="3"/>
        <w:spacing w:after="0" w:line="286" w:lineRule="auto"/>
        <w:tabs>
          <w:tab w:leader="none" w:pos="974" w:val="left"/>
        </w:tabs>
        <w:numPr>
          <w:ilvl w:val="1"/>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Failure to Pay or Deliver. </w:t>
      </w:r>
      <w:r>
        <w:rPr>
          <w:rFonts w:ascii="Arial" w:cs="Arial" w:eastAsia="Arial" w:hAnsi="Arial"/>
          <w:sz w:val="17"/>
          <w:szCs w:val="17"/>
          <w:color w:val="auto"/>
        </w:rPr>
        <w:t>Failure by the party to make, when due, any payment under this Agreement or delivery under Section 2(a)(i) or 9(h)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(i)(2) or (4) required to be made by it if such failure is not remedied on or before the first Local Business Day in the case of any such payment or the first Local Delivery Day in the case of any such delivery after, in each case, notice of such failure is given to the party;</w:t>
      </w:r>
    </w:p>
    <w:p>
      <w:pPr>
        <w:spacing w:after="0" w:line="165" w:lineRule="exact"/>
        <w:rPr>
          <w:rFonts w:ascii="Arial" w:cs="Arial" w:eastAsia="Arial" w:hAnsi="Arial"/>
          <w:sz w:val="17"/>
          <w:szCs w:val="17"/>
          <w:color w:val="auto"/>
        </w:rPr>
      </w:pPr>
    </w:p>
    <w:p>
      <w:pPr>
        <w:ind w:left="1264" w:hanging="643"/>
        <w:spacing w:after="0"/>
        <w:tabs>
          <w:tab w:leader="none" w:pos="1264" w:val="left"/>
        </w:tabs>
        <w:numPr>
          <w:ilvl w:val="1"/>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Breach of Agreement; Repudiation of Agreement.</w:t>
      </w:r>
    </w:p>
    <w:p>
      <w:pPr>
        <w:spacing w:after="0" w:line="238" w:lineRule="exact"/>
        <w:rPr>
          <w:rFonts w:ascii="Arial" w:cs="Arial" w:eastAsia="Arial" w:hAnsi="Arial"/>
          <w:sz w:val="18"/>
          <w:szCs w:val="18"/>
          <w:b w:val="1"/>
          <w:bCs w:val="1"/>
          <w:i w:val="1"/>
          <w:iCs w:val="1"/>
          <w:color w:val="auto"/>
        </w:rPr>
      </w:pPr>
    </w:p>
    <w:p>
      <w:pPr>
        <w:jc w:val="both"/>
        <w:ind w:left="1264" w:firstLine="6"/>
        <w:spacing w:after="0" w:line="279" w:lineRule="auto"/>
        <w:tabs>
          <w:tab w:leader="none" w:pos="1658" w:val="left"/>
        </w:tabs>
        <w:numPr>
          <w:ilvl w:val="2"/>
          <w:numId w:val="84"/>
        </w:numPr>
        <w:rPr>
          <w:rFonts w:ascii="Arial" w:cs="Arial" w:eastAsia="Arial" w:hAnsi="Arial"/>
          <w:sz w:val="17"/>
          <w:szCs w:val="17"/>
          <w:color w:val="auto"/>
        </w:rPr>
      </w:pPr>
      <w:r>
        <w:rPr>
          <w:rFonts w:ascii="Arial" w:cs="Arial" w:eastAsia="Arial" w:hAnsi="Arial"/>
          <w:sz w:val="17"/>
          <w:szCs w:val="17"/>
          <w:color w:val="auto"/>
        </w:rPr>
        <w:t>Failure by the party to comply with or perform any agreement or obligation (other than an obligation to make any payment under this Agreement or delivery under Section 2(a)(i) or 9(h)(i)(2) or (4) or to give notice of a Termination Event or any agreement or obligation under Section 4(a)(i), 4(a)(iii) or 4(d)) to be complied with or performed by the party in accordance with this Agreement if such failure is not remedied within 30 days after notice of such failure is given to the party; or</w:t>
      </w:r>
    </w:p>
    <w:p>
      <w:pPr>
        <w:spacing w:after="0" w:line="171" w:lineRule="exact"/>
        <w:rPr>
          <w:rFonts w:ascii="Arial" w:cs="Arial" w:eastAsia="Arial" w:hAnsi="Arial"/>
          <w:sz w:val="17"/>
          <w:szCs w:val="17"/>
          <w:color w:val="auto"/>
        </w:rPr>
      </w:pPr>
    </w:p>
    <w:p>
      <w:pPr>
        <w:jc w:val="both"/>
        <w:ind w:left="1264" w:firstLine="6"/>
        <w:spacing w:after="0" w:line="264" w:lineRule="auto"/>
        <w:tabs>
          <w:tab w:leader="none" w:pos="1706"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party disaffirms, disclaims, repudiates or rejects, in whole or in part, or challenges the validity of, this Master Agreement, any Confirmation executed and delivered by that party or any Transaction evidenced by such a Confirmation (or such action is taken by any person or entity appointed or empowered to operate it or act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4"/>
          </w:cols>
          <w:pgMar w:left="356" w:top="436" w:right="239" w:bottom="1440" w:gutter="0" w:footer="0" w:header="0"/>
        </w:sectPr>
      </w:pPr>
    </w:p>
    <w:bookmarkStart w:id="119" w:name="page120"/>
    <w:bookmarkEnd w:id="119"/>
    <w:p>
      <w:pPr>
        <w:ind w:left="641" w:hanging="641"/>
        <w:spacing w:after="0"/>
        <w:tabs>
          <w:tab w:leader="none" w:pos="641"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Support Default.</w:t>
      </w:r>
    </w:p>
    <w:p>
      <w:pPr>
        <w:spacing w:after="0" w:line="238" w:lineRule="exact"/>
        <w:rPr>
          <w:rFonts w:ascii="Arial" w:cs="Arial" w:eastAsia="Arial" w:hAnsi="Arial"/>
          <w:sz w:val="18"/>
          <w:szCs w:val="18"/>
          <w:b w:val="1"/>
          <w:bCs w:val="1"/>
          <w:i w:val="1"/>
          <w:iCs w:val="1"/>
          <w:color w:val="auto"/>
        </w:rPr>
      </w:pPr>
    </w:p>
    <w:p>
      <w:pPr>
        <w:jc w:val="both"/>
        <w:ind w:left="641" w:firstLine="7"/>
        <w:spacing w:after="0" w:line="264" w:lineRule="auto"/>
        <w:tabs>
          <w:tab w:leader="none" w:pos="1061" w:val="left"/>
        </w:tabs>
        <w:numPr>
          <w:ilvl w:val="1"/>
          <w:numId w:val="85"/>
        </w:numPr>
        <w:rPr>
          <w:rFonts w:ascii="Arial" w:cs="Arial" w:eastAsia="Arial" w:hAnsi="Arial"/>
          <w:sz w:val="18"/>
          <w:szCs w:val="18"/>
          <w:color w:val="auto"/>
        </w:rPr>
      </w:pPr>
      <w:r>
        <w:rPr>
          <w:rFonts w:ascii="Arial" w:cs="Arial" w:eastAsia="Arial" w:hAnsi="Arial"/>
          <w:sz w:val="18"/>
          <w:szCs w:val="18"/>
          <w:color w:val="auto"/>
        </w:rPr>
        <w:t>Failure by the party or any Credit Support Provider of such party to comply with or perform any agreement or obligation to be complied with or performed by it in accordance with any Credit Support Document if such failure is continuing after any applicable grace period has elapsed;</w:t>
      </w:r>
    </w:p>
    <w:p>
      <w:pPr>
        <w:spacing w:after="0" w:line="181" w:lineRule="exact"/>
        <w:rPr>
          <w:rFonts w:ascii="Arial" w:cs="Arial" w:eastAsia="Arial" w:hAnsi="Arial"/>
          <w:sz w:val="18"/>
          <w:szCs w:val="18"/>
          <w:color w:val="auto"/>
        </w:rPr>
      </w:pPr>
    </w:p>
    <w:p>
      <w:pPr>
        <w:jc w:val="both"/>
        <w:ind w:left="641" w:firstLine="7"/>
        <w:spacing w:after="0" w:line="257" w:lineRule="auto"/>
        <w:tabs>
          <w:tab w:leader="none" w:pos="1046"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expiration or termination of such Credit Support Document or the failing or ceasing of such Credit Support Document, or any security interest granted by such party or such Credit Support Provider to the other party pursuant to any such Credit Support Document, to be in full force and effect for the purpose of this Agreement (in each case other than in accordance with its terms) prior to the satisfaction of all obligations of such party under each Transaction to which such Credit Support Document relates without the written consent of the other party; or</w:t>
      </w:r>
    </w:p>
    <w:p>
      <w:pPr>
        <w:spacing w:after="0" w:line="188" w:lineRule="exact"/>
        <w:rPr>
          <w:rFonts w:ascii="Arial" w:cs="Arial" w:eastAsia="Arial" w:hAnsi="Arial"/>
          <w:sz w:val="18"/>
          <w:szCs w:val="18"/>
          <w:color w:val="auto"/>
        </w:rPr>
      </w:pPr>
    </w:p>
    <w:p>
      <w:pPr>
        <w:ind w:left="641" w:firstLine="7"/>
        <w:spacing w:after="0" w:line="308" w:lineRule="auto"/>
        <w:tabs>
          <w:tab w:leader="none" w:pos="1033"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party or such Credit Support Provider disaffirms, disclaims, repudiates or rejects, in whole or in part, or challenges the validity of, such Credit Support Document (or such action is taken by any person or entity appointed or empowered to operate it or act on its behalf);</w:t>
      </w:r>
    </w:p>
    <w:p>
      <w:pPr>
        <w:spacing w:after="0" w:line="146" w:lineRule="exact"/>
        <w:rPr>
          <w:rFonts w:ascii="Arial" w:cs="Arial" w:eastAsia="Arial" w:hAnsi="Arial"/>
          <w:sz w:val="17"/>
          <w:szCs w:val="17"/>
          <w:color w:val="auto"/>
        </w:rPr>
      </w:pPr>
    </w:p>
    <w:p>
      <w:pPr>
        <w:jc w:val="both"/>
        <w:ind w:left="1" w:hanging="1"/>
        <w:spacing w:after="0" w:line="264" w:lineRule="auto"/>
        <w:tabs>
          <w:tab w:leader="none" w:pos="49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Misrepresentation. </w:t>
      </w:r>
      <w:r>
        <w:rPr>
          <w:rFonts w:ascii="Arial" w:cs="Arial" w:eastAsia="Arial" w:hAnsi="Arial"/>
          <w:sz w:val="18"/>
          <w:szCs w:val="18"/>
          <w:color w:val="auto"/>
        </w:rPr>
        <w:t>A representation (other than a representation under Section 3(e) or 3(f)) made or repeated or deemed to have been made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repeated by the party or any Credit Support Provider of such party in this Agreement or any Credit Support Document proves to have been incorrect or misleading in any material respect when made or repeated or deemed to have been made or repeated;</w:t>
      </w:r>
    </w:p>
    <w:p>
      <w:pPr>
        <w:spacing w:after="0" w:line="181" w:lineRule="exact"/>
        <w:rPr>
          <w:rFonts w:ascii="Arial" w:cs="Arial" w:eastAsia="Arial" w:hAnsi="Arial"/>
          <w:sz w:val="18"/>
          <w:szCs w:val="18"/>
          <w:color w:val="auto"/>
        </w:rPr>
      </w:pPr>
    </w:p>
    <w:p>
      <w:pPr>
        <w:ind w:left="381" w:hanging="381"/>
        <w:spacing w:after="0"/>
        <w:tabs>
          <w:tab w:leader="none" w:pos="381"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Under Specified Transaction. </w:t>
      </w:r>
      <w:r>
        <w:rPr>
          <w:rFonts w:ascii="Arial" w:cs="Arial" w:eastAsia="Arial" w:hAnsi="Arial"/>
          <w:sz w:val="16"/>
          <w:szCs w:val="16"/>
          <w:color w:val="auto"/>
        </w:rPr>
        <w:t>The party, any Credit Support Provider of such party or any applicable Specified Entity of such party:―</w:t>
      </w:r>
    </w:p>
    <w:p>
      <w:pPr>
        <w:spacing w:after="0" w:line="248" w:lineRule="exact"/>
        <w:rPr>
          <w:sz w:val="20"/>
          <w:szCs w:val="20"/>
          <w:color w:val="auto"/>
        </w:rPr>
      </w:pPr>
    </w:p>
    <w:p>
      <w:pPr>
        <w:jc w:val="both"/>
        <w:ind w:left="641" w:firstLine="7"/>
        <w:spacing w:after="0" w:line="264" w:lineRule="auto"/>
        <w:tabs>
          <w:tab w:leader="none" w:pos="8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defaults (other than by failing to make a delivery) under a Specified Transaction or any credit support arrangement relating to a Specified Transaction and, after giving effect to any applicable notice requirement or grace period, such default results in a liquidation of, an acceleration of obligations under, or an early termination of, that Specified Transaction;</w:t>
      </w:r>
    </w:p>
    <w:p>
      <w:pPr>
        <w:spacing w:after="0" w:line="208" w:lineRule="exact"/>
        <w:rPr>
          <w:sz w:val="20"/>
          <w:szCs w:val="20"/>
          <w:color w:val="auto"/>
        </w:rPr>
      </w:pPr>
    </w:p>
    <w:p>
      <w:pPr>
        <w:jc w:val="both"/>
        <w:ind w:left="641" w:right="20" w:firstLine="7"/>
        <w:spacing w:after="0" w:line="311" w:lineRule="auto"/>
        <w:tabs>
          <w:tab w:leader="none" w:pos="1472"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defaults, after giving effect to any applicable notice requirement or grace period, in making any payment due on the last payment or exchange date of, or any payment on early termination of, a Specified Transaction (or, if there is no applicable notice requirement or grace period, such default continues for at least one Local Business Day);</w:t>
      </w:r>
    </w:p>
    <w:p>
      <w:pPr>
        <w:spacing w:after="0" w:line="181" w:lineRule="exact"/>
        <w:rPr>
          <w:rFonts w:ascii="Arial" w:cs="Arial" w:eastAsia="Arial" w:hAnsi="Arial"/>
          <w:sz w:val="18"/>
          <w:szCs w:val="18"/>
          <w:color w:val="auto"/>
        </w:rPr>
      </w:pPr>
    </w:p>
    <w:p>
      <w:pPr>
        <w:jc w:val="both"/>
        <w:ind w:left="641" w:firstLine="7"/>
        <w:spacing w:after="0" w:line="306" w:lineRule="auto"/>
        <w:tabs>
          <w:tab w:leader="none" w:pos="1472"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defaults in making any delivery due under (including any delivery due on the last delivery or exchange date of) a Specified Transaction or any credit support arrangement relating to a Specified Transaction and, after giving effect to any applicable notice requirement or grace period, such default results in a liquidation of, an acceleration of obligations under, or an early termination of, all transactions outstanding under the documentation applicable to that Specified Transaction; or</w:t>
      </w:r>
    </w:p>
    <w:p>
      <w:pPr>
        <w:spacing w:after="0" w:line="186" w:lineRule="exact"/>
        <w:rPr>
          <w:rFonts w:ascii="Arial" w:cs="Arial" w:eastAsia="Arial" w:hAnsi="Arial"/>
          <w:sz w:val="18"/>
          <w:szCs w:val="18"/>
          <w:color w:val="auto"/>
        </w:rPr>
      </w:pPr>
    </w:p>
    <w:p>
      <w:pPr>
        <w:jc w:val="both"/>
        <w:ind w:left="641" w:firstLine="7"/>
        <w:spacing w:after="0" w:line="306" w:lineRule="auto"/>
        <w:tabs>
          <w:tab w:leader="none" w:pos="1472"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disaffirms, disclaims, repudiates or rejects, in whole or in part, or challenges the validity of, a Specified Transaction or any credit support arrangement relating to a Specified Transaction that is, in either case, confirmed or evidenced by a document or other confirming evidence executed and delivered by that party, Credit Support Provider or Specified Entity (or such action is taken by any person or entity appointed or empowered to operate it or act on its behalf);</w:t>
      </w:r>
    </w:p>
    <w:p>
      <w:pPr>
        <w:spacing w:after="0" w:line="11" w:lineRule="exact"/>
        <w:rPr>
          <w:rFonts w:ascii="Arial" w:cs="Arial" w:eastAsia="Arial" w:hAnsi="Arial"/>
          <w:sz w:val="18"/>
          <w:szCs w:val="18"/>
          <w:color w:val="auto"/>
        </w:rPr>
      </w:pPr>
    </w:p>
    <w:p>
      <w:pPr>
        <w:ind w:left="441" w:hanging="441"/>
        <w:spacing w:after="0"/>
        <w:tabs>
          <w:tab w:leader="none" w:pos="441"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Cross-Default. </w:t>
      </w:r>
      <w:r>
        <w:rPr>
          <w:rFonts w:ascii="Arial" w:cs="Arial" w:eastAsia="Arial" w:hAnsi="Arial"/>
          <w:sz w:val="18"/>
          <w:szCs w:val="18"/>
          <w:color w:val="auto"/>
        </w:rPr>
        <w:t>If “Cross-Default” is specified in the Schedule as applying to the party, the occurrence or existence of:―</w:t>
      </w:r>
    </w:p>
    <w:p>
      <w:pPr>
        <w:spacing w:after="0" w:line="225" w:lineRule="exact"/>
        <w:rPr>
          <w:sz w:val="20"/>
          <w:szCs w:val="20"/>
          <w:color w:val="auto"/>
        </w:rPr>
      </w:pPr>
    </w:p>
    <w:p>
      <w:pPr>
        <w:jc w:val="both"/>
        <w:ind w:left="641" w:firstLine="7"/>
        <w:spacing w:after="0" w:line="312" w:lineRule="auto"/>
        <w:tabs>
          <w:tab w:leader="none" w:pos="8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default, event of default or other similar condition or event (however described) in respect of such party, any Credit Support Provider of such party or any applicable Specified Entity of such party under one or more agreements or instruments relating to Specified Indebtedness of any of them (individually or collectively) where the aggregate principal amount of such agreements or instruments, either alone or</w:t>
      </w:r>
    </w:p>
    <w:p>
      <w:pPr>
        <w:spacing w:after="0" w:line="1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1"/>
          </w:cols>
          <w:pgMar w:left="599" w:top="368" w:right="239" w:bottom="1440" w:gutter="0" w:footer="0" w:header="0"/>
        </w:sectPr>
      </w:pPr>
    </w:p>
    <w:bookmarkStart w:id="120" w:name="page121"/>
    <w:bookmarkEnd w:id="120"/>
    <w:p>
      <w:pPr>
        <w:jc w:val="both"/>
        <w:ind w:left="641"/>
        <w:spacing w:after="0" w:line="264" w:lineRule="auto"/>
        <w:rPr>
          <w:sz w:val="20"/>
          <w:szCs w:val="20"/>
          <w:color w:val="auto"/>
        </w:rPr>
      </w:pPr>
      <w:r>
        <w:rPr>
          <w:rFonts w:ascii="Arial" w:cs="Arial" w:eastAsia="Arial" w:hAnsi="Arial"/>
          <w:sz w:val="18"/>
          <w:szCs w:val="18"/>
          <w:color w:val="auto"/>
        </w:rPr>
        <w:t>together with the amount, if any, referred to in clause (2) below, is not less than the applicable Threshold Amount (as specified in the Schedule) which has resulted in such Specified Indebtedness becoming, or becoming capable at such time of being declared, due and payable under such agreements or instruments before it would otherwise have been due and payable; or</w:t>
      </w:r>
    </w:p>
    <w:p>
      <w:pPr>
        <w:spacing w:after="0" w:line="181" w:lineRule="exact"/>
        <w:rPr>
          <w:sz w:val="20"/>
          <w:szCs w:val="20"/>
          <w:color w:val="auto"/>
        </w:rPr>
      </w:pPr>
    </w:p>
    <w:p>
      <w:pPr>
        <w:jc w:val="both"/>
        <w:ind w:left="641" w:firstLine="7"/>
        <w:spacing w:after="0" w:line="259" w:lineRule="auto"/>
        <w:tabs>
          <w:tab w:leader="none" w:pos="896"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default by such party, such Credit Support Provider or such Specified Entity (individually or collectively) in making one or more payments under such agreements or instruments on the due date for payment (after giving effect to any applicable notice requirement or grace period) in an aggregate amount, either alone or together with the amount, if any, referred to in clause (1) above, of not less than the applicable Threshold Amount;</w:t>
      </w:r>
    </w:p>
    <w:p>
      <w:pPr>
        <w:spacing w:after="0" w:line="186" w:lineRule="exact"/>
        <w:rPr>
          <w:rFonts w:ascii="Arial" w:cs="Arial" w:eastAsia="Arial" w:hAnsi="Arial"/>
          <w:sz w:val="18"/>
          <w:szCs w:val="18"/>
          <w:color w:val="auto"/>
        </w:rPr>
      </w:pPr>
    </w:p>
    <w:p>
      <w:pPr>
        <w:ind w:left="481" w:hanging="481"/>
        <w:spacing w:after="0"/>
        <w:tabs>
          <w:tab w:leader="none" w:pos="481"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Bankruptcy. </w:t>
      </w:r>
      <w:r>
        <w:rPr>
          <w:rFonts w:ascii="Arial" w:cs="Arial" w:eastAsia="Arial" w:hAnsi="Arial"/>
          <w:sz w:val="18"/>
          <w:szCs w:val="18"/>
          <w:color w:val="auto"/>
        </w:rPr>
        <w:t>The party, any Credit Support Provider of such party or any applicable Specified Entity of such party:―</w:t>
      </w:r>
    </w:p>
    <w:p>
      <w:pPr>
        <w:spacing w:after="0" w:line="225" w:lineRule="exact"/>
        <w:rPr>
          <w:sz w:val="20"/>
          <w:szCs w:val="20"/>
          <w:color w:val="auto"/>
        </w:rPr>
      </w:pPr>
    </w:p>
    <w:p>
      <w:pPr>
        <w:jc w:val="both"/>
        <w:ind w:left="641" w:firstLine="7"/>
        <w:spacing w:after="0" w:line="252" w:lineRule="auto"/>
        <w:tabs>
          <w:tab w:leader="none" w:pos="862" w:val="left"/>
        </w:tabs>
        <w:numPr>
          <w:ilvl w:val="1"/>
          <w:numId w:val="92"/>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 (2) becomes insolvent or is unable to pay its debts or fails or admits in writing its inability generally to pay its debts as they become due; (3) makes a general assignment, arrangement or composition with or for the benefit of its creditors; (4)(A) 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 or</w:t>
      </w:r>
    </w:p>
    <w:p>
      <w:pPr>
        <w:spacing w:after="0" w:line="5" w:lineRule="exact"/>
        <w:rPr>
          <w:rFonts w:ascii="Arial" w:cs="Arial" w:eastAsia="Arial" w:hAnsi="Arial"/>
          <w:sz w:val="18"/>
          <w:szCs w:val="18"/>
          <w:color w:val="auto"/>
        </w:rPr>
      </w:pPr>
    </w:p>
    <w:p>
      <w:pPr>
        <w:jc w:val="both"/>
        <w:ind w:left="641"/>
        <w:spacing w:after="0" w:line="267" w:lineRule="auto"/>
        <w:rPr>
          <w:rFonts w:ascii="Arial" w:cs="Arial" w:eastAsia="Arial" w:hAnsi="Arial"/>
          <w:sz w:val="18"/>
          <w:szCs w:val="18"/>
          <w:color w:val="auto"/>
        </w:rPr>
      </w:pPr>
      <w:r>
        <w:rPr>
          <w:rFonts w:ascii="Arial" w:cs="Arial" w:eastAsia="Arial" w:hAnsi="Arial"/>
          <w:sz w:val="17"/>
          <w:szCs w:val="17"/>
          <w:color w:val="auto"/>
        </w:rPr>
        <w:t>(B) has instituted against it a proceeding seeking a judgment of insolvency or bankruptcy or any other relief under any bankruptcy or insolvency law or other similar law affecting creditors’ rights, or a petition is presented for its winding-up or liquidation, and such proceeding or petition is instituted or presented by a person or entity not described in clause (A) above and either (I) results in a judgment of insolvency or bankruptcy or the entry of an order for relief or the making of an order for its winding-up or liquidation or (II) is not dismissed, discharged, stayed or restrained in each case within 15 days of the institution or presentation thereof; (5) has a resolution passed for its winding-up, official management or liquidation (other than pursuant to a consolidation, amalgamation or merger); (6) seeks or becomes subject to the appointment of an administrator, provisional liquidator, conservator, receiver, trustee, custodian or other similar official for it or for all or substantially all its assets; (7) 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15 days thereafter; (8) causes or is subject to any event with respect to it which, under the applicable laws of any jurisdiction, has an analogous effect to any of the events specified in clauses (l) to (7) above (inclusive); or (9) takes any action in furtherance of, or indicating its consent to, approval of, or acquiescence in, any of the foregoing acts; or</w:t>
      </w:r>
    </w:p>
    <w:p>
      <w:pPr>
        <w:spacing w:after="0" w:line="251" w:lineRule="exact"/>
        <w:rPr>
          <w:rFonts w:ascii="Arial" w:cs="Arial" w:eastAsia="Arial" w:hAnsi="Arial"/>
          <w:sz w:val="18"/>
          <w:szCs w:val="18"/>
          <w:color w:val="auto"/>
        </w:rPr>
      </w:pPr>
    </w:p>
    <w:p>
      <w:pPr>
        <w:jc w:val="both"/>
        <w:ind w:left="381" w:hanging="3"/>
        <w:spacing w:after="0" w:line="264" w:lineRule="auto"/>
        <w:tabs>
          <w:tab w:leader="none" w:pos="934"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Merger Without Assumption. </w:t>
      </w:r>
      <w:r>
        <w:rPr>
          <w:rFonts w:ascii="Arial" w:cs="Arial" w:eastAsia="Arial" w:hAnsi="Arial"/>
          <w:sz w:val="18"/>
          <w:szCs w:val="18"/>
          <w:color w:val="auto"/>
        </w:rPr>
        <w:t>The party or any Credit Support Provider of such party consolidates or amalgamates with, or merges with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or transfers all or substantially all its assets to, or reorganises, reincorporates or reconstitutes into or as, another entity and, at the time of such consolidation, amalgamation, merger, transfer, reorganisation, reincorporation or reconstitution:―</w:t>
      </w:r>
    </w:p>
    <w:p>
      <w:pPr>
        <w:spacing w:after="0" w:line="181" w:lineRule="exact"/>
        <w:rPr>
          <w:sz w:val="20"/>
          <w:szCs w:val="20"/>
          <w:color w:val="auto"/>
        </w:rPr>
      </w:pPr>
    </w:p>
    <w:p>
      <w:pPr>
        <w:ind w:left="1021" w:firstLine="6"/>
        <w:spacing w:after="0" w:line="277"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resulting, surviving or transferee entity fails to assume all the obligations of such party or such Credit Support Provider under this Agreement or any Credit Support Document to which it or its predecessor was a party; or</w:t>
      </w:r>
    </w:p>
    <w:p>
      <w:pPr>
        <w:spacing w:after="0" w:line="170" w:lineRule="exact"/>
        <w:rPr>
          <w:sz w:val="20"/>
          <w:szCs w:val="20"/>
          <w:color w:val="auto"/>
        </w:rPr>
      </w:pPr>
    </w:p>
    <w:p>
      <w:pPr>
        <w:ind w:left="1021" w:firstLine="6"/>
        <w:spacing w:after="0" w:line="277" w:lineRule="auto"/>
        <w:tabs>
          <w:tab w:leader="none" w:pos="130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benefits of any Credit Support Document fail to extend (without the consent of the other party) to the performance by such resulting, surviving or transferee entity of its obligations under this Agreement.</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1"/>
          </w:cols>
          <w:pgMar w:left="599" w:top="368" w:right="239" w:bottom="1440" w:gutter="0" w:footer="0" w:header="0"/>
        </w:sectPr>
      </w:pPr>
    </w:p>
    <w:bookmarkStart w:id="121" w:name="page122"/>
    <w:bookmarkEnd w:id="121"/>
    <w:p>
      <w:pPr>
        <w:jc w:val="both"/>
        <w:ind w:left="4" w:hanging="4"/>
        <w:spacing w:after="0" w:line="304" w:lineRule="auto"/>
        <w:tabs>
          <w:tab w:leader="none" w:pos="835"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The occurrence at any time with respect to a party or, if applicable, any Credit Support Provider of such party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Entity of such party of any event specified below constitutes (subject to Section 5(c)) an Illegality if the event is specified in clause (i) below, a Force Majeure Event if the event is specified in clause (ii) below, a Tax Event if the event is specified in clause (iii) below, a Tax Event Upon Merger if the event is specified in clause (iv) below, and, if specified to be applicable, a Credit Event Upon Merger if the event is specified pursuant to clause (v) below or an Additional Termination Event if the event is specified pursuant to clause (vi) below:―</w:t>
      </w:r>
    </w:p>
    <w:p>
      <w:pPr>
        <w:spacing w:after="0" w:line="161" w:lineRule="exact"/>
        <w:rPr>
          <w:rFonts w:ascii="Arial" w:cs="Arial" w:eastAsia="Arial" w:hAnsi="Arial"/>
          <w:sz w:val="18"/>
          <w:szCs w:val="18"/>
          <w:color w:val="auto"/>
        </w:rPr>
      </w:pPr>
    </w:p>
    <w:p>
      <w:pPr>
        <w:jc w:val="both"/>
        <w:ind w:left="624" w:hanging="3"/>
        <w:spacing w:after="0" w:line="255" w:lineRule="auto"/>
        <w:tabs>
          <w:tab w:leader="none" w:pos="987" w:val="left"/>
        </w:tabs>
        <w:numPr>
          <w:ilvl w:val="1"/>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Illegality. </w:t>
      </w:r>
      <w:r>
        <w:rPr>
          <w:rFonts w:ascii="Arial" w:cs="Arial" w:eastAsia="Arial" w:hAnsi="Arial"/>
          <w:sz w:val="18"/>
          <w:szCs w:val="18"/>
          <w:color w:val="auto"/>
        </w:rPr>
        <w:t>After giving effect to any applicable provision, disruption fallback or remedy specified in, or pursuant to, the relevant Confirmation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elsewhere in this Agreement, due to an event or circumstance (other than any action taken by a party or, if applicable, any Credit Support Provider of such party) occurring after a Transaction is entered into, it becomes unlawful under any applicable law (including without limitation the laws of any country in which payment, delivery or compliance is required by either party or any Credit Support Provider, as the case may be), on any day, or it would be unlawful if the relevant payment, delivery or compliance were required on that day (in each case, other than as a result of a breach by the party of Section 4(b)):―</w:t>
      </w:r>
    </w:p>
    <w:p>
      <w:pPr>
        <w:spacing w:after="0" w:line="193" w:lineRule="exact"/>
        <w:rPr>
          <w:rFonts w:ascii="Arial" w:cs="Arial" w:eastAsia="Arial" w:hAnsi="Arial"/>
          <w:sz w:val="18"/>
          <w:szCs w:val="18"/>
          <w:color w:val="auto"/>
        </w:rPr>
      </w:pPr>
    </w:p>
    <w:p>
      <w:pPr>
        <w:jc w:val="both"/>
        <w:ind w:left="1264" w:firstLine="6"/>
        <w:spacing w:after="0" w:line="259" w:lineRule="auto"/>
        <w:tabs>
          <w:tab w:leader="none" w:pos="1662" w:val="left"/>
        </w:tabs>
        <w:numPr>
          <w:ilvl w:val="3"/>
          <w:numId w:val="96"/>
        </w:numPr>
        <w:rPr>
          <w:rFonts w:ascii="Arial" w:cs="Arial" w:eastAsia="Arial" w:hAnsi="Arial"/>
          <w:sz w:val="18"/>
          <w:szCs w:val="18"/>
          <w:color w:val="auto"/>
        </w:rPr>
      </w:pPr>
      <w:r>
        <w:rPr>
          <w:rFonts w:ascii="Arial" w:cs="Arial" w:eastAsia="Arial" w:hAnsi="Arial"/>
          <w:sz w:val="18"/>
          <w:szCs w:val="18"/>
          <w:color w:val="auto"/>
        </w:rPr>
        <w:t>for the Office through which such party (which will be the Affected Party) makes and receives payments or deliveries with respect to such Transaction to perform any absolute or contingent obligation to make a payment or delivery in respect of such Transaction, to receive a payment or delivery in respect of such Transaction or to comply with any other material provision of this Agreement relating to such Transaction; or</w:t>
      </w:r>
    </w:p>
    <w:p>
      <w:pPr>
        <w:spacing w:after="0" w:line="186" w:lineRule="exact"/>
        <w:rPr>
          <w:rFonts w:ascii="Arial" w:cs="Arial" w:eastAsia="Arial" w:hAnsi="Arial"/>
          <w:sz w:val="18"/>
          <w:szCs w:val="18"/>
          <w:color w:val="auto"/>
        </w:rPr>
      </w:pPr>
    </w:p>
    <w:p>
      <w:pPr>
        <w:jc w:val="both"/>
        <w:ind w:left="1264" w:firstLine="6"/>
        <w:spacing w:after="0" w:line="259" w:lineRule="auto"/>
        <w:tabs>
          <w:tab w:leader="none" w:pos="1670" w:val="left"/>
        </w:tabs>
        <w:numPr>
          <w:ilvl w:val="3"/>
          <w:numId w:val="96"/>
        </w:numPr>
        <w:rPr>
          <w:rFonts w:ascii="Arial" w:cs="Arial" w:eastAsia="Arial" w:hAnsi="Arial"/>
          <w:sz w:val="18"/>
          <w:szCs w:val="18"/>
          <w:color w:val="auto"/>
        </w:rPr>
      </w:pPr>
      <w:r>
        <w:rPr>
          <w:rFonts w:ascii="Arial" w:cs="Arial" w:eastAsia="Arial" w:hAnsi="Arial"/>
          <w:sz w:val="18"/>
          <w:szCs w:val="18"/>
          <w:color w:val="auto"/>
        </w:rPr>
        <w:t>for such party or any Credit Support Provider of such party (which will be the Affected Party) to perform any absolute or contingent obligation to make a payment or delivery which such party or Credit Support Provider has under any Credit Support Document relating to such Transaction, to receive a payment or delivery under such Credit Support Document or to comply with any other material provision of such Credit Support Document;</w:t>
      </w:r>
    </w:p>
    <w:p>
      <w:pPr>
        <w:spacing w:after="0" w:line="186" w:lineRule="exact"/>
        <w:rPr>
          <w:rFonts w:ascii="Arial" w:cs="Arial" w:eastAsia="Arial" w:hAnsi="Arial"/>
          <w:sz w:val="18"/>
          <w:szCs w:val="18"/>
          <w:color w:val="auto"/>
        </w:rPr>
      </w:pPr>
    </w:p>
    <w:p>
      <w:pPr>
        <w:ind w:left="624" w:hanging="3"/>
        <w:spacing w:after="0" w:line="342" w:lineRule="auto"/>
        <w:tabs>
          <w:tab w:leader="none" w:pos="1037" w:val="left"/>
        </w:tabs>
        <w:numPr>
          <w:ilvl w:val="1"/>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Force Majeure Event. </w:t>
      </w:r>
      <w:r>
        <w:rPr>
          <w:rFonts w:ascii="Arial" w:cs="Arial" w:eastAsia="Arial" w:hAnsi="Arial"/>
          <w:sz w:val="16"/>
          <w:szCs w:val="16"/>
          <w:color w:val="auto"/>
        </w:rPr>
        <w:t>After giving effect to any applicable provision, disruption fallback or remedy specified in, or pursuant to, the relevant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Confirmation or elsewhere in this Agreement, by reason of force majeure or act of state occurring after a Transaction is entered into, on any day:―</w:t>
      </w:r>
    </w:p>
    <w:p>
      <w:pPr>
        <w:spacing w:after="0" w:line="123" w:lineRule="exact"/>
        <w:rPr>
          <w:rFonts w:ascii="Arial" w:cs="Arial" w:eastAsia="Arial" w:hAnsi="Arial"/>
          <w:sz w:val="16"/>
          <w:szCs w:val="16"/>
          <w:color w:val="auto"/>
        </w:rPr>
      </w:pPr>
    </w:p>
    <w:p>
      <w:pPr>
        <w:jc w:val="both"/>
        <w:ind w:left="1264" w:firstLine="6"/>
        <w:spacing w:after="0" w:line="293" w:lineRule="auto"/>
        <w:tabs>
          <w:tab w:leader="none" w:pos="1706" w:val="left"/>
        </w:tabs>
        <w:numPr>
          <w:ilvl w:val="3"/>
          <w:numId w:val="96"/>
        </w:numPr>
        <w:rPr>
          <w:rFonts w:ascii="Arial" w:cs="Arial" w:eastAsia="Arial" w:hAnsi="Arial"/>
          <w:sz w:val="16"/>
          <w:szCs w:val="16"/>
          <w:color w:val="auto"/>
        </w:rPr>
      </w:pPr>
      <w:r>
        <w:rPr>
          <w:rFonts w:ascii="Arial" w:cs="Arial" w:eastAsia="Arial" w:hAnsi="Arial"/>
          <w:sz w:val="16"/>
          <w:szCs w:val="16"/>
          <w:color w:val="auto"/>
        </w:rPr>
        <w:t>the Office through which such party (which will be the Affected Party) makes and receives payments or deliveries with respect to such Transaction is prevented from performing any absolute or contingent obligation to make a payment or delivery in respect of such Transaction, from receiving a payment or delivery in respect of such Transaction or from complying with any other material provision of this Agreement relating to such Transaction (or would be so prevented if such payment, delivery or compliance were required on that day), or it becomes impossible or impracticable for such Office so to perform, receive or comply (or it would be impossible or impracticable for such Office so to perform, receive or comply if such payment, delivery or compliance were required on that day); or</w:t>
      </w:r>
    </w:p>
    <w:p>
      <w:pPr>
        <w:spacing w:after="0" w:line="164" w:lineRule="exact"/>
        <w:rPr>
          <w:rFonts w:ascii="Arial" w:cs="Arial" w:eastAsia="Arial" w:hAnsi="Arial"/>
          <w:sz w:val="16"/>
          <w:szCs w:val="16"/>
          <w:color w:val="auto"/>
        </w:rPr>
      </w:pPr>
    </w:p>
    <w:p>
      <w:pPr>
        <w:jc w:val="both"/>
        <w:ind w:left="884" w:firstLine="7"/>
        <w:spacing w:after="0" w:line="255" w:lineRule="auto"/>
        <w:tabs>
          <w:tab w:leader="none" w:pos="1303" w:val="left"/>
        </w:tabs>
        <w:numPr>
          <w:ilvl w:val="2"/>
          <w:numId w:val="96"/>
        </w:numPr>
        <w:rPr>
          <w:rFonts w:ascii="Arial" w:cs="Arial" w:eastAsia="Arial" w:hAnsi="Arial"/>
          <w:sz w:val="18"/>
          <w:szCs w:val="18"/>
          <w:color w:val="auto"/>
        </w:rPr>
      </w:pPr>
      <w:r>
        <w:rPr>
          <w:rFonts w:ascii="Arial" w:cs="Arial" w:eastAsia="Arial" w:hAnsi="Arial"/>
          <w:sz w:val="18"/>
          <w:szCs w:val="18"/>
          <w:color w:val="auto"/>
        </w:rPr>
        <w:t>such party or any Credit Support Provider of such party (which will be the Affected Party) is prevented from performing any absolute or contingent obligation to make a payment or delivery which such party or Credit Support Provider has under any Credit Support Document relating to such Transaction, from receiving a payment or delivery under such Credit Support Document or from complying with any other material provision of such Credit Support Document (or would be so prevented if such payment, delivery or compliance were required on that day), or it becomes impossible or impracticable for such party or Credit Support Provider so to perform, receive or comply (or it would be impossible or impracticable for such party or Credit Support Provider so to perform, receive or comply if such payment, delivery or compliance were required on that day),</w:t>
      </w:r>
    </w:p>
    <w:p>
      <w:pPr>
        <w:spacing w:after="0" w:line="200" w:lineRule="exact"/>
        <w:rPr>
          <w:sz w:val="20"/>
          <w:szCs w:val="20"/>
          <w:color w:val="auto"/>
        </w:rPr>
      </w:pPr>
    </w:p>
    <w:p>
      <w:pPr>
        <w:spacing w:after="0" w:line="219"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4"/>
          </w:cols>
          <w:pgMar w:left="356" w:top="395" w:right="239" w:bottom="1440" w:gutter="0" w:footer="0" w:header="0"/>
        </w:sectPr>
      </w:pPr>
    </w:p>
    <w:bookmarkStart w:id="122" w:name="page123"/>
    <w:bookmarkEnd w:id="122"/>
    <w:p>
      <w:pPr>
        <w:jc w:val="both"/>
        <w:spacing w:after="0" w:line="264" w:lineRule="auto"/>
        <w:rPr>
          <w:sz w:val="20"/>
          <w:szCs w:val="20"/>
          <w:color w:val="auto"/>
        </w:rPr>
      </w:pPr>
      <w:r>
        <w:rPr>
          <w:rFonts w:ascii="Arial" w:cs="Arial" w:eastAsia="Arial" w:hAnsi="Arial"/>
          <w:sz w:val="18"/>
          <w:szCs w:val="18"/>
          <w:color w:val="auto"/>
        </w:rPr>
        <w:t>so long as the force majeure or act of state is beyond the control of such Office, such party or such Credit Support Provider, as appropriate, and such Office, party or Credit Support Provider could not, after using all reasonable efforts (which will not require such party or Credit Support Provider to incur a loss, other than immaterial, incidental expenses), overcome such prevention, impossibility or impracticability;</w:t>
      </w:r>
    </w:p>
    <w:p>
      <w:pPr>
        <w:spacing w:after="0" w:line="181" w:lineRule="exact"/>
        <w:rPr>
          <w:sz w:val="20"/>
          <w:szCs w:val="20"/>
          <w:color w:val="auto"/>
        </w:rPr>
      </w:pPr>
    </w:p>
    <w:p>
      <w:pPr>
        <w:jc w:val="both"/>
        <w:ind w:left="20" w:hanging="1"/>
        <w:spacing w:after="0" w:line="271" w:lineRule="auto"/>
        <w:tabs>
          <w:tab w:leader="none" w:pos="510"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Event. </w:t>
      </w:r>
      <w:r>
        <w:rPr>
          <w:rFonts w:ascii="Arial" w:cs="Arial" w:eastAsia="Arial" w:hAnsi="Arial"/>
          <w:sz w:val="17"/>
          <w:szCs w:val="17"/>
          <w:color w:val="auto"/>
        </w:rPr>
        <w:t>Due to (1) any action taken by a taxing authority, or brought in a court of competent jurisdiction, after a Transaction is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(regardless of whether such action is taken or brought with respect to a party to this Agreement) or (2) a Change in Tax Law, the party (which will be the Affected Party) will, or there is a substantial likelihood that it will, on the next succeeding Scheduled Settlement Date</w:t>
      </w:r>
    </w:p>
    <w:p>
      <w:pPr>
        <w:jc w:val="both"/>
        <w:ind w:left="20"/>
        <w:spacing w:after="0" w:line="254" w:lineRule="auto"/>
        <w:rPr>
          <w:rFonts w:ascii="Arial" w:cs="Arial" w:eastAsia="Arial" w:hAnsi="Arial"/>
          <w:sz w:val="17"/>
          <w:szCs w:val="17"/>
          <w:color w:val="auto"/>
        </w:rPr>
      </w:pPr>
      <w:r>
        <w:rPr>
          <w:rFonts w:ascii="Arial" w:cs="Arial" w:eastAsia="Arial" w:hAnsi="Arial"/>
          <w:sz w:val="18"/>
          <w:szCs w:val="18"/>
          <w:color w:val="auto"/>
        </w:rPr>
        <w:t>(A) be required to pay to the other party an additional amount in respect of an Indemnifiable Tax under Section 2(d)(i)(4) (except in respect of interest under Section 9(h)) or (B) receive a payment from which an amount is required to be deducted or withheld for or on account of a Tax (except in respect of interest under Section 9(h)) and no additional amount is required to be paid in respect of such Tax under Section 2(d)(i)(4) (other than by reason of Section 2(d)(i)(4)(A) or (B));</w:t>
      </w:r>
    </w:p>
    <w:p>
      <w:pPr>
        <w:spacing w:after="0" w:line="189" w:lineRule="exact"/>
        <w:rPr>
          <w:rFonts w:ascii="Arial" w:cs="Arial" w:eastAsia="Arial" w:hAnsi="Arial"/>
          <w:sz w:val="17"/>
          <w:szCs w:val="17"/>
          <w:color w:val="auto"/>
        </w:rPr>
      </w:pPr>
    </w:p>
    <w:p>
      <w:pPr>
        <w:jc w:val="both"/>
        <w:ind w:left="20" w:hanging="1"/>
        <w:spacing w:after="0" w:line="272"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Event Upon Merger. </w:t>
      </w:r>
      <w:r>
        <w:rPr>
          <w:rFonts w:ascii="Arial" w:cs="Arial" w:eastAsia="Arial" w:hAnsi="Arial"/>
          <w:sz w:val="17"/>
          <w:szCs w:val="17"/>
          <w:color w:val="auto"/>
        </w:rPr>
        <w:t>The party (the “Burdened Party”) on the next succeeding Scheduled Settlement Date will either (1) be required to pay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amount in respect of an Indemnifiable Tax under Section 2(d)(i)(4) (except in respect of interest under Section 9(h)) or (2) receive a payment from which an amount has been deducted or withheld for or on account of any Tax in respect of which the other party is not required to pay an additional amount (other than by reason of Section 2(d)(i)(4)(A) or (B)), in either case as a result of a party consolidating or amalgamating with, or merging with or into, or transferring all or substantially all its assets (or any substantial part of the assets comprising the business conducted by it as of the date of this Master Agreement) to, or reorganising, reincorporating or reconstituting into or as, another entity (which will be the Affected Party) where such action does not constitute a Merger Without Assumption;</w:t>
      </w:r>
    </w:p>
    <w:p>
      <w:pPr>
        <w:spacing w:after="0" w:line="177" w:lineRule="exact"/>
        <w:rPr>
          <w:rFonts w:ascii="Arial" w:cs="Arial" w:eastAsia="Arial" w:hAnsi="Arial"/>
          <w:sz w:val="17"/>
          <w:szCs w:val="17"/>
          <w:color w:val="auto"/>
        </w:rPr>
      </w:pPr>
    </w:p>
    <w:p>
      <w:pPr>
        <w:jc w:val="both"/>
        <w:ind w:left="20" w:hanging="1"/>
        <w:spacing w:after="0" w:line="293" w:lineRule="auto"/>
        <w:tabs>
          <w:tab w:leader="none" w:pos="45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Event Upon Merger. </w:t>
      </w:r>
      <w:r>
        <w:rPr>
          <w:rFonts w:ascii="Arial" w:cs="Arial" w:eastAsia="Arial" w:hAnsi="Arial"/>
          <w:sz w:val="16"/>
          <w:szCs w:val="16"/>
          <w:color w:val="auto"/>
        </w:rPr>
        <w:t>If “Credit Event Upon Merger” is specified in the Schedule as applying to the party, a Designated Event (as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occurs with respect to such party, any Credit Support Provider of such party or any applicable Specified Entity of such party (in each case, “X”) and such Designated Event does not constitute a Merger Without Assumption, and the creditworthiness of X or, if applicable, the successor, surviving or transferee entity of X, after taking into account any applicable Credit Support Document, is materially weaker immediately after the occurrence of such Designated Event than that of X immediately prior to the occurrence of such Designated Event (and, in any such event, such party or its successor, surviving or transferee entity, as appropriate, will be the Affected Party). A “Designated Event” with respect to X means that:―</w:t>
      </w:r>
    </w:p>
    <w:p>
      <w:pPr>
        <w:spacing w:after="0" w:line="164" w:lineRule="exact"/>
        <w:rPr>
          <w:rFonts w:ascii="Arial" w:cs="Arial" w:eastAsia="Arial" w:hAnsi="Arial"/>
          <w:sz w:val="16"/>
          <w:szCs w:val="16"/>
          <w:color w:val="auto"/>
        </w:rPr>
      </w:pPr>
    </w:p>
    <w:p>
      <w:pPr>
        <w:jc w:val="both"/>
        <w:ind w:left="660" w:firstLine="7"/>
        <w:spacing w:after="0" w:line="264" w:lineRule="auto"/>
        <w:tabs>
          <w:tab w:leader="none" w:pos="1106" w:val="left"/>
        </w:tabs>
        <w:numPr>
          <w:ilvl w:val="2"/>
          <w:numId w:val="97"/>
        </w:numPr>
        <w:rPr>
          <w:rFonts w:ascii="Arial" w:cs="Arial" w:eastAsia="Arial" w:hAnsi="Arial"/>
          <w:sz w:val="18"/>
          <w:szCs w:val="18"/>
          <w:color w:val="auto"/>
        </w:rPr>
      </w:pPr>
      <w:r>
        <w:rPr>
          <w:rFonts w:ascii="Arial" w:cs="Arial" w:eastAsia="Arial" w:hAnsi="Arial"/>
          <w:sz w:val="18"/>
          <w:szCs w:val="18"/>
          <w:color w:val="auto"/>
        </w:rPr>
        <w:t>X consolidates or amalgamates with, or merges with or into, or transfers all or substantially all its assets (or any substantial part of the assets comprising the business conducted by X as of the date of this Master Agreement) to, or reorganises, reincorporates or reconstitutes into or as, another entity;</w:t>
      </w:r>
    </w:p>
    <w:p>
      <w:pPr>
        <w:spacing w:after="0" w:line="181" w:lineRule="exact"/>
        <w:rPr>
          <w:rFonts w:ascii="Arial" w:cs="Arial" w:eastAsia="Arial" w:hAnsi="Arial"/>
          <w:sz w:val="18"/>
          <w:szCs w:val="18"/>
          <w:color w:val="auto"/>
        </w:rPr>
      </w:pPr>
    </w:p>
    <w:p>
      <w:pPr>
        <w:jc w:val="both"/>
        <w:ind w:left="1040" w:firstLine="6"/>
        <w:spacing w:after="0" w:line="264" w:lineRule="auto"/>
        <w:tabs>
          <w:tab w:leader="none" w:pos="1453" w:val="left"/>
        </w:tabs>
        <w:numPr>
          <w:ilvl w:val="3"/>
          <w:numId w:val="97"/>
        </w:numPr>
        <w:rPr>
          <w:rFonts w:ascii="Arial" w:cs="Arial" w:eastAsia="Arial" w:hAnsi="Arial"/>
          <w:sz w:val="18"/>
          <w:szCs w:val="18"/>
          <w:color w:val="auto"/>
        </w:rPr>
      </w:pPr>
      <w:r>
        <w:rPr>
          <w:rFonts w:ascii="Arial" w:cs="Arial" w:eastAsia="Arial" w:hAnsi="Arial"/>
          <w:sz w:val="18"/>
          <w:szCs w:val="18"/>
          <w:color w:val="auto"/>
        </w:rPr>
        <w:t>any person, related group of persons or entity acquires directly or indirectly the beneficial ownership of (A) equity securities having the power to elect a majority of the board of directors (or its equivalent) of X or (B) any other ownership interest enabling it to exercise control of X; or</w:t>
      </w:r>
    </w:p>
    <w:p>
      <w:pPr>
        <w:spacing w:after="0" w:line="181" w:lineRule="exact"/>
        <w:rPr>
          <w:rFonts w:ascii="Arial" w:cs="Arial" w:eastAsia="Arial" w:hAnsi="Arial"/>
          <w:sz w:val="18"/>
          <w:szCs w:val="18"/>
          <w:color w:val="auto"/>
        </w:rPr>
      </w:pPr>
    </w:p>
    <w:p>
      <w:pPr>
        <w:ind w:left="1460" w:hanging="414"/>
        <w:spacing w:after="0"/>
        <w:tabs>
          <w:tab w:leader="none" w:pos="1460" w:val="left"/>
        </w:tabs>
        <w:numPr>
          <w:ilvl w:val="3"/>
          <w:numId w:val="97"/>
        </w:numPr>
        <w:rPr>
          <w:rFonts w:ascii="Arial" w:cs="Arial" w:eastAsia="Arial" w:hAnsi="Arial"/>
          <w:sz w:val="16"/>
          <w:szCs w:val="16"/>
          <w:color w:val="auto"/>
        </w:rPr>
      </w:pPr>
      <w:r>
        <w:rPr>
          <w:rFonts w:ascii="Arial" w:cs="Arial" w:eastAsia="Arial" w:hAnsi="Arial"/>
          <w:sz w:val="16"/>
          <w:szCs w:val="16"/>
          <w:color w:val="auto"/>
        </w:rPr>
        <w:t>X effects any substantial change in its capital structure by means of the issuance, incurrence or guarantee of debt or the issuance of</w:t>
      </w:r>
    </w:p>
    <w:p>
      <w:pPr>
        <w:spacing w:after="0" w:line="46" w:lineRule="exact"/>
        <w:rPr>
          <w:rFonts w:ascii="Arial" w:cs="Arial" w:eastAsia="Arial" w:hAnsi="Arial"/>
          <w:sz w:val="16"/>
          <w:szCs w:val="16"/>
          <w:color w:val="auto"/>
        </w:rPr>
      </w:pPr>
    </w:p>
    <w:p>
      <w:pPr>
        <w:ind w:left="1040" w:right="20"/>
        <w:spacing w:after="0" w:line="261" w:lineRule="auto"/>
        <w:rPr>
          <w:rFonts w:ascii="Arial" w:cs="Arial" w:eastAsia="Arial" w:hAnsi="Arial"/>
          <w:sz w:val="16"/>
          <w:szCs w:val="16"/>
          <w:color w:val="auto"/>
        </w:rPr>
      </w:pPr>
      <w:r>
        <w:rPr>
          <w:rFonts w:ascii="Arial" w:cs="Arial" w:eastAsia="Arial" w:hAnsi="Arial"/>
          <w:sz w:val="18"/>
          <w:szCs w:val="18"/>
          <w:color w:val="auto"/>
        </w:rPr>
        <w:t>(A) preferred stock or other securities convertible into or exchangeable for debt or preferred stock or (B) in the case of entities other than corporations, any other form of ownership interest; or</w:t>
      </w:r>
    </w:p>
    <w:p>
      <w:pPr>
        <w:spacing w:after="0" w:line="183" w:lineRule="exact"/>
        <w:rPr>
          <w:rFonts w:ascii="Arial" w:cs="Arial" w:eastAsia="Arial" w:hAnsi="Arial"/>
          <w:sz w:val="16"/>
          <w:szCs w:val="16"/>
          <w:color w:val="auto"/>
        </w:rPr>
      </w:pPr>
    </w:p>
    <w:p>
      <w:pPr>
        <w:jc w:val="both"/>
        <w:ind w:left="400" w:hanging="3"/>
        <w:spacing w:after="0" w:line="264" w:lineRule="auto"/>
        <w:tabs>
          <w:tab w:leader="none" w:pos="907" w:val="left"/>
        </w:tabs>
        <w:numPr>
          <w:ilvl w:val="1"/>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If any “Additional Termination Event” is specified in the Schedule or any Confirmation as applying,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such event (and, in such event, the Affected Party or Affected Parties will be as specified for such Additional Termination Event in the Schedule or such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580" w:top="368" w:right="239" w:bottom="1440" w:gutter="0" w:footer="0" w:header="0"/>
        </w:sectPr>
      </w:pPr>
    </w:p>
    <w:bookmarkStart w:id="123" w:name="page124"/>
    <w:bookmarkEnd w:id="123"/>
    <w:p>
      <w:pPr>
        <w:ind w:left="624" w:hanging="624"/>
        <w:spacing w:after="0"/>
        <w:tabs>
          <w:tab w:leader="none" w:pos="624"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Hierarchy of Events.</w:t>
      </w:r>
    </w:p>
    <w:p>
      <w:pPr>
        <w:spacing w:after="0" w:line="238" w:lineRule="exact"/>
        <w:rPr>
          <w:rFonts w:ascii="Arial" w:cs="Arial" w:eastAsia="Arial" w:hAnsi="Arial"/>
          <w:sz w:val="18"/>
          <w:szCs w:val="18"/>
          <w:color w:val="auto"/>
        </w:rPr>
      </w:pPr>
    </w:p>
    <w:p>
      <w:pPr>
        <w:jc w:val="both"/>
        <w:ind w:left="624" w:hanging="3"/>
        <w:spacing w:after="0" w:line="259" w:lineRule="auto"/>
        <w:tabs>
          <w:tab w:leader="none" w:pos="10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 event or circumstance that constitutes or gives rise to an Illegality or a Force Majeure Event will not, for so long as that is the case, also constitute or give rise to an Event of Default under Section 5(a)(i), 5(a)(ii)(1) or 5(a)(iii)(1) insofar as such event or circumstance relates to the failure to make any payment or delivery or a failure to comply with any other material provision of this Agreement or a Credit Support Document, as the case may be.</w:t>
      </w:r>
    </w:p>
    <w:p>
      <w:pPr>
        <w:spacing w:after="0" w:line="186" w:lineRule="exact"/>
        <w:rPr>
          <w:rFonts w:ascii="Arial" w:cs="Arial" w:eastAsia="Arial" w:hAnsi="Arial"/>
          <w:sz w:val="18"/>
          <w:szCs w:val="18"/>
          <w:color w:val="auto"/>
        </w:rPr>
      </w:pPr>
    </w:p>
    <w:p>
      <w:pPr>
        <w:jc w:val="both"/>
        <w:ind w:left="624" w:hanging="3"/>
        <w:spacing w:after="0" w:line="286" w:lineRule="auto"/>
        <w:tabs>
          <w:tab w:leader="none" w:pos="1078" w:val="left"/>
        </w:tabs>
        <w:numPr>
          <w:ilvl w:val="1"/>
          <w:numId w:val="98"/>
        </w:numPr>
        <w:rPr>
          <w:rFonts w:ascii="Arial" w:cs="Arial" w:eastAsia="Arial" w:hAnsi="Arial"/>
          <w:sz w:val="17"/>
          <w:szCs w:val="17"/>
          <w:color w:val="auto"/>
        </w:rPr>
      </w:pPr>
      <w:r>
        <w:rPr>
          <w:rFonts w:ascii="Arial" w:cs="Arial" w:eastAsia="Arial" w:hAnsi="Arial"/>
          <w:sz w:val="17"/>
          <w:szCs w:val="17"/>
          <w:color w:val="auto"/>
        </w:rPr>
        <w:t>Except in circumstances contemplated by clause (i) above, if an event or circumstance which would otherwise constitute or give rise to an Illegality or a Force Majeure Event also constitutes an Event of Default or any other Termination Event, it will be treated as an Event of Default or such other Termination Event, as the case may be, and will not constitute or give rise to an Illegality or a Force Majeure Event.</w:t>
      </w:r>
    </w:p>
    <w:p>
      <w:pPr>
        <w:spacing w:after="0" w:line="165" w:lineRule="exact"/>
        <w:rPr>
          <w:rFonts w:ascii="Arial" w:cs="Arial" w:eastAsia="Arial" w:hAnsi="Arial"/>
          <w:sz w:val="17"/>
          <w:szCs w:val="17"/>
          <w:color w:val="auto"/>
        </w:rPr>
      </w:pPr>
    </w:p>
    <w:p>
      <w:pPr>
        <w:ind w:left="624" w:hanging="3"/>
        <w:spacing w:after="0" w:line="277" w:lineRule="auto"/>
        <w:tabs>
          <w:tab w:leader="none" w:pos="1118"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an event or circumstance which would otherwise constitute or give rise to a Force Majeure Event also constitutes an Illegality, it will be treated as an Illegality, except as described in clause (ii) above, and not a Force Majeure Event.</w:t>
      </w:r>
    </w:p>
    <w:p>
      <w:pPr>
        <w:spacing w:after="0" w:line="197" w:lineRule="exact"/>
        <w:rPr>
          <w:rFonts w:ascii="Arial" w:cs="Arial" w:eastAsia="Arial" w:hAnsi="Arial"/>
          <w:sz w:val="18"/>
          <w:szCs w:val="18"/>
          <w:color w:val="auto"/>
        </w:rPr>
      </w:pPr>
    </w:p>
    <w:p>
      <w:pPr>
        <w:jc w:val="both"/>
        <w:ind w:left="4" w:hanging="4"/>
        <w:spacing w:after="0" w:line="311" w:lineRule="auto"/>
        <w:tabs>
          <w:tab w:leader="none" w:pos="835"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Deferral of Payments and Deliveries During Waiting Period. </w:t>
      </w:r>
      <w:r>
        <w:rPr>
          <w:rFonts w:ascii="Arial" w:cs="Arial" w:eastAsia="Arial" w:hAnsi="Arial"/>
          <w:sz w:val="18"/>
          <w:szCs w:val="18"/>
          <w:color w:val="auto"/>
        </w:rPr>
        <w:t>If an Illegality or a Force Majeure Event has occurred and is continuing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a Transaction, each payment or delivery which would otherwise be required to be made under that Transaction will be deferred to, and will not be due until:―</w:t>
      </w:r>
    </w:p>
    <w:p>
      <w:pPr>
        <w:spacing w:after="0" w:line="154" w:lineRule="exact"/>
        <w:rPr>
          <w:rFonts w:ascii="Arial" w:cs="Arial" w:eastAsia="Arial" w:hAnsi="Arial"/>
          <w:sz w:val="18"/>
          <w:szCs w:val="18"/>
          <w:color w:val="auto"/>
        </w:rPr>
      </w:pPr>
    </w:p>
    <w:p>
      <w:pPr>
        <w:jc w:val="both"/>
        <w:ind w:left="624" w:hanging="3"/>
        <w:spacing w:after="0" w:line="312" w:lineRule="auto"/>
        <w:tabs>
          <w:tab w:leader="none" w:pos="998"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first Local Business Day or, in the case of a delivery, the first Local Delivery Day (or the first day that would have been a Local Business Day or Local Delivery Day, as appropriate, but for the occurrence of the event or circumstance constituting or giving rise to that Illegality or Force Majeure Event) following the end of any applicable Waiting Period in respect of that Illegality or Force Majeure Event, as the case may be; or</w:t>
      </w:r>
    </w:p>
    <w:p>
      <w:pPr>
        <w:spacing w:after="0" w:line="146" w:lineRule="exact"/>
        <w:rPr>
          <w:rFonts w:ascii="Arial" w:cs="Arial" w:eastAsia="Arial" w:hAnsi="Arial"/>
          <w:sz w:val="16"/>
          <w:szCs w:val="16"/>
          <w:color w:val="auto"/>
        </w:rPr>
      </w:pPr>
    </w:p>
    <w:p>
      <w:pPr>
        <w:jc w:val="both"/>
        <w:ind w:left="624" w:hanging="3"/>
        <w:spacing w:after="0" w:line="264" w:lineRule="auto"/>
        <w:tabs>
          <w:tab w:leader="none" w:pos="1037"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earlier, the date on which the event or circumstance constituting or giving rise to that Illegality or Force Majeure Event ceases to exist or, if such date is not a Local Business Day or, in the case of a delivery, a Local Delivery Day, the first following day that is a Local Business Day or Local Delivery Day, as appropriate.</w:t>
      </w:r>
    </w:p>
    <w:p>
      <w:pPr>
        <w:spacing w:after="0" w:line="208" w:lineRule="exact"/>
        <w:rPr>
          <w:rFonts w:ascii="Arial" w:cs="Arial" w:eastAsia="Arial" w:hAnsi="Arial"/>
          <w:sz w:val="18"/>
          <w:szCs w:val="18"/>
          <w:color w:val="auto"/>
        </w:rPr>
      </w:pPr>
    </w:p>
    <w:p>
      <w:pPr>
        <w:ind w:left="824" w:hanging="824"/>
        <w:spacing w:after="0"/>
        <w:tabs>
          <w:tab w:leader="none" w:pos="824"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Inability of Head or Home Office to Perform Obligations of Branch. </w:t>
      </w:r>
      <w:r>
        <w:rPr>
          <w:rFonts w:ascii="Arial" w:cs="Arial" w:eastAsia="Arial" w:hAnsi="Arial"/>
          <w:sz w:val="16"/>
          <w:szCs w:val="16"/>
          <w:color w:val="auto"/>
        </w:rPr>
        <w:t>If (i) an Illegality or a Force Majeure Event occurs under Section 5(b)(i)</w:t>
      </w:r>
    </w:p>
    <w:p>
      <w:pPr>
        <w:spacing w:after="0" w:line="72" w:lineRule="exact"/>
        <w:rPr>
          <w:rFonts w:ascii="Arial" w:cs="Arial" w:eastAsia="Arial" w:hAnsi="Arial"/>
          <w:sz w:val="16"/>
          <w:szCs w:val="16"/>
          <w:color w:val="auto"/>
        </w:rPr>
      </w:pPr>
    </w:p>
    <w:p>
      <w:pPr>
        <w:jc w:val="both"/>
        <w:ind w:left="4"/>
        <w:spacing w:after="0" w:line="344" w:lineRule="auto"/>
        <w:rPr>
          <w:rFonts w:ascii="Arial" w:cs="Arial" w:eastAsia="Arial" w:hAnsi="Arial"/>
          <w:sz w:val="16"/>
          <w:szCs w:val="16"/>
          <w:color w:val="auto"/>
        </w:rPr>
      </w:pPr>
      <w:r>
        <w:rPr>
          <w:rFonts w:ascii="Arial" w:cs="Arial" w:eastAsia="Arial" w:hAnsi="Arial"/>
          <w:sz w:val="16"/>
          <w:szCs w:val="16"/>
          <w:color w:val="auto"/>
        </w:rPr>
        <w:t>(1) or 5(b)(ii)(1) and the relevant Office is not the Affected Party’s head or home office, (ii) Section 10(a) applies, (iii) the other party seeks performance of the relevant obligation or compliance with the relevant provision by the Affected Party’s head or home office and (iv) the Affected Party’s head or home office fails so to perform or comply due to the occurrence of an event or circumstance which would, if that head or home office were the Office through which the Affected Party makes and receives payments and deliveries with respect to the relevant Transaction, constitute or give rise to an Illegality or a Force Majeure Event, and such failure would otherwise constitute an Event of Default under Section 5(a)(i) or 5(a)(iii)(1) with respect to such party, then, for so long as the relevant event or circumstance continues to exist with respect to both the Office referred to in Section 5(b)(i)(1) or 5(b)(ii)(1), as the case may be, and the Affected Party’s head or home office, such failure will not constitute an Event of Default under Section 5(a)(i) or 5(a)(iii)(1).</w:t>
      </w:r>
    </w:p>
    <w:p>
      <w:pPr>
        <w:spacing w:after="0" w:line="135" w:lineRule="exact"/>
        <w:rPr>
          <w:sz w:val="20"/>
          <w:szCs w:val="20"/>
          <w:color w:val="auto"/>
        </w:rPr>
      </w:pPr>
    </w:p>
    <w:p>
      <w:pPr>
        <w:ind w:left="624" w:hanging="624"/>
        <w:spacing w:after="0"/>
        <w:tabs>
          <w:tab w:leader="none" w:pos="62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Early Termination; Close-Out Netting</w:t>
      </w:r>
    </w:p>
    <w:p>
      <w:pPr>
        <w:spacing w:after="0" w:line="256" w:lineRule="exact"/>
        <w:rPr>
          <w:sz w:val="20"/>
          <w:szCs w:val="20"/>
          <w:color w:val="auto"/>
        </w:rPr>
      </w:pPr>
    </w:p>
    <w:p>
      <w:pPr>
        <w:jc w:val="both"/>
        <w:ind w:left="4" w:hanging="4"/>
        <w:spacing w:after="0" w:line="302" w:lineRule="auto"/>
        <w:tabs>
          <w:tab w:leader="none" w:pos="825"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to Terminate Following Event of Default. </w:t>
      </w:r>
      <w:r>
        <w:rPr>
          <w:rFonts w:ascii="Arial" w:cs="Arial" w:eastAsia="Arial" w:hAnsi="Arial"/>
          <w:sz w:val="18"/>
          <w:szCs w:val="18"/>
          <w:color w:val="auto"/>
        </w:rPr>
        <w:t>If at any time an Event of Default with respect to a party (the “Defaulting Party”) has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then continuing, the other party (the “Non-defaulting Party”) may, by not more than 20 days notice to the Defaulting Party specifying the relevant Event of Default, designate a day not earlier than the day such notice is effective as an Early Termination Date in respect of all outstanding Transactions. If, however, “Automatic Early Termination” is specified in the Schedule as applying to a party, then an Early Termination Date in respect of all outstanding Transactions will occur immediately upon the occurrence with respect to such party of an Event of Default specified in Section 5(a)(vii)(1), (3), (5), (6) or, to the extent analogous thereto, (8), and as of the time immediately preceding the institution of the relevant proceeding or the presentation of the relevant petition upon the</w:t>
      </w:r>
    </w:p>
    <w:p>
      <w:pPr>
        <w:spacing w:after="0" w:line="17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4"/>
          </w:cols>
          <w:pgMar w:left="356" w:top="368" w:right="239" w:bottom="1440" w:gutter="0" w:footer="0" w:header="0"/>
        </w:sectPr>
      </w:pPr>
    </w:p>
    <w:bookmarkStart w:id="124" w:name="page125"/>
    <w:bookmarkEnd w:id="124"/>
    <w:p>
      <w:pPr>
        <w:ind w:left="4"/>
        <w:spacing w:after="0"/>
        <w:rPr>
          <w:sz w:val="20"/>
          <w:szCs w:val="20"/>
          <w:color w:val="auto"/>
        </w:rPr>
      </w:pPr>
      <w:r>
        <w:rPr>
          <w:rFonts w:ascii="Arial" w:cs="Arial" w:eastAsia="Arial" w:hAnsi="Arial"/>
          <w:sz w:val="18"/>
          <w:szCs w:val="18"/>
          <w:color w:val="auto"/>
        </w:rPr>
        <w:t>occurrence with respect to such party of an Event of Default specified in Section 5(a)(vii)(4) or, to the extent analogous thereto, (8).</w:t>
      </w:r>
    </w:p>
    <w:p>
      <w:pPr>
        <w:spacing w:after="0" w:line="239" w:lineRule="exact"/>
        <w:rPr>
          <w:sz w:val="20"/>
          <w:szCs w:val="20"/>
          <w:color w:val="auto"/>
        </w:rPr>
      </w:pPr>
    </w:p>
    <w:p>
      <w:pPr>
        <w:ind w:left="624" w:hanging="624"/>
        <w:spacing w:after="0"/>
        <w:tabs>
          <w:tab w:leader="none" w:pos="624"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Right to Terminate Following Termination Event.</w:t>
      </w:r>
    </w:p>
    <w:p>
      <w:pPr>
        <w:spacing w:after="0" w:line="225" w:lineRule="exact"/>
        <w:rPr>
          <w:rFonts w:ascii="Arial" w:cs="Arial" w:eastAsia="Arial" w:hAnsi="Arial"/>
          <w:sz w:val="18"/>
          <w:szCs w:val="18"/>
          <w:color w:val="auto"/>
        </w:rPr>
      </w:pPr>
    </w:p>
    <w:p>
      <w:pPr>
        <w:jc w:val="both"/>
        <w:ind w:left="624" w:hanging="3"/>
        <w:spacing w:after="0" w:line="276" w:lineRule="auto"/>
        <w:tabs>
          <w:tab w:leader="none" w:pos="1001" w:val="left"/>
        </w:tabs>
        <w:numPr>
          <w:ilvl w:val="1"/>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Notice. </w:t>
      </w:r>
      <w:r>
        <w:rPr>
          <w:rFonts w:ascii="Arial" w:cs="Arial" w:eastAsia="Arial" w:hAnsi="Arial"/>
          <w:sz w:val="17"/>
          <w:szCs w:val="17"/>
          <w:color w:val="auto"/>
        </w:rPr>
        <w:t>If a Termination Event other than a Force Majeure Event occurs, an Affected Party will, promptly upon becoming aware of it, notify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other party, specifying the nature of that Termination Event and each Affected Transaction, and will also give the other party such other information about that Termination Event as the other party may reasonably require. If a Force Majeure Event occurs, each party will, promptly upon becoming aware of it, use all reasonable efforts to notify the other party, specifying the nature of that Force Majeure Event, and will also give the other party such other information about that Force Majeure Event as the other party may reasonably require.</w:t>
      </w:r>
    </w:p>
    <w:p>
      <w:pPr>
        <w:spacing w:after="0" w:line="172" w:lineRule="exact"/>
        <w:rPr>
          <w:rFonts w:ascii="Arial" w:cs="Arial" w:eastAsia="Arial" w:hAnsi="Arial"/>
          <w:sz w:val="17"/>
          <w:szCs w:val="17"/>
          <w:color w:val="auto"/>
        </w:rPr>
      </w:pPr>
    </w:p>
    <w:p>
      <w:pPr>
        <w:jc w:val="both"/>
        <w:ind w:left="624" w:hanging="3"/>
        <w:spacing w:after="0" w:line="276" w:lineRule="auto"/>
        <w:tabs>
          <w:tab w:leader="none" w:pos="1037" w:val="left"/>
        </w:tabs>
        <w:numPr>
          <w:ilvl w:val="1"/>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Transfer to Avoid Termination Event. </w:t>
      </w:r>
      <w:r>
        <w:rPr>
          <w:rFonts w:ascii="Arial" w:cs="Arial" w:eastAsia="Arial" w:hAnsi="Arial"/>
          <w:sz w:val="17"/>
          <w:szCs w:val="17"/>
          <w:color w:val="auto"/>
        </w:rPr>
        <w:t>If a Tax Event occurs and there is only one Affected Party, or if a Tax Event Upon Merger occurs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Burdened Party is the Affected Party, the Affected Party will, as a condition to its right to designate an Early Termination Date under Section 6(b)(iv), use all reasonable efforts (which will not require such party to incur a loss, other than immaterial, incidental expenses) to transfer within 20 days after it gives notice under Section 6(b)(i) all its rights and obligations under this Agreement in respect of the Affected Transactions to another of its Offices or Affiliates so that such Termination Event ceases to exist.</w:t>
      </w:r>
    </w:p>
    <w:p>
      <w:pPr>
        <w:spacing w:after="0" w:line="173" w:lineRule="exact"/>
        <w:rPr>
          <w:sz w:val="20"/>
          <w:szCs w:val="20"/>
          <w:color w:val="auto"/>
        </w:rPr>
      </w:pPr>
    </w:p>
    <w:p>
      <w:pPr>
        <w:jc w:val="both"/>
        <w:ind w:left="624" w:right="20"/>
        <w:spacing w:after="0" w:line="277" w:lineRule="auto"/>
        <w:rPr>
          <w:sz w:val="20"/>
          <w:szCs w:val="20"/>
          <w:color w:val="auto"/>
        </w:rPr>
      </w:pPr>
      <w:r>
        <w:rPr>
          <w:rFonts w:ascii="Arial" w:cs="Arial" w:eastAsia="Arial" w:hAnsi="Arial"/>
          <w:sz w:val="18"/>
          <w:szCs w:val="18"/>
          <w:color w:val="auto"/>
        </w:rPr>
        <w:t>If the Affected Party is not able to make such a transfer it will give notice to the other party to that effect within such 20 day period, whereupon the other party may effect such a transfer within 30 days after the notice is given under Section 6(b)(i).</w:t>
      </w:r>
    </w:p>
    <w:p>
      <w:pPr>
        <w:spacing w:after="0" w:line="170" w:lineRule="exact"/>
        <w:rPr>
          <w:sz w:val="20"/>
          <w:szCs w:val="20"/>
          <w:color w:val="auto"/>
        </w:rPr>
      </w:pPr>
    </w:p>
    <w:p>
      <w:pPr>
        <w:jc w:val="both"/>
        <w:ind w:left="624" w:right="20"/>
        <w:spacing w:after="0" w:line="264" w:lineRule="auto"/>
        <w:rPr>
          <w:sz w:val="20"/>
          <w:szCs w:val="20"/>
          <w:color w:val="auto"/>
        </w:rPr>
      </w:pPr>
      <w:r>
        <w:rPr>
          <w:rFonts w:ascii="Arial" w:cs="Arial" w:eastAsia="Arial" w:hAnsi="Arial"/>
          <w:sz w:val="18"/>
          <w:szCs w:val="18"/>
          <w:color w:val="auto"/>
        </w:rPr>
        <w:t>Any such transfer by a party under this Section 6(b)(ii) will be subject to and conditional upon the prior written consent of the other party, which consent will not be withheld if such other party’s policies in effect at such time would permit it to enter into transactions with the transferee on the terms proposed.</w:t>
      </w:r>
    </w:p>
    <w:p>
      <w:pPr>
        <w:spacing w:after="0" w:line="181" w:lineRule="exact"/>
        <w:rPr>
          <w:sz w:val="20"/>
          <w:szCs w:val="20"/>
          <w:color w:val="auto"/>
        </w:rPr>
      </w:pPr>
    </w:p>
    <w:p>
      <w:pPr>
        <w:ind w:left="624" w:right="20" w:hanging="3"/>
        <w:spacing w:after="0" w:line="277" w:lineRule="auto"/>
        <w:tabs>
          <w:tab w:leader="none" w:pos="1087"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Two Affected Parties. </w:t>
      </w:r>
      <w:r>
        <w:rPr>
          <w:rFonts w:ascii="Arial" w:cs="Arial" w:eastAsia="Arial" w:hAnsi="Arial"/>
          <w:sz w:val="18"/>
          <w:szCs w:val="18"/>
          <w:color w:val="auto"/>
        </w:rPr>
        <w:t>If a Tax Event occurs and there are two Affected Parties, each party will use all reasonable efforts to reach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30 days after notice of such occurrence is given under Section 6(b)(i) to avoid that Termination Event.</w:t>
      </w:r>
    </w:p>
    <w:p>
      <w:pPr>
        <w:spacing w:after="0" w:line="237" w:lineRule="exact"/>
        <w:rPr>
          <w:rFonts w:ascii="Arial" w:cs="Arial" w:eastAsia="Arial" w:hAnsi="Arial"/>
          <w:sz w:val="18"/>
          <w:szCs w:val="18"/>
          <w:color w:val="auto"/>
        </w:rPr>
      </w:pPr>
    </w:p>
    <w:p>
      <w:pPr>
        <w:ind w:left="1264" w:hanging="643"/>
        <w:spacing w:after="0"/>
        <w:tabs>
          <w:tab w:leader="none" w:pos="1264" w:val="left"/>
        </w:tabs>
        <w:numPr>
          <w:ilvl w:val="0"/>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Right to Terminate.</w:t>
      </w:r>
    </w:p>
    <w:p>
      <w:pPr>
        <w:spacing w:after="0" w:line="238" w:lineRule="exact"/>
        <w:rPr>
          <w:rFonts w:ascii="Arial" w:cs="Arial" w:eastAsia="Arial" w:hAnsi="Arial"/>
          <w:sz w:val="18"/>
          <w:szCs w:val="18"/>
          <w:b w:val="1"/>
          <w:bCs w:val="1"/>
          <w:i w:val="1"/>
          <w:iCs w:val="1"/>
          <w:color w:val="auto"/>
        </w:rPr>
      </w:pPr>
    </w:p>
    <w:p>
      <w:pPr>
        <w:ind w:left="1664" w:hanging="394"/>
        <w:spacing w:after="0"/>
        <w:tabs>
          <w:tab w:leader="none" w:pos="166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w:t>
      </w:r>
    </w:p>
    <w:p>
      <w:pPr>
        <w:spacing w:after="0" w:line="238" w:lineRule="exact"/>
        <w:rPr>
          <w:rFonts w:ascii="Arial" w:cs="Arial" w:eastAsia="Arial" w:hAnsi="Arial"/>
          <w:sz w:val="18"/>
          <w:szCs w:val="18"/>
          <w:color w:val="auto"/>
        </w:rPr>
      </w:pPr>
    </w:p>
    <w:p>
      <w:pPr>
        <w:ind w:left="1904"/>
        <w:spacing w:after="0" w:line="308" w:lineRule="auto"/>
        <w:tabs>
          <w:tab w:leader="none" w:pos="2404" w:val="left"/>
        </w:tabs>
        <w:numPr>
          <w:ilvl w:val="2"/>
          <w:numId w:val="102"/>
        </w:numPr>
        <w:rPr>
          <w:rFonts w:ascii="Arial" w:cs="Arial" w:eastAsia="Arial" w:hAnsi="Arial"/>
          <w:sz w:val="17"/>
          <w:szCs w:val="17"/>
          <w:color w:val="auto"/>
        </w:rPr>
      </w:pPr>
      <w:r>
        <w:rPr>
          <w:rFonts w:ascii="Arial" w:cs="Arial" w:eastAsia="Arial" w:hAnsi="Arial"/>
          <w:sz w:val="17"/>
          <w:szCs w:val="17"/>
          <w:color w:val="auto"/>
        </w:rPr>
        <w:t>a transfer under Section 6(b)(ii) or an agreement under Section 6(b)(iii), as the case may be, has not been effected with respect to all Affected Transactions within 30 days after an Affected Party gives notice under Section 6(b)(i); or</w:t>
      </w:r>
    </w:p>
    <w:p>
      <w:pPr>
        <w:spacing w:after="0" w:line="146" w:lineRule="exact"/>
        <w:rPr>
          <w:rFonts w:ascii="Arial" w:cs="Arial" w:eastAsia="Arial" w:hAnsi="Arial"/>
          <w:sz w:val="17"/>
          <w:szCs w:val="17"/>
          <w:color w:val="auto"/>
        </w:rPr>
      </w:pPr>
    </w:p>
    <w:p>
      <w:pPr>
        <w:ind w:left="1904"/>
        <w:spacing w:after="0" w:line="277" w:lineRule="auto"/>
        <w:tabs>
          <w:tab w:leader="none" w:pos="24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 Credit Event Upon Merger or an Additional Termination Event occurs, or a Tax Event Upon Merger occurs and the Burdened Party is not the Affected Party,</w:t>
      </w:r>
    </w:p>
    <w:p>
      <w:pPr>
        <w:spacing w:after="0" w:line="170" w:lineRule="exact"/>
        <w:rPr>
          <w:sz w:val="20"/>
          <w:szCs w:val="20"/>
          <w:color w:val="auto"/>
        </w:rPr>
      </w:pPr>
    </w:p>
    <w:p>
      <w:pPr>
        <w:jc w:val="both"/>
        <w:ind w:left="1264"/>
        <w:spacing w:after="0" w:line="257" w:lineRule="auto"/>
        <w:rPr>
          <w:sz w:val="20"/>
          <w:szCs w:val="20"/>
          <w:color w:val="auto"/>
        </w:rPr>
      </w:pPr>
      <w:r>
        <w:rPr>
          <w:rFonts w:ascii="Arial" w:cs="Arial" w:eastAsia="Arial" w:hAnsi="Arial"/>
          <w:sz w:val="18"/>
          <w:szCs w:val="18"/>
          <w:color w:val="auto"/>
        </w:rPr>
        <w:t>the Burdened Party in the case of a Tax Event Upon Merger, any Affected Party in the case of a Tax Event or an Additional Termination Event if there are two Affected Parties, or the Non- affected Party in the case of a Credit Event Upon Merger or an Additional Termination Event if there is only one Affected Party may, if the relevant Termination Event is then continuing, by not more than 20 days notice to the other party, designate a day not earlier than the day such notice is effective as an Early Termination Date in respect of all Affected Transactions.</w:t>
      </w:r>
    </w:p>
    <w:p>
      <w:pPr>
        <w:spacing w:after="0" w:line="188" w:lineRule="exact"/>
        <w:rPr>
          <w:sz w:val="20"/>
          <w:szCs w:val="20"/>
          <w:color w:val="auto"/>
        </w:rPr>
      </w:pPr>
    </w:p>
    <w:p>
      <w:pPr>
        <w:ind w:left="1264" w:firstLine="6"/>
        <w:spacing w:after="0" w:line="277" w:lineRule="auto"/>
        <w:tabs>
          <w:tab w:leader="none" w:pos="17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at any time an Illegality or a Force Majeure Event has occurred and is then continuing and any applicable Waiting Period has expired:―</w:t>
      </w:r>
    </w:p>
    <w:p>
      <w:pPr>
        <w:spacing w:after="0" w:line="18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4"/>
          </w:cols>
          <w:pgMar w:left="356" w:top="395" w:right="239" w:bottom="1440" w:gutter="0" w:footer="0" w:header="0"/>
        </w:sectPr>
      </w:pPr>
    </w:p>
    <w:bookmarkStart w:id="125" w:name="page126"/>
    <w:bookmarkEnd w:id="125"/>
    <w:p>
      <w:pPr>
        <w:jc w:val="both"/>
        <w:ind w:left="1904"/>
        <w:spacing w:after="0" w:line="254" w:lineRule="auto"/>
        <w:tabs>
          <w:tab w:leader="none" w:pos="2388" w:val="left"/>
        </w:tabs>
        <w:numPr>
          <w:ilvl w:val="2"/>
          <w:numId w:val="104"/>
        </w:numPr>
        <w:rPr>
          <w:rFonts w:ascii="Arial" w:cs="Arial" w:eastAsia="Arial" w:hAnsi="Arial"/>
          <w:sz w:val="18"/>
          <w:szCs w:val="18"/>
          <w:color w:val="auto"/>
        </w:rPr>
      </w:pPr>
      <w:r>
        <w:rPr>
          <w:rFonts w:ascii="Arial" w:cs="Arial" w:eastAsia="Arial" w:hAnsi="Arial"/>
          <w:sz w:val="18"/>
          <w:szCs w:val="18"/>
          <w:color w:val="auto"/>
        </w:rPr>
        <w:t>Subject to clause (B) below, either party may, by not more than 20 days notice to the other party, designate (I) a day not earlier than the day on which such notice becomes effective as an Early Termination Date in respect of all Affected Transactions or (II) by specifying in that notice the Affected Transactions in respect of which it is designating the relevant day as an Early Termination Date, a day not earlier than two Local Business Days following the day on which such notice becomes effective as an Early Termination Date in respect of less than all Affected Transactions. Upon receipt of a notice designating an Early Termination Date in respect of less than all Affected Transactions, the other party may, by notice to the designating party, if such notice is effective on or before the day so designated, designate that same day as an Early Termination Date in respect of any or all other Affected Transactions.</w:t>
      </w:r>
    </w:p>
    <w:p>
      <w:pPr>
        <w:spacing w:after="0" w:line="192" w:lineRule="exact"/>
        <w:rPr>
          <w:rFonts w:ascii="Arial" w:cs="Arial" w:eastAsia="Arial" w:hAnsi="Arial"/>
          <w:sz w:val="18"/>
          <w:szCs w:val="18"/>
          <w:color w:val="auto"/>
        </w:rPr>
      </w:pPr>
    </w:p>
    <w:p>
      <w:pPr>
        <w:jc w:val="both"/>
        <w:ind w:left="1904"/>
        <w:spacing w:after="0" w:line="255" w:lineRule="auto"/>
        <w:tabs>
          <w:tab w:leader="none" w:pos="2394"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 Affected Party (if the Illegality or Force Majeure Event relates to performance by such party or any Credit Support Provider of such party of an obligation to make any payment or delivery under, or to compliance with any other material provision of, the relevant Credit Support Document) will only have the right to designate an Early Termination Date under Section 6(b)(iv)(2)(A) as a result of an Illegality under Section 5(b)(i)(2) or a Force Majeure Event under Section 5(b)(ii)(2) following the prior designation by the other party of an Early Termination Date, pursuant to Section 6(b)(iv)(2)(A), in respect of less than all Affected Transactions.</w:t>
      </w:r>
    </w:p>
    <w:p>
      <w:pPr>
        <w:spacing w:after="0" w:line="193" w:lineRule="exact"/>
        <w:rPr>
          <w:rFonts w:ascii="Arial" w:cs="Arial" w:eastAsia="Arial" w:hAnsi="Arial"/>
          <w:sz w:val="18"/>
          <w:szCs w:val="18"/>
          <w:color w:val="auto"/>
        </w:rPr>
      </w:pPr>
    </w:p>
    <w:p>
      <w:pPr>
        <w:ind w:left="624" w:hanging="624"/>
        <w:spacing w:after="0"/>
        <w:tabs>
          <w:tab w:leader="none" w:pos="624"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Effect of Designation.</w:t>
      </w:r>
    </w:p>
    <w:p>
      <w:pPr>
        <w:spacing w:after="0" w:line="238" w:lineRule="exact"/>
        <w:rPr>
          <w:rFonts w:ascii="Arial" w:cs="Arial" w:eastAsia="Arial" w:hAnsi="Arial"/>
          <w:sz w:val="18"/>
          <w:szCs w:val="18"/>
          <w:color w:val="auto"/>
        </w:rPr>
      </w:pPr>
    </w:p>
    <w:p>
      <w:pPr>
        <w:ind w:left="624" w:right="20" w:hanging="3"/>
        <w:spacing w:after="0" w:line="277" w:lineRule="auto"/>
        <w:tabs>
          <w:tab w:leader="none" w:pos="104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notice designating an Early Termination Date is given under Section 6(a) or 6(b), the Early Termination Date will occur on the date so designated, whether or not the relevant Event of Default or Termination Event is then continuing.</w:t>
      </w:r>
    </w:p>
    <w:p>
      <w:pPr>
        <w:spacing w:after="0" w:line="170" w:lineRule="exact"/>
        <w:rPr>
          <w:rFonts w:ascii="Arial" w:cs="Arial" w:eastAsia="Arial" w:hAnsi="Arial"/>
          <w:sz w:val="18"/>
          <w:szCs w:val="18"/>
          <w:color w:val="auto"/>
        </w:rPr>
      </w:pPr>
    </w:p>
    <w:p>
      <w:pPr>
        <w:jc w:val="both"/>
        <w:ind w:left="624" w:hanging="3"/>
        <w:spacing w:after="0" w:line="286" w:lineRule="auto"/>
        <w:tabs>
          <w:tab w:leader="none" w:pos="104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Upon the occurrence or effective designation of an Early Termination Date, no further payments or deliveries under Section 2(a)(i) or 9(h)(i) in respect of the Terminated Transactions will be required to be made, but without prejudice to the other provisions of this Agreement. The amount, if any, payable in respect of an Early Termination Date will be determined pursuant to Sections 6(e) and 9(h)(ii).</w:t>
      </w:r>
    </w:p>
    <w:p>
      <w:pPr>
        <w:spacing w:after="0" w:line="233" w:lineRule="exact"/>
        <w:rPr>
          <w:rFonts w:ascii="Arial" w:cs="Arial" w:eastAsia="Arial" w:hAnsi="Arial"/>
          <w:sz w:val="17"/>
          <w:szCs w:val="17"/>
          <w:color w:val="auto"/>
        </w:rPr>
      </w:pPr>
    </w:p>
    <w:p>
      <w:pPr>
        <w:ind w:left="624" w:hanging="624"/>
        <w:spacing w:after="0"/>
        <w:tabs>
          <w:tab w:leader="none" w:pos="624"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Calculations; Payment Date.</w:t>
      </w:r>
    </w:p>
    <w:p>
      <w:pPr>
        <w:spacing w:after="0" w:line="225" w:lineRule="exact"/>
        <w:rPr>
          <w:rFonts w:ascii="Arial" w:cs="Arial" w:eastAsia="Arial" w:hAnsi="Arial"/>
          <w:sz w:val="18"/>
          <w:szCs w:val="18"/>
          <w:color w:val="auto"/>
        </w:rPr>
      </w:pPr>
    </w:p>
    <w:p>
      <w:pPr>
        <w:jc w:val="both"/>
        <w:ind w:left="624" w:hanging="3"/>
        <w:spacing w:after="0" w:line="276" w:lineRule="auto"/>
        <w:tabs>
          <w:tab w:leader="none" w:pos="1095" w:val="left"/>
        </w:tabs>
        <w:numPr>
          <w:ilvl w:val="1"/>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Statement. </w:t>
      </w:r>
      <w:r>
        <w:rPr>
          <w:rFonts w:ascii="Arial" w:cs="Arial" w:eastAsia="Arial" w:hAnsi="Arial"/>
          <w:sz w:val="17"/>
          <w:szCs w:val="17"/>
          <w:color w:val="auto"/>
        </w:rPr>
        <w:t>On or as soon as reasonably practicable following the occurrence of an Early Termination Date, each party will make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calculations on its part, if any, contemplated by Section 6(e) and will provide to the other party a statement (l) showing, in reasonable detail, such calculations (including any quotations, market data or information from internal sources used in making such calculations),</w:t>
      </w:r>
    </w:p>
    <w:p>
      <w:pPr>
        <w:spacing w:after="0" w:line="1" w:lineRule="exact"/>
        <w:rPr>
          <w:sz w:val="20"/>
          <w:szCs w:val="20"/>
          <w:color w:val="auto"/>
        </w:rPr>
      </w:pPr>
    </w:p>
    <w:p>
      <w:pPr>
        <w:ind w:left="1084" w:hanging="463"/>
        <w:spacing w:after="0"/>
        <w:tabs>
          <w:tab w:leader="none" w:pos="108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specifying (except where there are two Affected Parties) any Early Termination Amount payable and</w:t>
      </w:r>
    </w:p>
    <w:p>
      <w:pPr>
        <w:spacing w:after="0" w:line="49" w:lineRule="exact"/>
        <w:rPr>
          <w:rFonts w:ascii="Arial" w:cs="Arial" w:eastAsia="Arial" w:hAnsi="Arial"/>
          <w:sz w:val="18"/>
          <w:szCs w:val="18"/>
          <w:color w:val="auto"/>
        </w:rPr>
      </w:pPr>
    </w:p>
    <w:p>
      <w:pPr>
        <w:jc w:val="both"/>
        <w:ind w:left="624" w:right="20" w:hanging="3"/>
        <w:spacing w:after="0" w:line="311" w:lineRule="auto"/>
        <w:tabs>
          <w:tab w:leader="none" w:pos="10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giving details of the relevant account to which any amount payable to it is to be paid. In the absence of written confirmation from the source of a quotation or market data obtained in determining a Close-out Amount, the records of the party obtaining such quotation or market data will be conclusive evidence of the existence and accuracy of such quotation or market data.</w:t>
      </w:r>
    </w:p>
    <w:p>
      <w:pPr>
        <w:spacing w:after="0" w:line="154" w:lineRule="exact"/>
        <w:rPr>
          <w:sz w:val="20"/>
          <w:szCs w:val="20"/>
          <w:color w:val="auto"/>
        </w:rPr>
      </w:pPr>
    </w:p>
    <w:p>
      <w:pPr>
        <w:jc w:val="both"/>
        <w:ind w:left="624" w:hanging="3"/>
        <w:spacing w:after="0" w:line="255" w:lineRule="auto"/>
        <w:tabs>
          <w:tab w:leader="none" w:pos="1024"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Date. </w:t>
      </w:r>
      <w:r>
        <w:rPr>
          <w:rFonts w:ascii="Arial" w:cs="Arial" w:eastAsia="Arial" w:hAnsi="Arial"/>
          <w:sz w:val="18"/>
          <w:szCs w:val="18"/>
          <w:color w:val="auto"/>
        </w:rPr>
        <w:t>An Early Termination Amount due in respect of any Early Termination Date will, together with any amount of interest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9(h)(ii)(2), be payable (1) on the day on which notice of the amount payable is effective in the case of an Early Termination Date which is designated or occurs as a result of an Event of Default and (2) on the day which is two Local Business Days after the day on which notice of the amount payable is effective (or, if there are two Affected Parties, after the day on which the statement provided pursuant to clause (i) above by the second party to provide such a statement is effective) in the case of an Early Termination Date which is designated as a result of a Termination Event.</w:t>
      </w:r>
    </w:p>
    <w:p>
      <w:pPr>
        <w:spacing w:after="0" w:line="200" w:lineRule="exact"/>
        <w:rPr>
          <w:sz w:val="20"/>
          <w:szCs w:val="20"/>
          <w:color w:val="auto"/>
        </w:rPr>
      </w:pPr>
    </w:p>
    <w:p>
      <w:pPr>
        <w:spacing w:after="0" w:line="22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4"/>
          </w:cols>
          <w:pgMar w:left="356" w:top="368" w:right="239" w:bottom="1440" w:gutter="0" w:footer="0" w:header="0"/>
        </w:sectPr>
      </w:pPr>
    </w:p>
    <w:bookmarkStart w:id="126" w:name="page127"/>
    <w:bookmarkEnd w:id="126"/>
    <w:p>
      <w:pPr>
        <w:ind w:left="4" w:right="20" w:hanging="4"/>
        <w:spacing w:after="0" w:line="282" w:lineRule="auto"/>
        <w:tabs>
          <w:tab w:leader="none" w:pos="825"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Payments on Early Termination. </w:t>
      </w:r>
      <w:r>
        <w:rPr>
          <w:rFonts w:ascii="Arial" w:cs="Arial" w:eastAsia="Arial" w:hAnsi="Arial"/>
          <w:sz w:val="18"/>
          <w:szCs w:val="18"/>
          <w:color w:val="auto"/>
        </w:rPr>
        <w:t>If an Early Termination Date occurs, the amount, if any, payable in respect of that Early Termination Date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“Early Termination Amount”) will be determined pursuant to this Section 6(e) and will be subject to Section 6(f).</w:t>
      </w:r>
    </w:p>
    <w:p>
      <w:pPr>
        <w:ind w:left="1004" w:hanging="383"/>
        <w:spacing w:after="0"/>
        <w:tabs>
          <w:tab w:leader="none" w:pos="1004" w:val="left"/>
        </w:tabs>
        <w:numPr>
          <w:ilvl w:val="1"/>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Events of Default. </w:t>
      </w:r>
      <w:r>
        <w:rPr>
          <w:rFonts w:ascii="Arial" w:cs="Arial" w:eastAsia="Arial" w:hAnsi="Arial"/>
          <w:sz w:val="16"/>
          <w:szCs w:val="16"/>
          <w:color w:val="auto"/>
        </w:rPr>
        <w:t>If the Early Termination Date results from an Event of Default, the Early Termination Amount will be an amount equal to</w:t>
      </w:r>
    </w:p>
    <w:p>
      <w:pPr>
        <w:spacing w:after="0" w:line="45" w:lineRule="exact"/>
        <w:rPr>
          <w:rFonts w:ascii="Arial" w:cs="Arial" w:eastAsia="Arial" w:hAnsi="Arial"/>
          <w:sz w:val="16"/>
          <w:szCs w:val="16"/>
          <w:color w:val="auto"/>
        </w:rPr>
      </w:pPr>
    </w:p>
    <w:p>
      <w:pPr>
        <w:jc w:val="both"/>
        <w:ind w:left="624"/>
        <w:spacing w:after="0" w:line="250" w:lineRule="auto"/>
        <w:rPr>
          <w:rFonts w:ascii="Arial" w:cs="Arial" w:eastAsia="Arial" w:hAnsi="Arial"/>
          <w:sz w:val="16"/>
          <w:szCs w:val="16"/>
          <w:color w:val="auto"/>
        </w:rPr>
      </w:pPr>
      <w:r>
        <w:rPr>
          <w:rFonts w:ascii="Arial" w:cs="Arial" w:eastAsia="Arial" w:hAnsi="Arial"/>
          <w:sz w:val="18"/>
          <w:szCs w:val="18"/>
          <w:color w:val="auto"/>
        </w:rPr>
        <w:t>(1) the sum of (A) the Termination Currency Equivalent of the Close-out Amount or Close-out Amounts (whether positive or negative) determined by the Non- defaulting Party for each Terminated Transaction or group of Terminated Transactions, as the case may be, and (B) the Termination Currency Equivalent of the Unpaid Amounts owing to the Non-defaulting Party less</w:t>
      </w:r>
    </w:p>
    <w:p>
      <w:pPr>
        <w:spacing w:after="0" w:line="1" w:lineRule="exact"/>
        <w:rPr>
          <w:rFonts w:ascii="Arial" w:cs="Arial" w:eastAsia="Arial" w:hAnsi="Arial"/>
          <w:sz w:val="16"/>
          <w:szCs w:val="16"/>
          <w:color w:val="auto"/>
        </w:rPr>
      </w:pPr>
    </w:p>
    <w:p>
      <w:pPr>
        <w:jc w:val="both"/>
        <w:ind w:left="624"/>
        <w:spacing w:after="0" w:line="255" w:lineRule="auto"/>
        <w:rPr>
          <w:rFonts w:ascii="Arial" w:cs="Arial" w:eastAsia="Arial" w:hAnsi="Arial"/>
          <w:sz w:val="16"/>
          <w:szCs w:val="16"/>
          <w:color w:val="auto"/>
        </w:rPr>
      </w:pPr>
      <w:r>
        <w:rPr>
          <w:rFonts w:ascii="Arial" w:cs="Arial" w:eastAsia="Arial" w:hAnsi="Arial"/>
          <w:sz w:val="18"/>
          <w:szCs w:val="18"/>
          <w:color w:val="auto"/>
        </w:rPr>
        <w:t>(2) the Termination Currency Equivalent of the Unpaid Amounts owing to the Defaulting Party. If the Early Termination Amount is a positive number, the Defaulting Party will pay it to the Non-defaulting Party; if it is a negative number, the Non-defaulting Party will pay the absolute value of the Early Termination Amount to the Defaulting Party.</w:t>
      </w:r>
    </w:p>
    <w:p>
      <w:pPr>
        <w:spacing w:after="0" w:line="190" w:lineRule="exact"/>
        <w:rPr>
          <w:rFonts w:ascii="Arial" w:cs="Arial" w:eastAsia="Arial" w:hAnsi="Arial"/>
          <w:sz w:val="16"/>
          <w:szCs w:val="16"/>
          <w:color w:val="auto"/>
        </w:rPr>
      </w:pPr>
    </w:p>
    <w:p>
      <w:pPr>
        <w:ind w:left="1264" w:hanging="643"/>
        <w:spacing w:after="0"/>
        <w:tabs>
          <w:tab w:leader="none" w:pos="1264"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If the Early Termination Date results from a Termination Event:―</w:t>
      </w:r>
    </w:p>
    <w:p>
      <w:pPr>
        <w:spacing w:after="0" w:line="238" w:lineRule="exact"/>
        <w:rPr>
          <w:rFonts w:ascii="Arial" w:cs="Arial" w:eastAsia="Arial" w:hAnsi="Arial"/>
          <w:sz w:val="18"/>
          <w:szCs w:val="18"/>
          <w:color w:val="auto"/>
        </w:rPr>
      </w:pPr>
    </w:p>
    <w:p>
      <w:pPr>
        <w:jc w:val="both"/>
        <w:ind w:left="1264" w:right="20" w:firstLine="6"/>
        <w:spacing w:after="0" w:line="264" w:lineRule="auto"/>
        <w:tabs>
          <w:tab w:leader="none" w:pos="1681" w:val="left"/>
        </w:tabs>
        <w:numPr>
          <w:ilvl w:val="2"/>
          <w:numId w:val="108"/>
        </w:numPr>
        <w:rPr>
          <w:rFonts w:ascii="Arial" w:cs="Arial" w:eastAsia="Arial" w:hAnsi="Arial"/>
          <w:sz w:val="18"/>
          <w:szCs w:val="18"/>
          <w:color w:val="auto"/>
        </w:rPr>
      </w:pPr>
      <w:r>
        <w:rPr>
          <w:rFonts w:ascii="Arial" w:cs="Arial" w:eastAsia="Arial" w:hAnsi="Arial"/>
          <w:sz w:val="18"/>
          <w:szCs w:val="18"/>
          <w:i w:val="1"/>
          <w:iCs w:val="1"/>
          <w:color w:val="auto"/>
        </w:rPr>
        <w:t>One Affected Party</w:t>
      </w:r>
      <w:r>
        <w:rPr>
          <w:rFonts w:ascii="Arial" w:cs="Arial" w:eastAsia="Arial" w:hAnsi="Arial"/>
          <w:sz w:val="18"/>
          <w:szCs w:val="18"/>
          <w:color w:val="auto"/>
        </w:rPr>
        <w:t>. Subject to clause (3) below, if there is one Affected Party, the Early Termination Amount will be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6(e)(i), except that references to the Defaulting Party and to the Non-defaulting Party will be deemed to be references to the Affected Party and to the Non-affected Party, respectively.</w:t>
      </w:r>
    </w:p>
    <w:p>
      <w:pPr>
        <w:spacing w:after="0" w:line="181" w:lineRule="exact"/>
        <w:rPr>
          <w:rFonts w:ascii="Arial" w:cs="Arial" w:eastAsia="Arial" w:hAnsi="Arial"/>
          <w:sz w:val="18"/>
          <w:szCs w:val="18"/>
          <w:color w:val="auto"/>
        </w:rPr>
      </w:pPr>
    </w:p>
    <w:p>
      <w:pPr>
        <w:jc w:val="both"/>
        <w:ind w:left="1264" w:firstLine="6"/>
        <w:spacing w:after="0" w:line="253" w:lineRule="auto"/>
        <w:tabs>
          <w:tab w:leader="none" w:pos="1667" w:val="left"/>
        </w:tabs>
        <w:numPr>
          <w:ilvl w:val="2"/>
          <w:numId w:val="108"/>
        </w:numPr>
        <w:rPr>
          <w:rFonts w:ascii="Arial" w:cs="Arial" w:eastAsia="Arial" w:hAnsi="Arial"/>
          <w:sz w:val="18"/>
          <w:szCs w:val="18"/>
          <w:color w:val="auto"/>
        </w:rPr>
      </w:pPr>
      <w:r>
        <w:rPr>
          <w:rFonts w:ascii="Arial" w:cs="Arial" w:eastAsia="Arial" w:hAnsi="Arial"/>
          <w:sz w:val="18"/>
          <w:szCs w:val="18"/>
          <w:i w:val="1"/>
          <w:iCs w:val="1"/>
          <w:color w:val="auto"/>
        </w:rPr>
        <w:t>Two Affected Parties</w:t>
      </w:r>
      <w:r>
        <w:rPr>
          <w:rFonts w:ascii="Arial" w:cs="Arial" w:eastAsia="Arial" w:hAnsi="Arial"/>
          <w:sz w:val="18"/>
          <w:szCs w:val="18"/>
          <w:color w:val="auto"/>
        </w:rPr>
        <w:t>. Subject to clause (3) below, if there are two Affected Parties, each party will determine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Currency Equivalent of the sum of the Close-out Amount or Close-out Amounts (whether positive or negative) for each Terminated Transaction or group of Terminated Transactions, as the case may be, and the Early Termination Amount will be an amount equal to (A) the sum of (I) one-half of the difference between the higher amount so determined (by party “X”) and the lower amount so determined (by party “Y”) and</w:t>
      </w:r>
    </w:p>
    <w:p>
      <w:pPr>
        <w:spacing w:after="0" w:line="3" w:lineRule="exact"/>
        <w:rPr>
          <w:rFonts w:ascii="Arial" w:cs="Arial" w:eastAsia="Arial" w:hAnsi="Arial"/>
          <w:sz w:val="18"/>
          <w:szCs w:val="18"/>
          <w:color w:val="auto"/>
        </w:rPr>
      </w:pPr>
    </w:p>
    <w:p>
      <w:pPr>
        <w:jc w:val="both"/>
        <w:ind w:left="1264"/>
        <w:spacing w:after="0" w:line="255" w:lineRule="auto"/>
        <w:rPr>
          <w:rFonts w:ascii="Arial" w:cs="Arial" w:eastAsia="Arial" w:hAnsi="Arial"/>
          <w:sz w:val="18"/>
          <w:szCs w:val="18"/>
          <w:color w:val="auto"/>
        </w:rPr>
      </w:pPr>
      <w:r>
        <w:rPr>
          <w:rFonts w:ascii="Arial" w:cs="Arial" w:eastAsia="Arial" w:hAnsi="Arial"/>
          <w:sz w:val="18"/>
          <w:szCs w:val="18"/>
          <w:color w:val="auto"/>
        </w:rPr>
        <w:t>(II) the Termination Currency Equivalent of the Unpaid Amounts owing to X less (B) the Termination Currency Equivalent of the Unpaid Amounts owing to Y. If the Early Termination Amount is a positive number, Y will pay it to X; if it is a negative number, X will pay the absolute value of the Early Termination Amount to Y.</w:t>
      </w:r>
    </w:p>
    <w:p>
      <w:pPr>
        <w:spacing w:after="0" w:line="257" w:lineRule="exact"/>
        <w:rPr>
          <w:rFonts w:ascii="Arial" w:cs="Arial" w:eastAsia="Arial" w:hAnsi="Arial"/>
          <w:sz w:val="18"/>
          <w:szCs w:val="18"/>
          <w:color w:val="auto"/>
        </w:rPr>
      </w:pPr>
    </w:p>
    <w:p>
      <w:pPr>
        <w:jc w:val="both"/>
        <w:ind w:left="1264" w:firstLine="6"/>
        <w:spacing w:after="0" w:line="264" w:lineRule="auto"/>
        <w:tabs>
          <w:tab w:leader="none" w:pos="1681" w:val="left"/>
        </w:tabs>
        <w:numPr>
          <w:ilvl w:val="2"/>
          <w:numId w:val="108"/>
        </w:numPr>
        <w:rPr>
          <w:rFonts w:ascii="Arial" w:cs="Arial" w:eastAsia="Arial" w:hAnsi="Arial"/>
          <w:sz w:val="18"/>
          <w:szCs w:val="18"/>
          <w:color w:val="auto"/>
        </w:rPr>
      </w:pPr>
      <w:r>
        <w:rPr>
          <w:rFonts w:ascii="Arial" w:cs="Arial" w:eastAsia="Arial" w:hAnsi="Arial"/>
          <w:sz w:val="18"/>
          <w:szCs w:val="18"/>
          <w:i w:val="1"/>
          <w:iCs w:val="1"/>
          <w:color w:val="auto"/>
        </w:rPr>
        <w:t>Mid-Market Events</w:t>
      </w:r>
      <w:r>
        <w:rPr>
          <w:rFonts w:ascii="Arial" w:cs="Arial" w:eastAsia="Arial" w:hAnsi="Arial"/>
          <w:sz w:val="18"/>
          <w:szCs w:val="18"/>
          <w:color w:val="auto"/>
        </w:rPr>
        <w:t>. If that Termination Event is an Illegality or a Force Majeure Event, then the Early Termination Amount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in accordance with clause (1) or (2) above, as appropriate, except that, for the purpose of determining a Close-out Amount or Close-out Amounts, the Determining Party will:―</w:t>
      </w:r>
    </w:p>
    <w:p>
      <w:pPr>
        <w:spacing w:after="0" w:line="181" w:lineRule="exact"/>
        <w:rPr>
          <w:rFonts w:ascii="Arial" w:cs="Arial" w:eastAsia="Arial" w:hAnsi="Arial"/>
          <w:sz w:val="18"/>
          <w:szCs w:val="18"/>
          <w:color w:val="auto"/>
        </w:rPr>
      </w:pPr>
    </w:p>
    <w:p>
      <w:pPr>
        <w:jc w:val="both"/>
        <w:ind w:left="1904"/>
        <w:spacing w:after="0" w:line="264" w:lineRule="auto"/>
        <w:tabs>
          <w:tab w:leader="none" w:pos="239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if obtaining quotations from one or more third parties (or from any of the Determining Party’s Affiliates), ask each third party or Affiliate (I) not to take account of the current creditworthiness of the Determining Party or any existing Credit Support Document and (II) to provide mid-market quotations; and</w:t>
      </w:r>
    </w:p>
    <w:p>
      <w:pPr>
        <w:spacing w:after="0" w:line="181" w:lineRule="exact"/>
        <w:rPr>
          <w:rFonts w:ascii="Arial" w:cs="Arial" w:eastAsia="Arial" w:hAnsi="Arial"/>
          <w:sz w:val="18"/>
          <w:szCs w:val="18"/>
          <w:color w:val="auto"/>
        </w:rPr>
      </w:pPr>
    </w:p>
    <w:p>
      <w:pPr>
        <w:ind w:left="2324" w:hanging="420"/>
        <w:spacing w:after="0"/>
        <w:tabs>
          <w:tab w:leader="none" w:pos="2324" w:val="left"/>
        </w:tabs>
        <w:numPr>
          <w:ilvl w:val="3"/>
          <w:numId w:val="108"/>
        </w:numPr>
        <w:rPr>
          <w:rFonts w:ascii="Arial" w:cs="Arial" w:eastAsia="Arial" w:hAnsi="Arial"/>
          <w:sz w:val="18"/>
          <w:szCs w:val="18"/>
          <w:color w:val="auto"/>
        </w:rPr>
      </w:pPr>
      <w:r>
        <w:rPr>
          <w:rFonts w:ascii="Arial" w:cs="Arial" w:eastAsia="Arial" w:hAnsi="Arial"/>
          <w:sz w:val="18"/>
          <w:szCs w:val="18"/>
          <w:color w:val="auto"/>
        </w:rPr>
        <w:t>in any other case, use mid-market values without regard to the creditworthiness of the Determining Party.</w:t>
      </w:r>
    </w:p>
    <w:p>
      <w:pPr>
        <w:spacing w:after="0" w:line="225" w:lineRule="exact"/>
        <w:rPr>
          <w:rFonts w:ascii="Arial" w:cs="Arial" w:eastAsia="Arial" w:hAnsi="Arial"/>
          <w:sz w:val="18"/>
          <w:szCs w:val="18"/>
          <w:color w:val="auto"/>
        </w:rPr>
      </w:pPr>
    </w:p>
    <w:p>
      <w:pPr>
        <w:jc w:val="both"/>
        <w:ind w:left="624" w:hanging="3"/>
        <w:spacing w:after="0" w:line="259" w:lineRule="auto"/>
        <w:tabs>
          <w:tab w:leader="none" w:pos="1155"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for Bankruptcy. </w:t>
      </w:r>
      <w:r>
        <w:rPr>
          <w:rFonts w:ascii="Arial" w:cs="Arial" w:eastAsia="Arial" w:hAnsi="Arial"/>
          <w:sz w:val="18"/>
          <w:szCs w:val="18"/>
          <w:color w:val="auto"/>
        </w:rPr>
        <w:t>In circumstances where an Early Termination Date occurs because Automatic Early Termination applies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a party, the Early Termination Amount will be subject to such adjustments as are appropriate and permitted by applicable law to reflect any payments or deliveries made by one party to the other under this Agreement (and retained by such other party) during the period from the relevant Early Termination Date to the date for payment determined under Section 6(d)(ii).</w:t>
      </w:r>
    </w:p>
    <w:p>
      <w:pPr>
        <w:spacing w:after="0" w:line="186" w:lineRule="exact"/>
        <w:rPr>
          <w:rFonts w:ascii="Arial" w:cs="Arial" w:eastAsia="Arial" w:hAnsi="Arial"/>
          <w:sz w:val="18"/>
          <w:szCs w:val="18"/>
          <w:color w:val="auto"/>
        </w:rPr>
      </w:pPr>
    </w:p>
    <w:p>
      <w:pPr>
        <w:jc w:val="both"/>
        <w:ind w:left="624" w:hanging="3"/>
        <w:spacing w:after="0" w:line="264" w:lineRule="auto"/>
        <w:tabs>
          <w:tab w:leader="none" w:pos="1064"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for Illegality or Force Majeure Event. </w:t>
      </w:r>
      <w:r>
        <w:rPr>
          <w:rFonts w:ascii="Arial" w:cs="Arial" w:eastAsia="Arial" w:hAnsi="Arial"/>
          <w:sz w:val="18"/>
          <w:szCs w:val="18"/>
          <w:color w:val="auto"/>
        </w:rPr>
        <w:t>The failure by a party or any Credit Support Provider of such party to pay, when due,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Early Termination Amount will not constitute an Event of Default under Section 5(a)(i) or 5(a)(iii)(1) if such failure is due to the occurrence of an event or circumstance which</w:t>
      </w:r>
    </w:p>
    <w:p>
      <w:pPr>
        <w:spacing w:after="0" w:line="19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4"/>
          </w:cols>
          <w:pgMar w:left="356" w:top="395" w:right="239" w:bottom="1440" w:gutter="0" w:footer="0" w:header="0"/>
        </w:sectPr>
      </w:pPr>
    </w:p>
    <w:bookmarkStart w:id="127" w:name="page128"/>
    <w:bookmarkEnd w:id="127"/>
    <w:p>
      <w:pPr>
        <w:jc w:val="both"/>
        <w:ind w:left="624"/>
        <w:spacing w:after="0" w:line="254" w:lineRule="auto"/>
        <w:rPr>
          <w:sz w:val="20"/>
          <w:szCs w:val="20"/>
          <w:color w:val="auto"/>
        </w:rPr>
      </w:pPr>
      <w:r>
        <w:rPr>
          <w:rFonts w:ascii="Arial" w:cs="Arial" w:eastAsia="Arial" w:hAnsi="Arial"/>
          <w:sz w:val="18"/>
          <w:szCs w:val="18"/>
          <w:color w:val="auto"/>
        </w:rPr>
        <w:t>would, if it occurred with respect to payment, delivery or compliance related to a Transaction, constitute or give rise to an Illegality or a Force Majeure Event. Such amount will (1) accrue interest and otherwise be treated as an Unpaid Amount owing to the other party if subsequently an Early Termination Date results from an Event of Default, a Credit Event Upon Merger or an Additional Termination Event in respect of which all outstanding Transactions are Affected Transactions and</w:t>
      </w:r>
    </w:p>
    <w:p>
      <w:pPr>
        <w:spacing w:after="0" w:line="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(2) otherwise accrue interest in accordance with Section 9(h)(ii)(2).</w:t>
      </w:r>
    </w:p>
    <w:p>
      <w:pPr>
        <w:spacing w:after="0" w:line="211" w:lineRule="exact"/>
        <w:rPr>
          <w:sz w:val="20"/>
          <w:szCs w:val="20"/>
          <w:color w:val="auto"/>
        </w:rPr>
      </w:pPr>
    </w:p>
    <w:p>
      <w:pPr>
        <w:jc w:val="both"/>
        <w:ind w:left="624" w:hanging="3"/>
        <w:spacing w:after="0" w:line="312" w:lineRule="auto"/>
        <w:tabs>
          <w:tab w:leader="none" w:pos="1014" w:val="left"/>
        </w:tabs>
        <w:numPr>
          <w:ilvl w:val="1"/>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Pre-Estimate. </w:t>
      </w:r>
      <w:r>
        <w:rPr>
          <w:rFonts w:ascii="Arial" w:cs="Arial" w:eastAsia="Arial" w:hAnsi="Arial"/>
          <w:sz w:val="16"/>
          <w:szCs w:val="16"/>
          <w:color w:val="auto"/>
        </w:rPr>
        <w:t>The parties agree that an amount recoverable under this Section 6(e) is a reasonable pre-estimate of loss and not a penalty.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is payable for the loss of bargain and the loss of protection against future risks, and, except as otherwise provided in this Agreement, neither party will be entitled to recover any additional damages as a consequence of the termination of the Terminated Transactions.</w:t>
      </w:r>
    </w:p>
    <w:p>
      <w:pPr>
        <w:spacing w:after="0" w:line="173" w:lineRule="exact"/>
        <w:rPr>
          <w:rFonts w:ascii="Arial" w:cs="Arial" w:eastAsia="Arial" w:hAnsi="Arial"/>
          <w:sz w:val="16"/>
          <w:szCs w:val="16"/>
          <w:color w:val="auto"/>
        </w:rPr>
      </w:pPr>
    </w:p>
    <w:p>
      <w:pPr>
        <w:jc w:val="both"/>
        <w:ind w:left="4" w:hanging="4"/>
        <w:spacing w:after="0" w:line="344" w:lineRule="auto"/>
        <w:tabs>
          <w:tab w:leader="none" w:pos="805"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Set-Off. </w:t>
      </w:r>
      <w:r>
        <w:rPr>
          <w:rFonts w:ascii="Arial" w:cs="Arial" w:eastAsia="Arial" w:hAnsi="Arial"/>
          <w:sz w:val="16"/>
          <w:szCs w:val="16"/>
          <w:color w:val="auto"/>
        </w:rPr>
        <w:t>Any Early Termination Amount payable to one party (the “Payee”) by the other party (the “Payer”), in circumstances where there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Defaulting Party or where there is one Affected Party in the case where either a Credit Event Upon Merger has occurred or any other Termination Event in respect of which all outstanding Transactions are Affected Transactions has occurred, will, at the option of the Non-defaulting Party or the Non- affected Party, as the case may be (“X”) (and without prior notice to the Defaulting Party or the Affected Party, as the case may be), be reduced by its set-off against any other amounts (“Other Amounts”) payable by the Payee to the Payer (whether or not arising under this Agreement, matured or contingent and irrespective of the currency, place of payment or place of booking of the obligation). To the extent that any Other Amounts are so set off, those Other Amounts will be discharged promptly and in all respects. X will give notice to the other party of any set-off effected under this Section 6(f).</w:t>
      </w:r>
    </w:p>
    <w:p>
      <w:pPr>
        <w:spacing w:after="0" w:line="139"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For this purpose, either the Early Termination Amount or the Other Amounts (or the relevant portion of such amounts) may be converted by X into the currency in which the other is denominated at the rate of exchange at which such party would be able, in good faith and using commercially reasonable procedures, to purchase the relevant amount of such currency.</w:t>
      </w:r>
    </w:p>
    <w:p>
      <w:pPr>
        <w:spacing w:after="0" w:line="249"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If an obligation is unascertained, X may in good faith estimate that obligation and set off in respect of the estimate, subject to the relevant party accounting to the other when the obligation is ascertained.</w:t>
      </w:r>
    </w:p>
    <w:p>
      <w:pPr>
        <w:spacing w:after="0" w:line="170"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Nothing in this Section 6(f) will be effective to create a charge or other security interest. This Section 6(f) will be without prejudice and in addition to any right of set-off, offset, combination of accounts, lien, right of retention or withholding or similar right or requirement to which any party is at any time otherwise entitled or subject (whether by operation of law, contract or otherwise).</w:t>
      </w:r>
    </w:p>
    <w:p>
      <w:pPr>
        <w:spacing w:after="0" w:line="177" w:lineRule="exact"/>
        <w:rPr>
          <w:sz w:val="20"/>
          <w:szCs w:val="20"/>
          <w:color w:val="auto"/>
        </w:rPr>
      </w:pPr>
    </w:p>
    <w:p>
      <w:pPr>
        <w:ind w:left="624" w:hanging="624"/>
        <w:spacing w:after="0"/>
        <w:tabs>
          <w:tab w:leader="none" w:pos="62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Transfer</w:t>
      </w:r>
    </w:p>
    <w:p>
      <w:pPr>
        <w:spacing w:after="0" w:line="243"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Subject to Section 6(b)(ii) and to the extent permitted by applicable law, neither this Agreement nor any interest or obligation in or under this Agreement may be transferred (whether by way of security or otherwise) by either party without the prior written consent of the other party, except that:―</w:t>
      </w:r>
    </w:p>
    <w:p>
      <w:pPr>
        <w:spacing w:after="0" w:line="151" w:lineRule="exact"/>
        <w:rPr>
          <w:sz w:val="20"/>
          <w:szCs w:val="20"/>
          <w:color w:val="auto"/>
        </w:rPr>
      </w:pPr>
    </w:p>
    <w:p>
      <w:pPr>
        <w:ind w:left="4" w:hanging="4"/>
        <w:spacing w:after="0" w:line="324" w:lineRule="auto"/>
        <w:tabs>
          <w:tab w:leader="none" w:pos="8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party may make such a transfer of this Agreement pursuant to a consolidation or amalgamation with, or merger with or into, or transfer of all or substantially all its assets to, another entity (but without prejudice to any other right or remedy under this Agreement); and</w:t>
      </w:r>
    </w:p>
    <w:p>
      <w:pPr>
        <w:spacing w:after="0" w:line="170" w:lineRule="exact"/>
        <w:rPr>
          <w:rFonts w:ascii="Arial" w:cs="Arial" w:eastAsia="Arial" w:hAnsi="Arial"/>
          <w:sz w:val="18"/>
          <w:szCs w:val="18"/>
          <w:color w:val="auto"/>
        </w:rPr>
      </w:pPr>
    </w:p>
    <w:p>
      <w:pPr>
        <w:ind w:left="4" w:hanging="4"/>
        <w:spacing w:after="0" w:line="395" w:lineRule="auto"/>
        <w:tabs>
          <w:tab w:leader="none" w:pos="83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party may make such a transfer of all or any part of its interest in any Early Termination Amount payable to it by a Defaulting Party, together with any amounts payable on or with respect to that interest and any other rights associated with that interest pursuant to Sections 8, 9(h) and 11.</w:t>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purported transfer that is not in compliance with this Section 7 will be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4"/>
          </w:cols>
          <w:pgMar w:left="356" w:top="368" w:right="239" w:bottom="1440" w:gutter="0" w:footer="0" w:header="0"/>
        </w:sectPr>
      </w:pPr>
    </w:p>
    <w:bookmarkStart w:id="128" w:name="page129"/>
    <w:bookmarkEnd w:id="128"/>
    <w:p>
      <w:pPr>
        <w:ind w:left="624" w:hanging="624"/>
        <w:spacing w:after="0"/>
        <w:tabs>
          <w:tab w:leader="none" w:pos="624"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Contractual Currency</w:t>
      </w:r>
    </w:p>
    <w:p>
      <w:pPr>
        <w:spacing w:after="0" w:line="256" w:lineRule="exact"/>
        <w:rPr>
          <w:sz w:val="20"/>
          <w:szCs w:val="20"/>
          <w:color w:val="auto"/>
        </w:rPr>
      </w:pPr>
    </w:p>
    <w:p>
      <w:pPr>
        <w:jc w:val="both"/>
        <w:ind w:left="4" w:hanging="4"/>
        <w:spacing w:after="0" w:line="342" w:lineRule="auto"/>
        <w:tabs>
          <w:tab w:leader="none" w:pos="825"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in the Contractual Currency. </w:t>
      </w:r>
      <w:r>
        <w:rPr>
          <w:rFonts w:ascii="Arial" w:cs="Arial" w:eastAsia="Arial" w:hAnsi="Arial"/>
          <w:sz w:val="16"/>
          <w:szCs w:val="16"/>
          <w:color w:val="auto"/>
        </w:rPr>
        <w:t>Each payment under this Agreement will be made in the relevant currency specified in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that payment (the “Contractual Currency”). To the extent permitted by applicable law, any obligation to make payments under this Agreement in the Contractual Currency will not be discharged or satisfied by any tender in any currency other than the Contractual Currency, except to the extent such tender results in the actual receipt by the party to which payment is owed, acting in good faith and using commercially reasonable procedures in converting the currency so tendered into the Contractual Currency, of the full amount in the Contractual Currency of all amounts payable in respect of this Agreement. If for any reason the amount in the Contractual Currency so received falls short of the amount in the Contractual Currency payable in respect of this Agreement, the party required to make the payment will, to the extent permitted by applicable law, immediately pay such additional amount in the Contractual Currency as may be necessary to compensate for the shortfall. If for any reason the amount in the Contractual Currency so received exceeds the amount in the Contractual Currency payable in respect of this Agreement, the party receiving the payment will refund promptly the amount of such excess.</w:t>
      </w:r>
    </w:p>
    <w:p>
      <w:pPr>
        <w:spacing w:after="0" w:line="166" w:lineRule="exact"/>
        <w:rPr>
          <w:sz w:val="20"/>
          <w:szCs w:val="20"/>
          <w:color w:val="auto"/>
        </w:rPr>
      </w:pPr>
    </w:p>
    <w:p>
      <w:pPr>
        <w:jc w:val="both"/>
        <w:ind w:left="4" w:hanging="4"/>
        <w:spacing w:after="0" w:line="341" w:lineRule="auto"/>
        <w:tabs>
          <w:tab w:leader="none" w:pos="825" w:val="left"/>
        </w:tabs>
        <w:numPr>
          <w:ilvl w:val="0"/>
          <w:numId w:val="1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Judgments. </w:t>
      </w:r>
      <w:r>
        <w:rPr>
          <w:rFonts w:ascii="Arial" w:cs="Arial" w:eastAsia="Arial" w:hAnsi="Arial"/>
          <w:sz w:val="16"/>
          <w:szCs w:val="16"/>
          <w:color w:val="auto"/>
        </w:rPr>
        <w:t>To the extent permitted by applicable law, if any judgment or order expressed in a currency other than the Contractual Currency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rendered (i) for the payment of any amount owing in respect of this Agreement, (ii) for the payment of any amount relating to any early termination in respect of this Agreement or (iii) in respect of a judgment or order of another court for the payment of any amount described in clause (i) or (ii) above, the party seeking recovery, after recovery in full of the aggregate amount to which such party is entitled pursuant to the judgment or order, will be entitled to receive immediately from the other party the amount of any shortfall of the Contractual Currency received by such party as a consequence of sums paid in such other currency and will refund promptly to the other party any excess of the Contractual Currency received by such party as a consequence of sums paid in such other currency if such shortfall or such excess arises or results from any variation between the rate of exchange at which the Contractual Currency is converted into the currency of the judgment or order for the purpose of such judgment or order and the rate of exchange at which such party is able, acting in good faith and using commercially reasonable procedures in converting the currency received into the Contractual Currency, to purchase the Contractual Currency with the amount of the currency of the judgment or order actually received by such party.</w:t>
      </w:r>
    </w:p>
    <w:p>
      <w:pPr>
        <w:spacing w:after="0" w:line="167" w:lineRule="exact"/>
        <w:rPr>
          <w:rFonts w:ascii="Arial" w:cs="Arial" w:eastAsia="Arial" w:hAnsi="Arial"/>
          <w:sz w:val="16"/>
          <w:szCs w:val="16"/>
          <w:b w:val="1"/>
          <w:bCs w:val="1"/>
          <w:i w:val="1"/>
          <w:iCs w:val="1"/>
          <w:color w:val="auto"/>
        </w:rPr>
      </w:pPr>
    </w:p>
    <w:p>
      <w:pPr>
        <w:jc w:val="both"/>
        <w:ind w:left="4" w:hanging="4"/>
        <w:spacing w:after="0" w:line="306" w:lineRule="auto"/>
        <w:tabs>
          <w:tab w:leader="none" w:pos="835"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Separate Indemnities. </w:t>
      </w:r>
      <w:r>
        <w:rPr>
          <w:rFonts w:ascii="Arial" w:cs="Arial" w:eastAsia="Arial" w:hAnsi="Arial"/>
          <w:sz w:val="18"/>
          <w:szCs w:val="18"/>
          <w:color w:val="auto"/>
        </w:rPr>
        <w:t>To the extent permitted by applicable law, the indemnities in this Section 8 constitute separate and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from the other obligations in this Agreement, will be enforceable as separate and independent causes of action, will apply notwithstanding any indulgence granted by the party to which any payment is owed and will not be affected by judgment being obtained or claim or proof being made for any other sums payable in respect of this Agreement.</w:t>
      </w:r>
    </w:p>
    <w:p>
      <w:pPr>
        <w:spacing w:after="0" w:line="186" w:lineRule="exact"/>
        <w:rPr>
          <w:rFonts w:ascii="Arial" w:cs="Arial" w:eastAsia="Arial" w:hAnsi="Arial"/>
          <w:sz w:val="18"/>
          <w:szCs w:val="18"/>
          <w:color w:val="auto"/>
        </w:rPr>
      </w:pPr>
    </w:p>
    <w:p>
      <w:pPr>
        <w:ind w:left="4" w:right="20" w:hanging="4"/>
        <w:spacing w:after="0" w:line="324" w:lineRule="auto"/>
        <w:tabs>
          <w:tab w:leader="none" w:pos="825"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Evidence of Loss. </w:t>
      </w:r>
      <w:r>
        <w:rPr>
          <w:rFonts w:ascii="Arial" w:cs="Arial" w:eastAsia="Arial" w:hAnsi="Arial"/>
          <w:sz w:val="18"/>
          <w:szCs w:val="18"/>
          <w:color w:val="auto"/>
        </w:rPr>
        <w:t>For the purpose of this Section 8, it will be sufficient for a party to demonstrate that it would have suffered a loss had an 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or purchase been made.</w:t>
      </w:r>
    </w:p>
    <w:p>
      <w:pPr>
        <w:spacing w:after="0" w:line="139" w:lineRule="exact"/>
        <w:rPr>
          <w:sz w:val="20"/>
          <w:szCs w:val="20"/>
          <w:color w:val="auto"/>
        </w:rPr>
      </w:pPr>
    </w:p>
    <w:p>
      <w:pPr>
        <w:ind w:left="624" w:hanging="624"/>
        <w:spacing w:after="0"/>
        <w:tabs>
          <w:tab w:leader="none" w:pos="624"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jc w:val="both"/>
        <w:ind w:left="4" w:hanging="4"/>
        <w:spacing w:after="0" w:line="306" w:lineRule="auto"/>
        <w:tabs>
          <w:tab w:leader="none" w:pos="82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Entire Agreement. </w:t>
      </w:r>
      <w:r>
        <w:rPr>
          <w:rFonts w:ascii="Arial" w:cs="Arial" w:eastAsia="Arial" w:hAnsi="Arial"/>
          <w:sz w:val="18"/>
          <w:szCs w:val="18"/>
          <w:color w:val="auto"/>
        </w:rPr>
        <w:t>This Agreement constitutes the entire agreement and understanding of the parties with respect to its subject matter.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acknowledges that in entering into this Agreement it has not relied on any oral or written representation, warranty or other assurance (except as provided for or referred to in this Agreement) and waives all rights and remedies which might otherwise be available to it in respect thereof, except that nothing in this Agreement will limit or exclude any liability of a party for fraud.</w:t>
      </w:r>
    </w:p>
    <w:p>
      <w:pPr>
        <w:spacing w:after="0" w:line="186" w:lineRule="exact"/>
        <w:rPr>
          <w:rFonts w:ascii="Arial" w:cs="Arial" w:eastAsia="Arial" w:hAnsi="Arial"/>
          <w:sz w:val="18"/>
          <w:szCs w:val="18"/>
          <w:color w:val="auto"/>
        </w:rPr>
      </w:pPr>
    </w:p>
    <w:p>
      <w:pPr>
        <w:jc w:val="both"/>
        <w:ind w:left="4" w:hanging="4"/>
        <w:spacing w:after="0" w:line="311" w:lineRule="auto"/>
        <w:tabs>
          <w:tab w:leader="none" w:pos="83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Amendments. </w:t>
      </w:r>
      <w:r>
        <w:rPr>
          <w:rFonts w:ascii="Arial" w:cs="Arial" w:eastAsia="Arial" w:hAnsi="Arial"/>
          <w:sz w:val="18"/>
          <w:szCs w:val="18"/>
          <w:color w:val="auto"/>
        </w:rPr>
        <w:t>An amendment, modification or waiver in respect of this Agreement will only be effective if in writing (including a writing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evidenced by a facsimile transmission) and executed by each of the parties or confirmed by an exchange of telexes or by an exchange of electronic messages on an electronic messaging system.</w:t>
      </w:r>
    </w:p>
    <w:p>
      <w:pPr>
        <w:spacing w:after="0" w:line="181" w:lineRule="exact"/>
        <w:rPr>
          <w:rFonts w:ascii="Arial" w:cs="Arial" w:eastAsia="Arial" w:hAnsi="Arial"/>
          <w:sz w:val="18"/>
          <w:szCs w:val="18"/>
          <w:color w:val="auto"/>
        </w:rPr>
      </w:pPr>
    </w:p>
    <w:p>
      <w:pPr>
        <w:ind w:left="4" w:hanging="4"/>
        <w:spacing w:after="0" w:line="324" w:lineRule="auto"/>
        <w:tabs>
          <w:tab w:leader="none" w:pos="82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Survival of Obligations. </w:t>
      </w:r>
      <w:r>
        <w:rPr>
          <w:rFonts w:ascii="Arial" w:cs="Arial" w:eastAsia="Arial" w:hAnsi="Arial"/>
          <w:sz w:val="18"/>
          <w:szCs w:val="18"/>
          <w:color w:val="auto"/>
        </w:rPr>
        <w:t>Without prejudice to Sections 2(a)(iii) and 6(c)(ii), the obligations of the parties under this Agreement will survive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of any Transaction.</w:t>
      </w:r>
    </w:p>
    <w:p>
      <w:pPr>
        <w:spacing w:after="0" w:line="37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4"/>
          </w:cols>
          <w:pgMar w:left="356" w:top="364" w:right="239" w:bottom="1440" w:gutter="0" w:footer="0" w:header="0"/>
        </w:sectPr>
      </w:pPr>
    </w:p>
    <w:bookmarkStart w:id="129" w:name="page130"/>
    <w:bookmarkEnd w:id="129"/>
    <w:p>
      <w:pPr>
        <w:ind w:left="4" w:hanging="4"/>
        <w:spacing w:after="0" w:line="324" w:lineRule="auto"/>
        <w:tabs>
          <w:tab w:leader="none" w:pos="835"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Remedies Cumulative. </w:t>
      </w:r>
      <w:r>
        <w:rPr>
          <w:rFonts w:ascii="Arial" w:cs="Arial" w:eastAsia="Arial" w:hAnsi="Arial"/>
          <w:sz w:val="18"/>
          <w:szCs w:val="18"/>
          <w:color w:val="auto"/>
        </w:rPr>
        <w:t>Except as provided in this Agreement, the rights, powers, remedies and privileges provided in this Agreement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cumulative and not exclusive of any rights, powers, remedies and privileges provided by law.</w:t>
      </w:r>
    </w:p>
    <w:p>
      <w:pPr>
        <w:spacing w:after="0" w:line="143" w:lineRule="exact"/>
        <w:rPr>
          <w:rFonts w:ascii="Arial" w:cs="Arial" w:eastAsia="Arial" w:hAnsi="Arial"/>
          <w:sz w:val="18"/>
          <w:szCs w:val="18"/>
          <w:color w:val="auto"/>
        </w:rPr>
      </w:pPr>
    </w:p>
    <w:p>
      <w:pPr>
        <w:ind w:left="624" w:hanging="624"/>
        <w:spacing w:after="0"/>
        <w:tabs>
          <w:tab w:leader="none" w:pos="624"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 and Confirmations.</w:t>
      </w:r>
    </w:p>
    <w:p>
      <w:pPr>
        <w:spacing w:after="0" w:line="238" w:lineRule="exact"/>
        <w:rPr>
          <w:rFonts w:ascii="Arial" w:cs="Arial" w:eastAsia="Arial" w:hAnsi="Arial"/>
          <w:sz w:val="18"/>
          <w:szCs w:val="18"/>
          <w:color w:val="auto"/>
        </w:rPr>
      </w:pPr>
    </w:p>
    <w:p>
      <w:pPr>
        <w:ind w:left="624" w:hanging="3"/>
        <w:spacing w:after="0" w:line="277" w:lineRule="auto"/>
        <w:tabs>
          <w:tab w:leader="none" w:pos="99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This Agreement (and each amendment, modification and waiver in respect of it) may be executed and delivered in counterparts (including by facsimile transmission and by electronic messaging system), each of which will be deemed an original.</w:t>
      </w:r>
    </w:p>
    <w:p>
      <w:pPr>
        <w:spacing w:after="0" w:line="170" w:lineRule="exact"/>
        <w:rPr>
          <w:rFonts w:ascii="Arial" w:cs="Arial" w:eastAsia="Arial" w:hAnsi="Arial"/>
          <w:sz w:val="18"/>
          <w:szCs w:val="18"/>
          <w:color w:val="auto"/>
        </w:rPr>
      </w:pPr>
    </w:p>
    <w:p>
      <w:pPr>
        <w:jc w:val="both"/>
        <w:ind w:left="624" w:hanging="3"/>
        <w:spacing w:after="0" w:line="297" w:lineRule="auto"/>
        <w:tabs>
          <w:tab w:leader="none" w:pos="10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parties intend that they are legally bound by the terms of each Transaction from the moment they agree to those terms (whether orally or otherwise). A Confirmation will be entered into as soon as practicable and may be executed and delivered in counterparts (including by facsimile transmission) or be created by an exchange of telexes, by an exchange of electronic messages on an electronic messaging system or by an exchange of e-mails, which in each case will be sufficient for all purposes to evidence a binding supplement to this Agreement. The parties will specify therein or through another effective means that any such counterpart, telex, electronic message or e-mail constitutes a Confirmation.</w:t>
      </w:r>
    </w:p>
    <w:p>
      <w:pPr>
        <w:spacing w:after="0" w:line="185" w:lineRule="exact"/>
        <w:rPr>
          <w:rFonts w:ascii="Arial" w:cs="Arial" w:eastAsia="Arial" w:hAnsi="Arial"/>
          <w:sz w:val="16"/>
          <w:szCs w:val="16"/>
          <w:color w:val="auto"/>
        </w:rPr>
      </w:pPr>
    </w:p>
    <w:p>
      <w:pPr>
        <w:jc w:val="both"/>
        <w:ind w:left="4" w:hanging="4"/>
        <w:spacing w:after="0" w:line="311" w:lineRule="auto"/>
        <w:tabs>
          <w:tab w:leader="none" w:pos="805"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Waiver of Rights. </w:t>
      </w:r>
      <w:r>
        <w:rPr>
          <w:rFonts w:ascii="Arial" w:cs="Arial" w:eastAsia="Arial" w:hAnsi="Arial"/>
          <w:sz w:val="18"/>
          <w:szCs w:val="18"/>
          <w:color w:val="auto"/>
        </w:rPr>
        <w:t>A failure or delay in exercising any right, power or privilege in respect of this Agreement will not be presumed to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waiver, and a single or partial exercise of any right, power or privilege will not be presumed to preclude any subsequent or further exercise, of that right, power or privilege or the exercise of any other right, power or privilege.</w:t>
      </w:r>
    </w:p>
    <w:p>
      <w:pPr>
        <w:spacing w:after="0" w:line="181" w:lineRule="exact"/>
        <w:rPr>
          <w:rFonts w:ascii="Arial" w:cs="Arial" w:eastAsia="Arial" w:hAnsi="Arial"/>
          <w:sz w:val="18"/>
          <w:szCs w:val="18"/>
          <w:color w:val="auto"/>
        </w:rPr>
      </w:pPr>
    </w:p>
    <w:p>
      <w:pPr>
        <w:ind w:left="4" w:hanging="4"/>
        <w:spacing w:after="0" w:line="324" w:lineRule="auto"/>
        <w:tabs>
          <w:tab w:leader="none" w:pos="835"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Headings. </w:t>
      </w:r>
      <w:r>
        <w:rPr>
          <w:rFonts w:ascii="Arial" w:cs="Arial" w:eastAsia="Arial" w:hAnsi="Arial"/>
          <w:sz w:val="18"/>
          <w:szCs w:val="18"/>
          <w:color w:val="auto"/>
        </w:rPr>
        <w:t>The headings used in this Agreement are for convenience of reference only and are not to affect the construction of or to be taken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in interpreting this Agreement.</w:t>
      </w:r>
    </w:p>
    <w:p>
      <w:pPr>
        <w:spacing w:after="0" w:line="210" w:lineRule="exact"/>
        <w:rPr>
          <w:rFonts w:ascii="Arial" w:cs="Arial" w:eastAsia="Arial" w:hAnsi="Arial"/>
          <w:sz w:val="18"/>
          <w:szCs w:val="18"/>
          <w:color w:val="auto"/>
        </w:rPr>
      </w:pPr>
    </w:p>
    <w:p>
      <w:pPr>
        <w:ind w:left="624" w:hanging="624"/>
        <w:spacing w:after="0"/>
        <w:tabs>
          <w:tab w:leader="none" w:pos="624"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Interest and Compensation.</w:t>
      </w:r>
    </w:p>
    <w:p>
      <w:pPr>
        <w:spacing w:after="0" w:line="225" w:lineRule="exact"/>
        <w:rPr>
          <w:rFonts w:ascii="Arial" w:cs="Arial" w:eastAsia="Arial" w:hAnsi="Arial"/>
          <w:sz w:val="18"/>
          <w:szCs w:val="18"/>
          <w:color w:val="auto"/>
        </w:rPr>
      </w:pPr>
    </w:p>
    <w:p>
      <w:pPr>
        <w:ind w:left="624" w:right="900" w:hanging="3"/>
        <w:spacing w:after="0" w:line="277" w:lineRule="auto"/>
        <w:tabs>
          <w:tab w:leader="none" w:pos="974" w:val="left"/>
        </w:tabs>
        <w:numPr>
          <w:ilvl w:val="1"/>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Prior to Early Termination. </w:t>
      </w:r>
      <w:r>
        <w:rPr>
          <w:rFonts w:ascii="Arial" w:cs="Arial" w:eastAsia="Arial" w:hAnsi="Arial"/>
          <w:sz w:val="18"/>
          <w:szCs w:val="18"/>
          <w:color w:val="auto"/>
        </w:rPr>
        <w:t>Prior to the occurrence or effective designation of an Early Termination Date in respect of the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w:t>
      </w:r>
    </w:p>
    <w:p>
      <w:pPr>
        <w:spacing w:after="0" w:line="170" w:lineRule="exact"/>
        <w:rPr>
          <w:rFonts w:ascii="Arial" w:cs="Arial" w:eastAsia="Arial" w:hAnsi="Arial"/>
          <w:sz w:val="18"/>
          <w:szCs w:val="18"/>
          <w:color w:val="auto"/>
        </w:rPr>
      </w:pPr>
    </w:p>
    <w:p>
      <w:pPr>
        <w:jc w:val="both"/>
        <w:ind w:left="1264" w:firstLine="6"/>
        <w:spacing w:after="0" w:line="253" w:lineRule="auto"/>
        <w:tabs>
          <w:tab w:leader="none" w:pos="1681" w:val="left"/>
        </w:tabs>
        <w:numPr>
          <w:ilvl w:val="2"/>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Interest on Defaulted Payments. </w:t>
      </w:r>
      <w:r>
        <w:rPr>
          <w:rFonts w:ascii="Arial" w:cs="Arial" w:eastAsia="Arial" w:hAnsi="Arial"/>
          <w:sz w:val="18"/>
          <w:szCs w:val="18"/>
          <w:color w:val="auto"/>
        </w:rPr>
        <w:t>If a party defaults in the performance of any payment obligation, it will, to the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and subject to Section 6(c), pay interest (before as well as after judgment) on the overdue amount to the other party on demand in the same currency as the overdue amount, for the period from (and including) the original due date for payment to (but excluding) the date of actual payment (and excluding any period in respect of which interest or compensation in respect of the overdue amount is due pursuant to clause (3)(B) or</w:t>
      </w:r>
    </w:p>
    <w:p>
      <w:pPr>
        <w:spacing w:after="0" w:line="3" w:lineRule="exact"/>
        <w:rPr>
          <w:rFonts w:ascii="Arial" w:cs="Arial" w:eastAsia="Arial" w:hAnsi="Arial"/>
          <w:sz w:val="18"/>
          <w:szCs w:val="18"/>
          <w:color w:val="auto"/>
        </w:rPr>
      </w:pPr>
    </w:p>
    <w:p>
      <w:pPr>
        <w:ind w:left="1264"/>
        <w:spacing w:after="0"/>
        <w:rPr>
          <w:rFonts w:ascii="Arial" w:cs="Arial" w:eastAsia="Arial" w:hAnsi="Arial"/>
          <w:sz w:val="18"/>
          <w:szCs w:val="18"/>
          <w:color w:val="auto"/>
        </w:rPr>
      </w:pPr>
      <w:r>
        <w:rPr>
          <w:rFonts w:ascii="Arial" w:cs="Arial" w:eastAsia="Arial" w:hAnsi="Arial"/>
          <w:sz w:val="18"/>
          <w:szCs w:val="18"/>
          <w:color w:val="auto"/>
        </w:rPr>
        <w:t>(A)below), at the Default Rate.</w:t>
      </w:r>
    </w:p>
    <w:p>
      <w:pPr>
        <w:spacing w:after="0" w:line="224" w:lineRule="exact"/>
        <w:rPr>
          <w:rFonts w:ascii="Arial" w:cs="Arial" w:eastAsia="Arial" w:hAnsi="Arial"/>
          <w:sz w:val="18"/>
          <w:szCs w:val="18"/>
          <w:color w:val="auto"/>
        </w:rPr>
      </w:pPr>
    </w:p>
    <w:p>
      <w:pPr>
        <w:jc w:val="both"/>
        <w:ind w:left="1264" w:firstLine="6"/>
        <w:spacing w:after="0" w:line="291" w:lineRule="auto"/>
        <w:tabs>
          <w:tab w:leader="none" w:pos="1681" w:val="left"/>
        </w:tabs>
        <w:numPr>
          <w:ilvl w:val="2"/>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for Defaulted Deliveries. </w:t>
      </w:r>
      <w:r>
        <w:rPr>
          <w:rFonts w:ascii="Arial" w:cs="Arial" w:eastAsia="Arial" w:hAnsi="Arial"/>
          <w:sz w:val="16"/>
          <w:szCs w:val="16"/>
          <w:color w:val="auto"/>
        </w:rPr>
        <w:t>If a party defaults in the performance of any obligation required to be settled by delivery, it</w:t>
      </w:r>
      <w:r>
        <w:rPr>
          <w:rFonts w:ascii="Arial" w:cs="Arial" w:eastAsia="Arial" w:hAnsi="Arial"/>
          <w:sz w:val="16"/>
          <w:szCs w:val="16"/>
          <w:i w:val="1"/>
          <w:iCs w:val="1"/>
          <w:color w:val="auto"/>
        </w:rPr>
        <w:t xml:space="preserve"> </w:t>
      </w:r>
      <w:r>
        <w:rPr>
          <w:rFonts w:ascii="Arial" w:cs="Arial" w:eastAsia="Arial" w:hAnsi="Arial"/>
          <w:sz w:val="16"/>
          <w:szCs w:val="16"/>
          <w:color w:val="auto"/>
        </w:rPr>
        <w:t>will on demand (A) compensate the other party to the extent provided for in the relevant Confirmation or elsewhere in this Agreement and</w:t>
      </w:r>
    </w:p>
    <w:p>
      <w:pPr>
        <w:jc w:val="both"/>
        <w:ind w:left="1264"/>
        <w:spacing w:after="0" w:line="252" w:lineRule="auto"/>
        <w:rPr>
          <w:rFonts w:ascii="Arial" w:cs="Arial" w:eastAsia="Arial" w:hAnsi="Arial"/>
          <w:sz w:val="16"/>
          <w:szCs w:val="16"/>
          <w:color w:val="auto"/>
        </w:rPr>
      </w:pPr>
      <w:r>
        <w:rPr>
          <w:rFonts w:ascii="Arial" w:cs="Arial" w:eastAsia="Arial" w:hAnsi="Arial"/>
          <w:sz w:val="18"/>
          <w:szCs w:val="18"/>
          <w:color w:val="auto"/>
        </w:rPr>
        <w:t>(B) unless otherwise provided in the relevant Confirmation or elsewhere in this Agreement, to the extent permitted by applicable law and subject to Section 6(c), pay to the other party interest (before as well as after judgment) on an amount equal to the fair market value of that which was required to be delivered in the same currency as that amount, for the period from (and including) the originally scheduled date for delivery to (but excluding) the date of actual delivery (and excluding any period in respect of which interest or compensation in respect of that amount is due pursuant to clause (4) below), at the Default Rate. The fair market value of any obligation referred to above will be determined as of the originally scheduled date for delivery, in good faith and using commercially reasonable procedures, by the party that was entitled to take delivery.</w:t>
      </w:r>
    </w:p>
    <w:p>
      <w:pPr>
        <w:spacing w:after="0" w:line="193" w:lineRule="exact"/>
        <w:rPr>
          <w:rFonts w:ascii="Arial" w:cs="Arial" w:eastAsia="Arial" w:hAnsi="Arial"/>
          <w:sz w:val="16"/>
          <w:szCs w:val="16"/>
          <w:color w:val="auto"/>
        </w:rPr>
      </w:pPr>
    </w:p>
    <w:p>
      <w:pPr>
        <w:ind w:left="1904" w:hanging="634"/>
        <w:spacing w:after="0"/>
        <w:tabs>
          <w:tab w:leader="none" w:pos="1904" w:val="left"/>
        </w:tabs>
        <w:numPr>
          <w:ilvl w:val="2"/>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Interest on Deferred Payments. </w:t>
      </w:r>
      <w:r>
        <w:rPr>
          <w:rFonts w:ascii="Arial" w:cs="Arial" w:eastAsia="Arial" w:hAnsi="Arial"/>
          <w:sz w:val="18"/>
          <w:szCs w:val="18"/>
          <w:color w:val="auto"/>
        </w:rPr>
        <w:t>If:―</w:t>
      </w:r>
    </w:p>
    <w:p>
      <w:pPr>
        <w:spacing w:after="0" w:line="239"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4"/>
          </w:cols>
          <w:pgMar w:left="356" w:top="395" w:right="239" w:bottom="1440" w:gutter="0" w:footer="0" w:header="0"/>
        </w:sectPr>
      </w:pPr>
    </w:p>
    <w:bookmarkStart w:id="130" w:name="page131"/>
    <w:bookmarkEnd w:id="130"/>
    <w:p>
      <w:pPr>
        <w:jc w:val="both"/>
        <w:ind w:left="1661"/>
        <w:spacing w:after="0" w:line="257" w:lineRule="auto"/>
        <w:tabs>
          <w:tab w:leader="none" w:pos="2118"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 party does not pay any amount that, but for Section 2(a)(iii), would have been payable, it will, to the extent permitted by applicable law and subject to Section 6(c) and clauses (B) and (C) below, pay interest (before as well as after judgment) on that amount to the other party on demand (after such amount becomes payable) in the same currency as that amount, for the period from (and including) the date the amount would, but for Section 2(a)(iii), have been payable to (but excluding) the date the amount actually becomes payable, at the Applicable Deferral Rate;</w:t>
      </w:r>
    </w:p>
    <w:p>
      <w:pPr>
        <w:spacing w:after="0" w:line="188" w:lineRule="exact"/>
        <w:rPr>
          <w:rFonts w:ascii="Arial" w:cs="Arial" w:eastAsia="Arial" w:hAnsi="Arial"/>
          <w:sz w:val="18"/>
          <w:szCs w:val="18"/>
          <w:color w:val="auto"/>
        </w:rPr>
      </w:pPr>
    </w:p>
    <w:p>
      <w:pPr>
        <w:jc w:val="both"/>
        <w:ind w:left="1661"/>
        <w:spacing w:after="0" w:line="291" w:lineRule="auto"/>
        <w:tabs>
          <w:tab w:leader="none" w:pos="2111" w:val="left"/>
        </w:tabs>
        <w:numPr>
          <w:ilvl w:val="2"/>
          <w:numId w:val="119"/>
        </w:numPr>
        <w:rPr>
          <w:rFonts w:ascii="Arial" w:cs="Arial" w:eastAsia="Arial" w:hAnsi="Arial"/>
          <w:sz w:val="16"/>
          <w:szCs w:val="16"/>
          <w:color w:val="auto"/>
        </w:rPr>
      </w:pPr>
      <w:r>
        <w:rPr>
          <w:rFonts w:ascii="Arial" w:cs="Arial" w:eastAsia="Arial" w:hAnsi="Arial"/>
          <w:sz w:val="16"/>
          <w:szCs w:val="16"/>
          <w:color w:val="auto"/>
        </w:rPr>
        <w:t>a payment is deferred pursuant to Section 5(d), the party which would otherwise have been required to make that payment will, to the extent permitted by applicable law, subject to Section 6(c) and for so long as no Event of Default or Potential Event of Default with respect to that party has occurred and is continuing, pay interest (before as well as after judgment) on the amount of the deferred payment to the other party on demand (after such amount becomes payable) in the same currency as the deferred payment, for the period from (and including) the date the amount would, but for Section 5(d), have been payable to (but excluding) the earlier of the date the payment is no longer deferred pursuant to Section 5(d) and the date during the deferral period upon which an Event of Default or Potential Event of Default with respect to that party occurs, at the Applicable Deferral Rate; or</w:t>
      </w:r>
    </w:p>
    <w:p>
      <w:pPr>
        <w:spacing w:after="0" w:line="167" w:lineRule="exact"/>
        <w:rPr>
          <w:rFonts w:ascii="Arial" w:cs="Arial" w:eastAsia="Arial" w:hAnsi="Arial"/>
          <w:sz w:val="16"/>
          <w:szCs w:val="16"/>
          <w:color w:val="auto"/>
        </w:rPr>
      </w:pPr>
    </w:p>
    <w:p>
      <w:pPr>
        <w:jc w:val="both"/>
        <w:ind w:left="1661"/>
        <w:spacing w:after="0" w:line="288" w:lineRule="auto"/>
        <w:tabs>
          <w:tab w:leader="none" w:pos="2093" w:val="left"/>
        </w:tabs>
        <w:numPr>
          <w:ilvl w:val="2"/>
          <w:numId w:val="119"/>
        </w:numPr>
        <w:rPr>
          <w:rFonts w:ascii="Arial" w:cs="Arial" w:eastAsia="Arial" w:hAnsi="Arial"/>
          <w:sz w:val="16"/>
          <w:szCs w:val="16"/>
          <w:color w:val="auto"/>
        </w:rPr>
      </w:pPr>
      <w:r>
        <w:rPr>
          <w:rFonts w:ascii="Arial" w:cs="Arial" w:eastAsia="Arial" w:hAnsi="Arial"/>
          <w:sz w:val="16"/>
          <w:szCs w:val="16"/>
          <w:color w:val="auto"/>
        </w:rPr>
        <w:t>a party fails to make any payment due to the occurrence of an Illegality or a Force Majeure Event (after giving effect to any deferral period contemplated by clause (B) above), it will, to the extent permitted by applicable law, subject to Section 6(c) and for so long as the event or circumstance giving rise to that Illegality or Force Majeure Event continues and no Event of Default or Potential Event of Default with respect to that party has occurred and is continuing, pay interest (before as well as after judgment) on the overdue amount to the other party on demand in the same currency as the overdue amount, for the period from (and including) the date the party fails to make the payment due to the occurrence of the relevant Illegality or Force Majeure Event (or, if later, the date the payment is no longer deferred pursuant to Section 5(d)) to (but excluding) the earlier of the date the event or circumstance giving rise to that Illegality or Force Majeure Event ceases to exist and the date during the period upon which an Event of Default or Potential Event of Default with respect to that party occurs (and excluding any period in respect of which interest or compensation in respect of the overdue amount is due pursuant to clause (B) above), at the Applicable Deferral Rate.</w:t>
      </w:r>
    </w:p>
    <w:p>
      <w:pPr>
        <w:spacing w:after="0" w:line="169" w:lineRule="exact"/>
        <w:rPr>
          <w:rFonts w:ascii="Arial" w:cs="Arial" w:eastAsia="Arial" w:hAnsi="Arial"/>
          <w:sz w:val="16"/>
          <w:szCs w:val="16"/>
          <w:color w:val="auto"/>
        </w:rPr>
      </w:pPr>
    </w:p>
    <w:p>
      <w:pPr>
        <w:ind w:left="1281" w:hanging="633"/>
        <w:spacing w:after="0"/>
        <w:tabs>
          <w:tab w:leader="none" w:pos="128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for Deferred Deliveries. </w:t>
      </w:r>
      <w:r>
        <w:rPr>
          <w:rFonts w:ascii="Arial" w:cs="Arial" w:eastAsia="Arial" w:hAnsi="Arial"/>
          <w:sz w:val="18"/>
          <w:szCs w:val="18"/>
          <w:color w:val="auto"/>
        </w:rPr>
        <w:t>If:―</w:t>
      </w:r>
    </w:p>
    <w:p>
      <w:pPr>
        <w:spacing w:after="0" w:line="238" w:lineRule="exact"/>
        <w:rPr>
          <w:rFonts w:ascii="Arial" w:cs="Arial" w:eastAsia="Arial" w:hAnsi="Arial"/>
          <w:sz w:val="18"/>
          <w:szCs w:val="18"/>
          <w:color w:val="auto"/>
        </w:rPr>
      </w:pPr>
    </w:p>
    <w:p>
      <w:pPr>
        <w:ind w:left="1721" w:hanging="438"/>
        <w:spacing w:after="0"/>
        <w:tabs>
          <w:tab w:leader="none" w:pos="1721"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 party does not perform any obligation that, but for Section 2(a)(iii), would have been required to be settled by delivery;</w:t>
      </w:r>
    </w:p>
    <w:p>
      <w:pPr>
        <w:spacing w:after="0" w:line="236" w:lineRule="exact"/>
        <w:rPr>
          <w:rFonts w:ascii="Arial" w:cs="Arial" w:eastAsia="Arial" w:hAnsi="Arial"/>
          <w:sz w:val="17"/>
          <w:szCs w:val="17"/>
          <w:color w:val="auto"/>
        </w:rPr>
      </w:pPr>
    </w:p>
    <w:p>
      <w:pPr>
        <w:ind w:left="1921" w:hanging="624"/>
        <w:spacing w:after="0"/>
        <w:tabs>
          <w:tab w:leader="none" w:pos="192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delivery is deferred pursuant to Section 5(d); or</w:t>
      </w:r>
    </w:p>
    <w:p>
      <w:pPr>
        <w:spacing w:after="0" w:line="238" w:lineRule="exact"/>
        <w:rPr>
          <w:rFonts w:ascii="Arial" w:cs="Arial" w:eastAsia="Arial" w:hAnsi="Arial"/>
          <w:sz w:val="18"/>
          <w:szCs w:val="18"/>
          <w:color w:val="auto"/>
        </w:rPr>
      </w:pPr>
    </w:p>
    <w:p>
      <w:pPr>
        <w:ind w:left="1281" w:right="20" w:firstLine="2"/>
        <w:spacing w:after="0" w:line="277" w:lineRule="auto"/>
        <w:tabs>
          <w:tab w:leader="none" w:pos="175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party fails to make a delivery due to the occurrence of an Illegality or a Force Majeure Event at a time when any applicable Waiting Period has expired,</w:t>
      </w:r>
    </w:p>
    <w:p>
      <w:pPr>
        <w:spacing w:after="0" w:line="170" w:lineRule="exact"/>
        <w:rPr>
          <w:sz w:val="20"/>
          <w:szCs w:val="20"/>
          <w:color w:val="auto"/>
        </w:rPr>
      </w:pPr>
    </w:p>
    <w:p>
      <w:pPr>
        <w:jc w:val="both"/>
        <w:ind w:left="641"/>
        <w:spacing w:after="0" w:line="264" w:lineRule="auto"/>
        <w:rPr>
          <w:sz w:val="20"/>
          <w:szCs w:val="20"/>
          <w:color w:val="auto"/>
        </w:rPr>
      </w:pPr>
      <w:r>
        <w:rPr>
          <w:rFonts w:ascii="Arial" w:cs="Arial" w:eastAsia="Arial" w:hAnsi="Arial"/>
          <w:sz w:val="18"/>
          <w:szCs w:val="18"/>
          <w:color w:val="auto"/>
        </w:rPr>
        <w:t>the party required (or that would otherwise have been required) to make the delivery will, to the extent permitted by applicable law and subject to Section 6(c), compensate and pay interest to the other party on demand (after, in the case of clauses (A) and (B) above, such delivery is required) if and to the extent provided for in the relevant Confirmation or elsewhere in this Agreement.</w:t>
      </w:r>
    </w:p>
    <w:p>
      <w:pPr>
        <w:spacing w:after="0" w:line="181" w:lineRule="exact"/>
        <w:rPr>
          <w:sz w:val="20"/>
          <w:szCs w:val="20"/>
          <w:color w:val="auto"/>
        </w:rPr>
      </w:pPr>
    </w:p>
    <w:p>
      <w:pPr>
        <w:ind w:left="5261" w:right="1640" w:hanging="5261"/>
        <w:spacing w:after="0" w:line="810" w:lineRule="auto"/>
        <w:tabs>
          <w:tab w:leader="none" w:pos="396"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Early Termination. </w:t>
      </w:r>
      <w:r>
        <w:rPr>
          <w:rFonts w:ascii="Arial" w:cs="Arial" w:eastAsia="Arial" w:hAnsi="Arial"/>
          <w:sz w:val="18"/>
          <w:szCs w:val="18"/>
          <w:color w:val="auto"/>
        </w:rPr>
        <w:t>Upon the occurrence or effective designation of an Early Termination Date in respect of a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w:t>
      </w:r>
    </w:p>
    <w:p>
      <w:pPr>
        <w:sectPr>
          <w:pgSz w:w="11900" w:h="16838" w:orient="portrait"/>
          <w:cols w:equalWidth="0" w:num="1">
            <w:col w:w="11061"/>
          </w:cols>
          <w:pgMar w:left="599" w:top="598" w:right="239" w:bottom="1440" w:gutter="0" w:footer="0" w:header="0"/>
        </w:sectPr>
      </w:pPr>
    </w:p>
    <w:bookmarkStart w:id="131" w:name="page132"/>
    <w:bookmarkEnd w:id="131"/>
    <w:p>
      <w:pPr>
        <w:jc w:val="both"/>
        <w:ind w:left="884" w:firstLine="7"/>
        <w:spacing w:after="0" w:line="257" w:lineRule="auto"/>
        <w:tabs>
          <w:tab w:leader="none" w:pos="1287"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Unpaid Amounts. </w:t>
      </w:r>
      <w:r>
        <w:rPr>
          <w:rFonts w:ascii="Arial" w:cs="Arial" w:eastAsia="Arial" w:hAnsi="Arial"/>
          <w:sz w:val="18"/>
          <w:szCs w:val="18"/>
          <w:color w:val="auto"/>
        </w:rPr>
        <w:t>For the purpose of determining an Unpaid Amount in respect of the relevant Transaction, and to the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 interest will accrue on the amount of any payment obligation or the amount equal to the fair market value of any obligation required to be settled by delivery included in such determination in the same currency as that amount, for the period from (and including) the date the relevant obligation was (or would have been but for Section 2(a)(iii) or 5(d)) required to have been performed to (but excluding) the relevant Early Termination Date, at the Applicable Close-out Rate.</w:t>
      </w:r>
    </w:p>
    <w:p>
      <w:pPr>
        <w:spacing w:after="0" w:line="201" w:lineRule="exact"/>
        <w:rPr>
          <w:rFonts w:ascii="Arial" w:cs="Arial" w:eastAsia="Arial" w:hAnsi="Arial"/>
          <w:sz w:val="18"/>
          <w:szCs w:val="18"/>
          <w:color w:val="auto"/>
        </w:rPr>
      </w:pPr>
    </w:p>
    <w:p>
      <w:pPr>
        <w:jc w:val="both"/>
        <w:ind w:left="884" w:firstLine="7"/>
        <w:spacing w:after="0" w:line="259" w:lineRule="auto"/>
        <w:tabs>
          <w:tab w:leader="none" w:pos="1328"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Interest on Early Termination Amounts. </w:t>
      </w:r>
      <w:r>
        <w:rPr>
          <w:rFonts w:ascii="Arial" w:cs="Arial" w:eastAsia="Arial" w:hAnsi="Arial"/>
          <w:sz w:val="18"/>
          <w:szCs w:val="18"/>
          <w:color w:val="auto"/>
        </w:rPr>
        <w:t>If an Early Termination Amount is due in respect of such Early Termination Date, that amount</w:t>
      </w:r>
      <w:r>
        <w:rPr>
          <w:rFonts w:ascii="Arial" w:cs="Arial" w:eastAsia="Arial" w:hAnsi="Arial"/>
          <w:sz w:val="18"/>
          <w:szCs w:val="18"/>
          <w:i w:val="1"/>
          <w:iCs w:val="1"/>
          <w:color w:val="auto"/>
        </w:rPr>
        <w:t xml:space="preserve"> </w:t>
      </w:r>
      <w:r>
        <w:rPr>
          <w:rFonts w:ascii="Arial" w:cs="Arial" w:eastAsia="Arial" w:hAnsi="Arial"/>
          <w:sz w:val="18"/>
          <w:szCs w:val="18"/>
          <w:color w:val="auto"/>
        </w:rPr>
        <w:t>will, to the extent permitted by applicable law, be paid together with interest (before as well as after judgment) on that amount in the Termination Currency, for the period from (and including) such Early Termination Date to (but excluding) the date the amount is paid, at the Applicable Close-out Rate.</w:t>
      </w:r>
    </w:p>
    <w:p>
      <w:pPr>
        <w:spacing w:after="0" w:line="186" w:lineRule="exact"/>
        <w:rPr>
          <w:rFonts w:ascii="Arial" w:cs="Arial" w:eastAsia="Arial" w:hAnsi="Arial"/>
          <w:sz w:val="18"/>
          <w:szCs w:val="18"/>
          <w:color w:val="auto"/>
        </w:rPr>
      </w:pPr>
    </w:p>
    <w:p>
      <w:pPr>
        <w:ind w:left="244" w:right="20" w:hanging="1"/>
        <w:spacing w:after="0" w:line="277" w:lineRule="auto"/>
        <w:tabs>
          <w:tab w:leader="none" w:pos="694" w:val="left"/>
        </w:tabs>
        <w:numPr>
          <w:ilvl w:val="1"/>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Calculation. </w:t>
      </w:r>
      <w:r>
        <w:rPr>
          <w:rFonts w:ascii="Arial" w:cs="Arial" w:eastAsia="Arial" w:hAnsi="Arial"/>
          <w:sz w:val="18"/>
          <w:szCs w:val="18"/>
          <w:color w:val="auto"/>
        </w:rPr>
        <w:t>Any interest pursuant to this Section 9(h) will be calculated on the basis of daily compounding and the actual number of 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elapsed.</w:t>
      </w:r>
    </w:p>
    <w:p>
      <w:pPr>
        <w:spacing w:after="0" w:line="233" w:lineRule="exact"/>
        <w:rPr>
          <w:rFonts w:ascii="Arial" w:cs="Arial" w:eastAsia="Arial" w:hAnsi="Arial"/>
          <w:sz w:val="18"/>
          <w:szCs w:val="18"/>
          <w:color w:val="auto"/>
        </w:rPr>
      </w:pPr>
    </w:p>
    <w:p>
      <w:pPr>
        <w:ind w:left="624" w:hanging="624"/>
        <w:spacing w:after="0"/>
        <w:tabs>
          <w:tab w:leader="none" w:pos="624"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Offices; Multibranch Parties</w:t>
      </w:r>
    </w:p>
    <w:p>
      <w:pPr>
        <w:spacing w:after="0" w:line="270" w:lineRule="exact"/>
        <w:rPr>
          <w:sz w:val="20"/>
          <w:szCs w:val="20"/>
          <w:color w:val="auto"/>
        </w:rPr>
      </w:pPr>
    </w:p>
    <w:p>
      <w:pPr>
        <w:jc w:val="both"/>
        <w:ind w:left="4" w:hanging="4"/>
        <w:spacing w:after="0" w:line="302" w:lineRule="auto"/>
        <w:tabs>
          <w:tab w:leader="none" w:pos="82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Section 10(a) is specified in the Schedule as applying, each party that enters into a Transaction through an Office other than its head or home office represents to and agrees with the other party that, notwithstanding the place of booking or its jurisdiction of incorporation or organisation, its obligations are the same in terms of recourse against it as if it had entered into the Transaction through its head or home office, except that a party will not have recourse to the head or home office of the other party in respect of any payment or delivery deferred pursuant to Section 5(d) for so long as the payment or delivery is so deferred. This representation and agreement will be deemed to be repeated by each party on each date on which the parties enter into a Transaction.</w:t>
      </w:r>
    </w:p>
    <w:p>
      <w:pPr>
        <w:spacing w:after="0" w:line="192" w:lineRule="exact"/>
        <w:rPr>
          <w:rFonts w:ascii="Arial" w:cs="Arial" w:eastAsia="Arial" w:hAnsi="Arial"/>
          <w:sz w:val="18"/>
          <w:szCs w:val="18"/>
          <w:color w:val="auto"/>
        </w:rPr>
      </w:pPr>
    </w:p>
    <w:p>
      <w:pPr>
        <w:jc w:val="both"/>
        <w:ind w:left="4" w:hanging="4"/>
        <w:spacing w:after="0" w:line="311" w:lineRule="auto"/>
        <w:tabs>
          <w:tab w:leader="none" w:pos="8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 party is specified as a Multibranch Party in the Schedule, such party may, subject to clause (c) below, enter into a Transaction through, book a Transaction in and make and receive payments and deliveries with respect to a Transaction through any Office listed in respect of that party in the Schedule (but not any other Office unless otherwise agreed by the parties in writing).</w:t>
      </w:r>
    </w:p>
    <w:p>
      <w:pPr>
        <w:spacing w:after="0" w:line="181" w:lineRule="exact"/>
        <w:rPr>
          <w:rFonts w:ascii="Arial" w:cs="Arial" w:eastAsia="Arial" w:hAnsi="Arial"/>
          <w:sz w:val="18"/>
          <w:szCs w:val="18"/>
          <w:color w:val="auto"/>
        </w:rPr>
      </w:pPr>
    </w:p>
    <w:p>
      <w:pPr>
        <w:jc w:val="both"/>
        <w:ind w:left="4" w:hanging="4"/>
        <w:spacing w:after="0" w:line="323" w:lineRule="auto"/>
        <w:tabs>
          <w:tab w:leader="none" w:pos="82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Office through which a party enters into a Transaction will be the Office specified for that party in the relevant Confirmation or as otherwise agreed by the parties in writing, and, if an Office for that party is not specified in the Confirmation or otherwise agreed by the parties in writing, its head or home office. Unless the parties otherwise agree in writing, the Office through which a party enters into a Transaction will also be the Office in which it books the Transaction and the Office through which it makes and receives payments and deliveries with respect to the Transaction. Subject to Section 6(b) (ii), neither party may change the Office in which it books the Transaction or the Office through which it makes and receives payments or deliveries with respect to a Transaction without the prior written consent of the other party.</w:t>
      </w:r>
    </w:p>
    <w:p>
      <w:pPr>
        <w:spacing w:after="0" w:line="146" w:lineRule="exact"/>
        <w:rPr>
          <w:sz w:val="20"/>
          <w:szCs w:val="20"/>
          <w:color w:val="auto"/>
        </w:rPr>
      </w:pPr>
    </w:p>
    <w:p>
      <w:pPr>
        <w:ind w:left="624" w:hanging="624"/>
        <w:spacing w:after="0"/>
        <w:tabs>
          <w:tab w:leader="none" w:pos="624"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Expenses</w:t>
      </w:r>
    </w:p>
    <w:p>
      <w:pPr>
        <w:spacing w:after="0" w:line="243"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A Defaulting Party will on demand indemnify and hold harmless the other party for and against all reasonable out-of- pocket expenses, including legal fees, execution fees and Stamp Tax, incurred by such other party by reason of the enforcement and protection of its rights under this Agreement or any Credit Support Document to which the Defaulting Party is a party or by reason of the early termination of any Transaction, including, but not limited to, costs of collection.</w:t>
      </w:r>
    </w:p>
    <w:p>
      <w:pPr>
        <w:spacing w:after="0" w:line="183" w:lineRule="exact"/>
        <w:rPr>
          <w:sz w:val="20"/>
          <w:szCs w:val="20"/>
          <w:color w:val="auto"/>
        </w:rPr>
      </w:pPr>
    </w:p>
    <w:p>
      <w:pPr>
        <w:ind w:left="624" w:hanging="624"/>
        <w:spacing w:after="0"/>
        <w:tabs>
          <w:tab w:leader="none" w:pos="624"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jc w:val="both"/>
        <w:ind w:left="4" w:hanging="4"/>
        <w:spacing w:after="0" w:line="336" w:lineRule="auto"/>
        <w:tabs>
          <w:tab w:leader="none" w:pos="825"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Effectiveness. </w:t>
      </w:r>
      <w:r>
        <w:rPr>
          <w:rFonts w:ascii="Arial" w:cs="Arial" w:eastAsia="Arial" w:hAnsi="Arial"/>
          <w:sz w:val="17"/>
          <w:szCs w:val="17"/>
          <w:color w:val="auto"/>
        </w:rPr>
        <w:t>Any notice or other communication in respect of this Agreement may be given in any manner described below (except that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or other communication under Section 5 or 6 may not be given by electronic messaging system or e-mail) to the address or number or in accordance with the electronic messaging system or e-mail details provided (see the Schedule) and will be deemed effective as indicated:―</w:t>
      </w:r>
    </w:p>
    <w:p>
      <w:pPr>
        <w:spacing w:after="0" w:line="15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4"/>
          </w:cols>
          <w:pgMar w:left="356" w:top="368" w:right="239" w:bottom="1440" w:gutter="0" w:footer="0" w:header="0"/>
        </w:sectPr>
      </w:pPr>
    </w:p>
    <w:bookmarkStart w:id="132" w:name="page133"/>
    <w:bookmarkEnd w:id="132"/>
    <w:p>
      <w:pPr>
        <w:ind w:left="964" w:hanging="343"/>
        <w:spacing w:after="0"/>
        <w:tabs>
          <w:tab w:leader="none" w:pos="9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in writing and delivered in person or by courier, on the date it is delivered;</w:t>
      </w:r>
    </w:p>
    <w:p>
      <w:pPr>
        <w:spacing w:after="0" w:line="238" w:lineRule="exact"/>
        <w:rPr>
          <w:rFonts w:ascii="Arial" w:cs="Arial" w:eastAsia="Arial" w:hAnsi="Arial"/>
          <w:sz w:val="18"/>
          <w:szCs w:val="18"/>
          <w:color w:val="auto"/>
        </w:rPr>
      </w:pPr>
    </w:p>
    <w:p>
      <w:pPr>
        <w:ind w:left="1264" w:hanging="643"/>
        <w:spacing w:after="0"/>
        <w:tabs>
          <w:tab w:leader="none" w:pos="12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sent by telex, on the date the recipient’s answerback is received;</w:t>
      </w:r>
    </w:p>
    <w:p>
      <w:pPr>
        <w:spacing w:after="0" w:line="238" w:lineRule="exact"/>
        <w:rPr>
          <w:rFonts w:ascii="Arial" w:cs="Arial" w:eastAsia="Arial" w:hAnsi="Arial"/>
          <w:sz w:val="18"/>
          <w:szCs w:val="18"/>
          <w:color w:val="auto"/>
        </w:rPr>
      </w:pPr>
    </w:p>
    <w:p>
      <w:pPr>
        <w:ind w:left="624" w:hanging="3"/>
        <w:spacing w:after="0" w:line="342" w:lineRule="auto"/>
        <w:tabs>
          <w:tab w:leader="none" w:pos="108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sent by facsimile transmission, on the date it is received by a responsible employee of the recipient in legible form (it being agreed that the burden of proving receipt will be on the sender and will not be met by a transmission report generated by the sender’s facsimile machine);</w:t>
      </w:r>
    </w:p>
    <w:p>
      <w:pPr>
        <w:spacing w:after="0" w:line="123" w:lineRule="exact"/>
        <w:rPr>
          <w:rFonts w:ascii="Arial" w:cs="Arial" w:eastAsia="Arial" w:hAnsi="Arial"/>
          <w:sz w:val="16"/>
          <w:szCs w:val="16"/>
          <w:color w:val="auto"/>
        </w:rPr>
      </w:pPr>
    </w:p>
    <w:p>
      <w:pPr>
        <w:ind w:left="624" w:hanging="3"/>
        <w:spacing w:after="0" w:line="277" w:lineRule="auto"/>
        <w:tabs>
          <w:tab w:leader="none" w:pos="10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sent by certified or registered mail (airmail, if overseas) or the equivalent (return receipt requested), on the date it is delivered or its delivery is attempted;</w:t>
      </w:r>
    </w:p>
    <w:p>
      <w:pPr>
        <w:spacing w:after="0" w:line="170" w:lineRule="exact"/>
        <w:rPr>
          <w:sz w:val="20"/>
          <w:szCs w:val="20"/>
          <w:color w:val="auto"/>
        </w:rPr>
      </w:pPr>
    </w:p>
    <w:p>
      <w:pPr>
        <w:ind w:left="1264" w:hanging="616"/>
        <w:spacing w:after="0"/>
        <w:tabs>
          <w:tab w:leader="none" w:pos="12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sent by electronic messaging system, on the date it is received; or</w:t>
      </w:r>
    </w:p>
    <w:p>
      <w:pPr>
        <w:spacing w:after="0" w:line="77" w:lineRule="exact"/>
        <w:rPr>
          <w:sz w:val="20"/>
          <w:szCs w:val="20"/>
          <w:color w:val="auto"/>
        </w:rPr>
      </w:pPr>
    </w:p>
    <w:p>
      <w:pPr>
        <w:ind w:left="1264" w:hanging="643"/>
        <w:spacing w:after="0"/>
        <w:tabs>
          <w:tab w:leader="none" w:pos="12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sent by e-mail, on the date it is delivered,</w:t>
      </w:r>
    </w:p>
    <w:p>
      <w:pPr>
        <w:spacing w:after="0" w:line="239"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unless the date of that delivery (or attempted delivery) or that receipt, as applicable, is not a Local Business Day or that communication is delivered (or attempted) or received, as applicable, after the close of business on a Local Business Day, in which case that communication will be deemed given and effective on the first following day that is a Local Business Day.</w:t>
      </w:r>
    </w:p>
    <w:p>
      <w:pPr>
        <w:spacing w:after="0" w:line="208" w:lineRule="exact"/>
        <w:rPr>
          <w:sz w:val="20"/>
          <w:szCs w:val="20"/>
          <w:color w:val="auto"/>
        </w:rPr>
      </w:pPr>
    </w:p>
    <w:p>
      <w:pPr>
        <w:ind w:left="4" w:right="20" w:hanging="4"/>
        <w:spacing w:after="0" w:line="324" w:lineRule="auto"/>
        <w:tabs>
          <w:tab w:leader="none" w:pos="835"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of Details. </w:t>
      </w:r>
      <w:r>
        <w:rPr>
          <w:rFonts w:ascii="Arial" w:cs="Arial" w:eastAsia="Arial" w:hAnsi="Arial"/>
          <w:sz w:val="18"/>
          <w:szCs w:val="18"/>
          <w:color w:val="auto"/>
        </w:rPr>
        <w:t>Either party may by notice to the other change the address, telex or facsimile number or electronic messaging system or e-mail details at which notices or other communications are to be given to it.</w:t>
      </w:r>
    </w:p>
    <w:p>
      <w:pPr>
        <w:spacing w:after="0" w:line="355" w:lineRule="exact"/>
        <w:rPr>
          <w:sz w:val="20"/>
          <w:szCs w:val="20"/>
          <w:color w:val="auto"/>
        </w:rPr>
      </w:pPr>
    </w:p>
    <w:p>
      <w:pPr>
        <w:ind w:left="624" w:hanging="624"/>
        <w:spacing w:after="0"/>
        <w:tabs>
          <w:tab w:leader="none" w:pos="624"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256" w:lineRule="exact"/>
        <w:rPr>
          <w:sz w:val="20"/>
          <w:szCs w:val="20"/>
          <w:color w:val="auto"/>
        </w:rPr>
      </w:pPr>
    </w:p>
    <w:p>
      <w:pPr>
        <w:ind w:left="824" w:hanging="824"/>
        <w:spacing w:after="0"/>
        <w:tabs>
          <w:tab w:leader="none" w:pos="824"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will be governed by and construed in accordance with the law specified in the Schedule.</w:t>
      </w:r>
    </w:p>
    <w:p>
      <w:pPr>
        <w:spacing w:after="0" w:line="265" w:lineRule="exact"/>
        <w:rPr>
          <w:rFonts w:ascii="Arial" w:cs="Arial" w:eastAsia="Arial" w:hAnsi="Arial"/>
          <w:sz w:val="18"/>
          <w:szCs w:val="18"/>
          <w:color w:val="auto"/>
        </w:rPr>
      </w:pPr>
    </w:p>
    <w:p>
      <w:pPr>
        <w:ind w:left="4" w:right="20" w:hanging="4"/>
        <w:spacing w:after="0" w:line="324" w:lineRule="auto"/>
        <w:tabs>
          <w:tab w:leader="none" w:pos="835"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Jurisdiction. </w:t>
      </w:r>
      <w:r>
        <w:rPr>
          <w:rFonts w:ascii="Arial" w:cs="Arial" w:eastAsia="Arial" w:hAnsi="Arial"/>
          <w:sz w:val="18"/>
          <w:szCs w:val="18"/>
          <w:color w:val="auto"/>
        </w:rPr>
        <w:t>With respect to any suit, action or proceedings relating to any dispute arising out of or in connection with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(“Proceedings”), each party irrevocably:―</w:t>
      </w:r>
    </w:p>
    <w:p>
      <w:pPr>
        <w:spacing w:after="0" w:line="143" w:lineRule="exact"/>
        <w:rPr>
          <w:rFonts w:ascii="Arial" w:cs="Arial" w:eastAsia="Arial" w:hAnsi="Arial"/>
          <w:sz w:val="18"/>
          <w:szCs w:val="18"/>
          <w:color w:val="auto"/>
        </w:rPr>
      </w:pPr>
    </w:p>
    <w:p>
      <w:pPr>
        <w:ind w:left="964" w:hanging="343"/>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submits:―</w:t>
      </w:r>
    </w:p>
    <w:p>
      <w:pPr>
        <w:spacing w:after="0" w:line="238" w:lineRule="exact"/>
        <w:rPr>
          <w:rFonts w:ascii="Arial" w:cs="Arial" w:eastAsia="Arial" w:hAnsi="Arial"/>
          <w:sz w:val="18"/>
          <w:szCs w:val="18"/>
          <w:color w:val="auto"/>
        </w:rPr>
      </w:pPr>
    </w:p>
    <w:p>
      <w:pPr>
        <w:jc w:val="both"/>
        <w:ind w:left="1264" w:firstLine="6"/>
        <w:spacing w:after="0" w:line="264" w:lineRule="auto"/>
        <w:tabs>
          <w:tab w:leader="none" w:pos="1745" w:val="left"/>
        </w:tabs>
        <w:numPr>
          <w:ilvl w:val="2"/>
          <w:numId w:val="134"/>
        </w:numPr>
        <w:rPr>
          <w:rFonts w:ascii="Arial" w:cs="Arial" w:eastAsia="Arial" w:hAnsi="Arial"/>
          <w:sz w:val="18"/>
          <w:szCs w:val="18"/>
          <w:color w:val="auto"/>
        </w:rPr>
      </w:pPr>
      <w:r>
        <w:rPr>
          <w:rFonts w:ascii="Arial" w:cs="Arial" w:eastAsia="Arial" w:hAnsi="Arial"/>
          <w:sz w:val="18"/>
          <w:szCs w:val="18"/>
          <w:color w:val="auto"/>
        </w:rPr>
        <w:t>if this Agreement is expressed to be governed by English law, to (A) the non-exclusive jurisdiction of the English courts if the Proceedings do not involve a Convention Court and (B) the exclusive jurisdiction of the English courts if the Proceedings do involve a Convention Court; or</w:t>
      </w:r>
    </w:p>
    <w:p>
      <w:pPr>
        <w:spacing w:after="0" w:line="181" w:lineRule="exact"/>
        <w:rPr>
          <w:rFonts w:ascii="Arial" w:cs="Arial" w:eastAsia="Arial" w:hAnsi="Arial"/>
          <w:sz w:val="18"/>
          <w:szCs w:val="18"/>
          <w:color w:val="auto"/>
        </w:rPr>
      </w:pPr>
    </w:p>
    <w:p>
      <w:pPr>
        <w:ind w:left="1264" w:firstLine="6"/>
        <w:spacing w:after="0" w:line="308" w:lineRule="auto"/>
        <w:tabs>
          <w:tab w:leader="none" w:pos="1665" w:val="left"/>
        </w:tabs>
        <w:numPr>
          <w:ilvl w:val="2"/>
          <w:numId w:val="134"/>
        </w:numPr>
        <w:rPr>
          <w:rFonts w:ascii="Arial" w:cs="Arial" w:eastAsia="Arial" w:hAnsi="Arial"/>
          <w:sz w:val="17"/>
          <w:szCs w:val="17"/>
          <w:color w:val="auto"/>
        </w:rPr>
      </w:pPr>
      <w:r>
        <w:rPr>
          <w:rFonts w:ascii="Arial" w:cs="Arial" w:eastAsia="Arial" w:hAnsi="Arial"/>
          <w:sz w:val="17"/>
          <w:szCs w:val="17"/>
          <w:color w:val="auto"/>
        </w:rPr>
        <w:t>if this Agreement is expressed to be governed by the laws of the State of New York, to the non-exclusive jurisdiction of the courts of the State of New York and the United States District Court located in the Borough of Manhattan in New York City;</w:t>
      </w:r>
    </w:p>
    <w:p>
      <w:pPr>
        <w:spacing w:after="0" w:line="146" w:lineRule="exact"/>
        <w:rPr>
          <w:rFonts w:ascii="Arial" w:cs="Arial" w:eastAsia="Arial" w:hAnsi="Arial"/>
          <w:sz w:val="17"/>
          <w:szCs w:val="17"/>
          <w:color w:val="auto"/>
        </w:rPr>
      </w:pPr>
    </w:p>
    <w:p>
      <w:pPr>
        <w:jc w:val="both"/>
        <w:ind w:left="624" w:hanging="3"/>
        <w:spacing w:after="0" w:line="264" w:lineRule="auto"/>
        <w:tabs>
          <w:tab w:leader="none" w:pos="106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and</w:t>
      </w:r>
    </w:p>
    <w:p>
      <w:pPr>
        <w:spacing w:after="0" w:line="181" w:lineRule="exact"/>
        <w:rPr>
          <w:rFonts w:ascii="Arial" w:cs="Arial" w:eastAsia="Arial" w:hAnsi="Arial"/>
          <w:sz w:val="18"/>
          <w:szCs w:val="18"/>
          <w:color w:val="auto"/>
        </w:rPr>
      </w:pPr>
    </w:p>
    <w:p>
      <w:pPr>
        <w:ind w:left="624" w:hanging="3"/>
        <w:spacing w:after="0" w:line="277" w:lineRule="auto"/>
        <w:tabs>
          <w:tab w:leader="none" w:pos="114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agrees, to the extent permitted by applicable law, that the bringing of Proceedings in any one or more jurisdictions will not preclude the bringing of Proceedings in any other jurisdiction.</w:t>
      </w:r>
    </w:p>
    <w:p>
      <w:pPr>
        <w:spacing w:after="0" w:line="197" w:lineRule="exact"/>
        <w:rPr>
          <w:rFonts w:ascii="Arial" w:cs="Arial" w:eastAsia="Arial" w:hAnsi="Arial"/>
          <w:sz w:val="18"/>
          <w:szCs w:val="18"/>
          <w:color w:val="auto"/>
        </w:rPr>
      </w:pPr>
    </w:p>
    <w:p>
      <w:pPr>
        <w:jc w:val="both"/>
        <w:ind w:left="4" w:hanging="4"/>
        <w:spacing w:after="0" w:line="306" w:lineRule="auto"/>
        <w:tabs>
          <w:tab w:leader="none" w:pos="825"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of Process. </w:t>
      </w:r>
      <w:r>
        <w:rPr>
          <w:rFonts w:ascii="Arial" w:cs="Arial" w:eastAsia="Arial" w:hAnsi="Arial"/>
          <w:sz w:val="18"/>
          <w:szCs w:val="18"/>
          <w:color w:val="auto"/>
        </w:rPr>
        <w:t>Each party irrevocably appoints the Process Agent, if any, specified opposite its name in the Schedule to receive, for 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its behalf, service of process in any Proceedings. If for any reason any party’s Process Agent is unable to act as such, such party will promptly notify the other party and within 30 days appoint a substitute process agent acceptable to the other party. The parties irrevocably consent to service of process given in the</w:t>
      </w:r>
    </w:p>
    <w:p>
      <w:pPr>
        <w:spacing w:after="0" w:line="17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4"/>
          </w:cols>
          <w:pgMar w:left="356" w:top="368" w:right="239" w:bottom="1440" w:gutter="0" w:footer="0" w:header="0"/>
        </w:sectPr>
      </w:pPr>
    </w:p>
    <w:bookmarkStart w:id="133" w:name="page134"/>
    <w:bookmarkEnd w:id="133"/>
    <w:p>
      <w:pPr>
        <w:ind w:left="4"/>
        <w:spacing w:after="0" w:line="324" w:lineRule="auto"/>
        <w:rPr>
          <w:sz w:val="20"/>
          <w:szCs w:val="20"/>
          <w:color w:val="auto"/>
        </w:rPr>
      </w:pPr>
      <w:r>
        <w:rPr>
          <w:rFonts w:ascii="Arial" w:cs="Arial" w:eastAsia="Arial" w:hAnsi="Arial"/>
          <w:sz w:val="18"/>
          <w:szCs w:val="18"/>
          <w:color w:val="auto"/>
        </w:rPr>
        <w:t>manner provided for notices in Section 12(a)(i), 12(a)(iii) or 12(a)(iv). Nothing in this Agreement will affect the right of either party to serve process in any other manner permitted by applicable law.</w:t>
      </w:r>
    </w:p>
    <w:p>
      <w:pPr>
        <w:spacing w:after="0" w:line="170" w:lineRule="exact"/>
        <w:rPr>
          <w:sz w:val="20"/>
          <w:szCs w:val="20"/>
          <w:color w:val="auto"/>
        </w:rPr>
      </w:pPr>
    </w:p>
    <w:p>
      <w:pPr>
        <w:jc w:val="both"/>
        <w:ind w:left="4" w:hanging="4"/>
        <w:spacing w:after="0" w:line="334" w:lineRule="auto"/>
        <w:tabs>
          <w:tab w:leader="none" w:pos="835"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Waiver of Immunities. </w:t>
      </w:r>
      <w:r>
        <w:rPr>
          <w:rFonts w:ascii="Arial" w:cs="Arial" w:eastAsia="Arial" w:hAnsi="Arial"/>
          <w:sz w:val="16"/>
          <w:szCs w:val="16"/>
          <w:color w:val="auto"/>
        </w:rPr>
        <w:t>Each party irrevocably waives, to the extent permitted by applicable law, with respect to itself and its revenues and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(irrespective of their use or intended use), all immunity on the grounds of sovereignty or other similar grounds from (i) suit, (ii) jurisdiction of any court,</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relief by way of injunction or order for specific performance or recovery of property, (iv) attachment of its assets (whether before or after judgment) and</w:t>
      </w:r>
    </w:p>
    <w:p>
      <w:pPr>
        <w:spacing w:after="0" w:line="72" w:lineRule="exact"/>
        <w:rPr>
          <w:rFonts w:ascii="Arial" w:cs="Arial" w:eastAsia="Arial" w:hAnsi="Arial"/>
          <w:sz w:val="16"/>
          <w:szCs w:val="16"/>
          <w:color w:val="auto"/>
        </w:rPr>
      </w:pPr>
    </w:p>
    <w:p>
      <w:pPr>
        <w:ind w:left="4" w:hanging="4"/>
        <w:spacing w:after="0" w:line="357" w:lineRule="auto"/>
        <w:tabs>
          <w:tab w:leader="none" w:pos="2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execution or enforcement of any judgment to which it or its revenues or assets might otherwise be entitled in any Proceedings in the courts of any jurisdiction and irrevocably agrees, to the extent permitted by applicable law, thatit will not claim any such immunity in any Proceedings.</w:t>
      </w:r>
    </w:p>
    <w:p>
      <w:pPr>
        <w:spacing w:after="0" w:line="211" w:lineRule="exact"/>
        <w:rPr>
          <w:sz w:val="20"/>
          <w:szCs w:val="20"/>
          <w:color w:val="auto"/>
        </w:rPr>
      </w:pPr>
    </w:p>
    <w:p>
      <w:pPr>
        <w:ind w:left="624" w:hanging="624"/>
        <w:spacing w:after="0"/>
        <w:tabs>
          <w:tab w:leader="none" w:pos="624"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in this Agreement:―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 xml:space="preserve">“Additional Representation” </w:t>
      </w:r>
      <w:r>
        <w:rPr>
          <w:rFonts w:ascii="Arial" w:cs="Arial" w:eastAsia="Arial" w:hAnsi="Arial"/>
          <w:sz w:val="16"/>
          <w:szCs w:val="16"/>
          <w:color w:val="auto"/>
        </w:rPr>
        <w:t>has the meaning specified in Section 3.</w:t>
      </w:r>
      <w:r>
        <w:rPr>
          <w:rFonts w:ascii="Arial" w:cs="Arial" w:eastAsia="Arial" w:hAnsi="Arial"/>
          <w:sz w:val="16"/>
          <w:szCs w:val="16"/>
          <w:b w:val="1"/>
          <w:bCs w:val="1"/>
          <w:i w:val="1"/>
          <w:iCs w:val="1"/>
          <w:color w:val="auto"/>
        </w:rPr>
        <w:t xml:space="preserve"> “Additional Termination Event” </w:t>
      </w:r>
      <w:r>
        <w:rPr>
          <w:rFonts w:ascii="Arial" w:cs="Arial" w:eastAsia="Arial" w:hAnsi="Arial"/>
          <w:sz w:val="16"/>
          <w:szCs w:val="16"/>
          <w:color w:val="auto"/>
        </w:rPr>
        <w:t>has the meaning specified in Section 5(b).</w:t>
      </w:r>
      <w:r>
        <w:rPr>
          <w:rFonts w:ascii="Arial" w:cs="Arial" w:eastAsia="Arial" w:hAnsi="Arial"/>
          <w:sz w:val="16"/>
          <w:szCs w:val="16"/>
          <w:b w:val="1"/>
          <w:bCs w:val="1"/>
          <w:i w:val="1"/>
          <w:iCs w:val="1"/>
          <w:color w:val="auto"/>
        </w:rPr>
        <w:t xml:space="preserve"> “Affected</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Party” </w:t>
      </w:r>
      <w:r>
        <w:rPr>
          <w:rFonts w:ascii="Arial" w:cs="Arial" w:eastAsia="Arial" w:hAnsi="Arial"/>
          <w:sz w:val="18"/>
          <w:szCs w:val="18"/>
          <w:color w:val="auto"/>
        </w:rPr>
        <w:t>has the meaning specified in Section 5(b).</w:t>
      </w:r>
    </w:p>
    <w:p>
      <w:pPr>
        <w:spacing w:after="0" w:line="200" w:lineRule="exact"/>
        <w:rPr>
          <w:sz w:val="20"/>
          <w:szCs w:val="20"/>
          <w:color w:val="auto"/>
        </w:rPr>
      </w:pPr>
    </w:p>
    <w:p>
      <w:pPr>
        <w:spacing w:after="0" w:line="349"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b w:val="1"/>
          <w:bCs w:val="1"/>
          <w:i w:val="1"/>
          <w:iCs w:val="1"/>
          <w:color w:val="auto"/>
        </w:rPr>
        <w:t xml:space="preserve">“Affected Transactions” </w:t>
      </w:r>
      <w:r>
        <w:rPr>
          <w:rFonts w:ascii="Arial" w:cs="Arial" w:eastAsia="Arial" w:hAnsi="Arial"/>
          <w:sz w:val="18"/>
          <w:szCs w:val="18"/>
          <w:color w:val="auto"/>
        </w:rPr>
        <w:t>means (a) with respect to any Termination Event consisting of an Illegality, Force Majeure Event, Tax Event or Tax Event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all Transactions affected by the occurrence of such Termination Event (which, in the case of an Illegality under Section 5(b)(i)(2) or a Force Majeure Event under Section 5(b)(ii)(2), means all Transactions unless the relevant Credit Support Document references only certain Transactions, in which case those Transactions and, if the relevant Credit Support Document constitutes a Confirmation for a Transaction, that Transaction) and (b) with respect to any other Termination Event, all Transactions.</w:t>
      </w:r>
    </w:p>
    <w:p>
      <w:pPr>
        <w:spacing w:after="0" w:line="18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subject to the Schedule, in relation to any person, any entity controlled, directly or indirectly, by the person, any entity that controls,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indirectly, the person or any entity directly or indirectly under common control with the person. For this purpose, “control” of any entity or person means ownership of a majority of the voting power of the entity or person.</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has the meaning specified in Section 1(c).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“Applicable Close-out Rate” </w:t>
      </w:r>
      <w:r>
        <w:rPr>
          <w:rFonts w:ascii="Arial" w:cs="Arial" w:eastAsia="Arial" w:hAnsi="Arial"/>
          <w:sz w:val="18"/>
          <w:szCs w:val="18"/>
          <w:color w:val="auto"/>
        </w:rPr>
        <w:t>means:―</w:t>
      </w:r>
    </w:p>
    <w:p>
      <w:pPr>
        <w:spacing w:after="0" w:line="239" w:lineRule="exact"/>
        <w:rPr>
          <w:sz w:val="20"/>
          <w:szCs w:val="20"/>
          <w:color w:val="auto"/>
        </w:rPr>
      </w:pPr>
    </w:p>
    <w:p>
      <w:pPr>
        <w:ind w:left="624" w:hanging="624"/>
        <w:spacing w:after="0"/>
        <w:tabs>
          <w:tab w:leader="none" w:pos="62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respect of the determination of an Unpaid Amount:―</w:t>
      </w:r>
    </w:p>
    <w:p>
      <w:pPr>
        <w:spacing w:after="0" w:line="238" w:lineRule="exact"/>
        <w:rPr>
          <w:rFonts w:ascii="Arial" w:cs="Arial" w:eastAsia="Arial" w:hAnsi="Arial"/>
          <w:sz w:val="18"/>
          <w:szCs w:val="18"/>
          <w:color w:val="auto"/>
        </w:rPr>
      </w:pPr>
    </w:p>
    <w:p>
      <w:pPr>
        <w:ind w:left="964" w:hanging="343"/>
        <w:spacing w:after="0"/>
        <w:tabs>
          <w:tab w:leader="none" w:pos="964"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in respect of obligations payable or deliverable (or which would have been but for Section 2(a)(iii)) by a Defaulting Party, the Default Rate;</w:t>
      </w:r>
    </w:p>
    <w:p>
      <w:pPr>
        <w:spacing w:after="0" w:line="236" w:lineRule="exact"/>
        <w:rPr>
          <w:rFonts w:ascii="Arial" w:cs="Arial" w:eastAsia="Arial" w:hAnsi="Arial"/>
          <w:sz w:val="17"/>
          <w:szCs w:val="17"/>
          <w:color w:val="auto"/>
        </w:rPr>
      </w:pPr>
    </w:p>
    <w:p>
      <w:pPr>
        <w:ind w:left="624" w:right="480" w:hanging="3"/>
        <w:spacing w:after="0" w:line="277" w:lineRule="auto"/>
        <w:tabs>
          <w:tab w:leader="none" w:pos="102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respect of obligations payable or deliverable (or which would have been but for Section 2(a)(iii)) by a Non-defaulting Party, the Non-default Rate;</w:t>
      </w:r>
    </w:p>
    <w:p>
      <w:pPr>
        <w:spacing w:after="0" w:line="170" w:lineRule="exact"/>
        <w:rPr>
          <w:rFonts w:ascii="Arial" w:cs="Arial" w:eastAsia="Arial" w:hAnsi="Arial"/>
          <w:sz w:val="18"/>
          <w:szCs w:val="18"/>
          <w:color w:val="auto"/>
        </w:rPr>
      </w:pPr>
    </w:p>
    <w:p>
      <w:pPr>
        <w:ind w:left="624" w:right="100" w:hanging="3"/>
        <w:spacing w:after="0" w:line="277" w:lineRule="auto"/>
        <w:tabs>
          <w:tab w:leader="none" w:pos="107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respect of obligations deferred pursuant to Section 5(d), if there is no Defaulting Party and for so long as the deferral period continues, the Applicable Deferral Rate; and</w:t>
      </w:r>
    </w:p>
    <w:p>
      <w:pPr>
        <w:spacing w:after="0" w:line="170" w:lineRule="exact"/>
        <w:rPr>
          <w:rFonts w:ascii="Arial" w:cs="Arial" w:eastAsia="Arial" w:hAnsi="Arial"/>
          <w:sz w:val="18"/>
          <w:szCs w:val="18"/>
          <w:color w:val="auto"/>
        </w:rPr>
      </w:pPr>
    </w:p>
    <w:p>
      <w:pPr>
        <w:ind w:left="624" w:right="760" w:hanging="3"/>
        <w:spacing w:after="0" w:line="277" w:lineRule="auto"/>
        <w:tabs>
          <w:tab w:leader="none" w:pos="10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all other cases following the occurrence of a Termination Event (except where interest accrues pursuant to clause (iii) above), the Applicable Deferral Rate; and</w:t>
      </w:r>
    </w:p>
    <w:p>
      <w:pPr>
        <w:spacing w:after="0" w:line="18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4"/>
          </w:cols>
          <w:pgMar w:left="356" w:top="395" w:right="239" w:bottom="1440" w:gutter="0" w:footer="0" w:header="0"/>
        </w:sectPr>
      </w:pPr>
    </w:p>
    <w:bookmarkStart w:id="134" w:name="page135"/>
    <w:bookmarkEnd w:id="134"/>
    <w:p>
      <w:pPr>
        <w:ind w:left="624" w:hanging="624"/>
        <w:spacing w:after="0"/>
        <w:tabs>
          <w:tab w:leader="none" w:pos="6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respect of an Early Termination Amount:―</w:t>
      </w:r>
    </w:p>
    <w:p>
      <w:pPr>
        <w:spacing w:after="0" w:line="238" w:lineRule="exact"/>
        <w:rPr>
          <w:rFonts w:ascii="Arial" w:cs="Arial" w:eastAsia="Arial" w:hAnsi="Arial"/>
          <w:sz w:val="18"/>
          <w:szCs w:val="18"/>
          <w:color w:val="auto"/>
        </w:rPr>
      </w:pPr>
    </w:p>
    <w:p>
      <w:pPr>
        <w:ind w:left="624" w:right="320" w:hanging="3"/>
        <w:spacing w:after="0" w:line="277" w:lineRule="auto"/>
        <w:tabs>
          <w:tab w:leader="none" w:pos="97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for the period from (and including) the relevant Early Termination Date to (but excluding) the date (determined in accordance with Section 6(d)(ii)) on which that amount is payable:―</w:t>
      </w:r>
    </w:p>
    <w:p>
      <w:pPr>
        <w:spacing w:after="0" w:line="170" w:lineRule="exact"/>
        <w:rPr>
          <w:rFonts w:ascii="Arial" w:cs="Arial" w:eastAsia="Arial" w:hAnsi="Arial"/>
          <w:sz w:val="18"/>
          <w:szCs w:val="18"/>
          <w:color w:val="auto"/>
        </w:rPr>
      </w:pPr>
    </w:p>
    <w:p>
      <w:pPr>
        <w:ind w:left="1664" w:hanging="394"/>
        <w:spacing w:after="0"/>
        <w:tabs>
          <w:tab w:leader="none" w:pos="166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the Early Termination Amount is payable by a Defaulting Party, the Default Rate;</w:t>
      </w:r>
    </w:p>
    <w:p>
      <w:pPr>
        <w:spacing w:after="0" w:line="238" w:lineRule="exact"/>
        <w:rPr>
          <w:rFonts w:ascii="Arial" w:cs="Arial" w:eastAsia="Arial" w:hAnsi="Arial"/>
          <w:sz w:val="18"/>
          <w:szCs w:val="18"/>
          <w:color w:val="auto"/>
        </w:rPr>
      </w:pPr>
    </w:p>
    <w:p>
      <w:pPr>
        <w:ind w:left="1664" w:hanging="394"/>
        <w:spacing w:after="0"/>
        <w:tabs>
          <w:tab w:leader="none" w:pos="166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the Early Termination Amount is payable by a Non-defaulting Party, the Non-default Rate; and</w:t>
      </w:r>
    </w:p>
    <w:p>
      <w:pPr>
        <w:spacing w:after="0" w:line="225" w:lineRule="exact"/>
        <w:rPr>
          <w:rFonts w:ascii="Arial" w:cs="Arial" w:eastAsia="Arial" w:hAnsi="Arial"/>
          <w:sz w:val="18"/>
          <w:szCs w:val="18"/>
          <w:color w:val="auto"/>
        </w:rPr>
      </w:pPr>
    </w:p>
    <w:p>
      <w:pPr>
        <w:ind w:left="1904" w:hanging="634"/>
        <w:spacing w:after="0"/>
        <w:tabs>
          <w:tab w:leader="none" w:pos="190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in all other cases, the Applicable Deferral Rate; and</w:t>
      </w:r>
    </w:p>
    <w:p>
      <w:pPr>
        <w:spacing w:after="0" w:line="76" w:lineRule="exact"/>
        <w:rPr>
          <w:rFonts w:ascii="Arial" w:cs="Arial" w:eastAsia="Arial" w:hAnsi="Arial"/>
          <w:sz w:val="18"/>
          <w:szCs w:val="18"/>
          <w:color w:val="auto"/>
        </w:rPr>
      </w:pPr>
    </w:p>
    <w:p>
      <w:pPr>
        <w:ind w:left="624" w:right="720" w:hanging="3"/>
        <w:spacing w:after="0" w:line="277" w:lineRule="auto"/>
        <w:tabs>
          <w:tab w:leader="none" w:pos="102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for the period from (and including) the date (determined in accordance with Section 6(d)(ii)) on which that amount is payable to (but excluding) the date of actual payment:―</w:t>
      </w:r>
    </w:p>
    <w:p>
      <w:pPr>
        <w:spacing w:after="0" w:line="170" w:lineRule="exact"/>
        <w:rPr>
          <w:rFonts w:ascii="Arial" w:cs="Arial" w:eastAsia="Arial" w:hAnsi="Arial"/>
          <w:sz w:val="18"/>
          <w:szCs w:val="18"/>
          <w:color w:val="auto"/>
        </w:rPr>
      </w:pPr>
    </w:p>
    <w:p>
      <w:pPr>
        <w:jc w:val="both"/>
        <w:ind w:left="1264" w:firstLine="6"/>
        <w:spacing w:after="0" w:line="259" w:lineRule="auto"/>
        <w:tabs>
          <w:tab w:leader="none" w:pos="169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a party fails to pay the Early Termination Amount due to the occurrence of an event or circumstance which would, if it occurred with respect to a payment or delivery under a Transaction, constitute or give rise to an Illegality or a Force Majeure Event, and for so long as the Early Termination Amount remains unpaid due to the continuing existence of such event or circumstance, the Applicable Deferral Rate;</w:t>
      </w:r>
    </w:p>
    <w:p>
      <w:pPr>
        <w:spacing w:after="0" w:line="186" w:lineRule="exact"/>
        <w:rPr>
          <w:rFonts w:ascii="Arial" w:cs="Arial" w:eastAsia="Arial" w:hAnsi="Arial"/>
          <w:sz w:val="18"/>
          <w:szCs w:val="18"/>
          <w:color w:val="auto"/>
        </w:rPr>
      </w:pPr>
    </w:p>
    <w:p>
      <w:pPr>
        <w:ind w:left="1264" w:right="20" w:firstLine="6"/>
        <w:spacing w:after="0" w:line="277" w:lineRule="auto"/>
        <w:tabs>
          <w:tab w:leader="none" w:pos="171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the Early Termination Amount is payable by a Defaulting Party (but excluding any period in respect of which clause (1) above applies), the Default Rate;</w:t>
      </w:r>
    </w:p>
    <w:p>
      <w:pPr>
        <w:spacing w:after="0" w:line="170" w:lineRule="exact"/>
        <w:rPr>
          <w:rFonts w:ascii="Arial" w:cs="Arial" w:eastAsia="Arial" w:hAnsi="Arial"/>
          <w:sz w:val="18"/>
          <w:szCs w:val="18"/>
          <w:color w:val="auto"/>
        </w:rPr>
      </w:pPr>
    </w:p>
    <w:p>
      <w:pPr>
        <w:ind w:left="1264" w:firstLine="6"/>
        <w:spacing w:after="0" w:line="277" w:lineRule="auto"/>
        <w:tabs>
          <w:tab w:leader="none" w:pos="166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the Early Termination Amount is payable by a Non-defaulting Party (but excluding any period in respect of which clause (1) above applies), the Non-default Rate; and</w:t>
      </w:r>
    </w:p>
    <w:p>
      <w:pPr>
        <w:spacing w:after="0" w:line="170" w:lineRule="exact"/>
        <w:rPr>
          <w:rFonts w:ascii="Arial" w:cs="Arial" w:eastAsia="Arial" w:hAnsi="Arial"/>
          <w:sz w:val="18"/>
          <w:szCs w:val="18"/>
          <w:color w:val="auto"/>
        </w:rPr>
      </w:pPr>
    </w:p>
    <w:p>
      <w:pPr>
        <w:ind w:left="1904" w:hanging="634"/>
        <w:spacing w:after="0"/>
        <w:tabs>
          <w:tab w:leader="none" w:pos="190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in all other cases, the Termination Rate.</w:t>
      </w: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“Applicable Deferral Rate” </w:t>
      </w:r>
      <w:r>
        <w:rPr>
          <w:rFonts w:ascii="Arial" w:cs="Arial" w:eastAsia="Arial" w:hAnsi="Arial"/>
          <w:sz w:val="18"/>
          <w:szCs w:val="18"/>
          <w:color w:val="auto"/>
        </w:rPr>
        <w:t>means:―</w:t>
      </w:r>
    </w:p>
    <w:p>
      <w:pPr>
        <w:spacing w:after="0" w:line="266" w:lineRule="exact"/>
        <w:rPr>
          <w:sz w:val="20"/>
          <w:szCs w:val="20"/>
          <w:color w:val="auto"/>
        </w:rPr>
      </w:pPr>
    </w:p>
    <w:p>
      <w:pPr>
        <w:jc w:val="both"/>
        <w:ind w:left="4" w:hanging="4"/>
        <w:spacing w:after="0" w:line="311" w:lineRule="auto"/>
        <w:tabs>
          <w:tab w:leader="none" w:pos="8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purpose of Section 9(h)(i)(3)(A), the rate certified by the relevant payer to be a rate offered to the payer by a major bank in a relevant interbank market for overnight deposits in the applicable currency, such bank to be selected in good faith by the payer for the purpose of obtaining a representative rate that will reasonably reflect conditions prevailing at the time in that relevant market;</w:t>
      </w:r>
    </w:p>
    <w:p>
      <w:pPr>
        <w:spacing w:after="0" w:line="181" w:lineRule="exact"/>
        <w:rPr>
          <w:rFonts w:ascii="Arial" w:cs="Arial" w:eastAsia="Arial" w:hAnsi="Arial"/>
          <w:sz w:val="18"/>
          <w:szCs w:val="18"/>
          <w:color w:val="auto"/>
        </w:rPr>
      </w:pPr>
    </w:p>
    <w:p>
      <w:pPr>
        <w:jc w:val="both"/>
        <w:ind w:left="4" w:hanging="4"/>
        <w:spacing w:after="0" w:line="306" w:lineRule="auto"/>
        <w:tabs>
          <w:tab w:leader="none" w:pos="8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purposes of Section 9(h)(i)(3)(B) and clause (a)(iii) of the definition of Applicable Close-out Rate, the rate certified by the relevant payer to be a rate offered to prime banks by a major bank in a relevant interbank market for overnight deposits in the applicable currency, such bank to be selected in good faith by the payer after consultation with the other party, if practicable, for the purpose of obtaining a representative rate that will reasonably reflect conditions prevailing at the time in that relevant market; and</w:t>
      </w:r>
    </w:p>
    <w:p>
      <w:pPr>
        <w:spacing w:after="0" w:line="186" w:lineRule="exact"/>
        <w:rPr>
          <w:rFonts w:ascii="Arial" w:cs="Arial" w:eastAsia="Arial" w:hAnsi="Arial"/>
          <w:sz w:val="18"/>
          <w:szCs w:val="18"/>
          <w:color w:val="auto"/>
        </w:rPr>
      </w:pPr>
    </w:p>
    <w:p>
      <w:pPr>
        <w:jc w:val="both"/>
        <w:ind w:left="4" w:hanging="4"/>
        <w:spacing w:after="0" w:line="311" w:lineRule="auto"/>
        <w:tabs>
          <w:tab w:leader="none" w:pos="8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purposes of Section 9(h)(i)(3)(C) and clauses (a)(iv), (b)(i)(3) and (b)(ii)(1) of the definition of Applicable Close-out Rate, a rate equal to the arithmetic mean of the rate determined pursuant to clause (a) above and a rate per annum equal to the cost (without proof or evidence of any actual cost) to the relevant payee (as certified by it) if it were to fund or of funding the relevant amount.</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“Automatic Early Termination” </w:t>
      </w:r>
      <w:r>
        <w:rPr>
          <w:rFonts w:ascii="Arial" w:cs="Arial" w:eastAsia="Arial" w:hAnsi="Arial"/>
          <w:sz w:val="18"/>
          <w:szCs w:val="18"/>
          <w:color w:val="auto"/>
        </w:rPr>
        <w:t>has the meaning specified in Section 6(a).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“Burdened Party” </w:t>
      </w:r>
      <w:r>
        <w:rPr>
          <w:rFonts w:ascii="Arial" w:cs="Arial" w:eastAsia="Arial" w:hAnsi="Arial"/>
          <w:sz w:val="18"/>
          <w:szCs w:val="18"/>
          <w:color w:val="auto"/>
        </w:rPr>
        <w:t>has the meaning specified in Section 5(b)(iv).</w:t>
      </w:r>
    </w:p>
    <w:p>
      <w:pPr>
        <w:spacing w:after="0" w:line="200" w:lineRule="exact"/>
        <w:rPr>
          <w:sz w:val="20"/>
          <w:szCs w:val="20"/>
          <w:color w:val="auto"/>
        </w:rPr>
      </w:pPr>
    </w:p>
    <w:p>
      <w:pPr>
        <w:spacing w:after="0" w:line="25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4"/>
          </w:cols>
          <w:pgMar w:left="356" w:top="368" w:right="239" w:bottom="1440" w:gutter="0" w:footer="0" w:header="0"/>
        </w:sectPr>
      </w:pPr>
    </w:p>
    <w:bookmarkStart w:id="135" w:name="page136"/>
    <w:bookmarkEnd w:id="135"/>
    <w:p>
      <w:pPr>
        <w:jc w:val="both"/>
        <w:ind w:left="4"/>
        <w:spacing w:after="0" w:line="277" w:lineRule="auto"/>
        <w:rPr>
          <w:sz w:val="20"/>
          <w:szCs w:val="20"/>
          <w:color w:val="auto"/>
        </w:rPr>
      </w:pPr>
      <w:r>
        <w:rPr>
          <w:rFonts w:ascii="Arial" w:cs="Arial" w:eastAsia="Arial" w:hAnsi="Arial"/>
          <w:sz w:val="18"/>
          <w:szCs w:val="18"/>
          <w:b w:val="1"/>
          <w:bCs w:val="1"/>
          <w:i w:val="1"/>
          <w:iCs w:val="1"/>
          <w:color w:val="auto"/>
        </w:rPr>
        <w:t xml:space="preserve">“Change in Tax Law” </w:t>
      </w:r>
      <w:r>
        <w:rPr>
          <w:rFonts w:ascii="Arial" w:cs="Arial" w:eastAsia="Arial" w:hAnsi="Arial"/>
          <w:sz w:val="18"/>
          <w:szCs w:val="18"/>
          <w:color w:val="auto"/>
        </w:rPr>
        <w:t>means the enactment, promulgation, execution or ratification of, or any change in or amendment to, any law (or in the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interpretation of any law) that occurs after the parties enter into the relevant Transaction.</w:t>
      </w:r>
    </w:p>
    <w:p>
      <w:pPr>
        <w:spacing w:after="0" w:line="170" w:lineRule="exact"/>
        <w:rPr>
          <w:sz w:val="20"/>
          <w:szCs w:val="20"/>
          <w:color w:val="auto"/>
        </w:rPr>
      </w:pPr>
    </w:p>
    <w:p>
      <w:pPr>
        <w:jc w:val="both"/>
        <w:ind w:left="4"/>
        <w:spacing w:after="0" w:line="293" w:lineRule="auto"/>
        <w:rPr>
          <w:sz w:val="20"/>
          <w:szCs w:val="20"/>
          <w:color w:val="auto"/>
        </w:rPr>
      </w:pPr>
      <w:r>
        <w:rPr>
          <w:rFonts w:ascii="Arial" w:cs="Arial" w:eastAsia="Arial" w:hAnsi="Arial"/>
          <w:sz w:val="16"/>
          <w:szCs w:val="16"/>
          <w:b w:val="1"/>
          <w:bCs w:val="1"/>
          <w:i w:val="1"/>
          <w:iCs w:val="1"/>
          <w:color w:val="auto"/>
        </w:rPr>
        <w:t xml:space="preserve">“Close-out Amount” </w:t>
      </w:r>
      <w:r>
        <w:rPr>
          <w:rFonts w:ascii="Arial" w:cs="Arial" w:eastAsia="Arial" w:hAnsi="Arial"/>
          <w:sz w:val="16"/>
          <w:szCs w:val="16"/>
          <w:color w:val="auto"/>
        </w:rPr>
        <w:t>means, with respect to each Terminated Transaction or each group of Terminated Transactions and a Determining Party, the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losses or costs of the Determining Party that are or would be incurred under then prevailing circumstances (expressed as a positive number) or gains of the Determining Party that are or would be realised under then prevailing circumstances (expressed as a negative number) in replacing, or in providing for the Determining Party the economic equivalent of, (a) the material terms of that Terminated Transaction or group of Terminated Transactions, including the payments and deliveries by the parties under Section 2(a)(i) in respect of that Terminated Transaction or group of Terminated Transactions that would, but for the occurrence of the relevant Early Termination Date, have been required after that date (assuming satisfaction of the conditions precedent in</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2(a)(iii)) and (b) the option rights of the parties in respect of that Terminated Transaction or group of Terminated Transactions.</w:t>
      </w:r>
    </w:p>
    <w:p>
      <w:pPr>
        <w:spacing w:after="0" w:line="225"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Any Close-out Amount will be determined by the Determining Party (or its agent), which will act in good faith and use commercially reasonable procedures in order to produce a commercially reasonable result. The Determining Party may determine a Close-out Amount for any group of Terminated Transactions or any individual Terminated Transaction but, in the aggregate, for not less than all Terminated Transactions. Each Close-out Amount will be determined as of the Early Termination Date or, if that would not be commercially reasonable, as of the date or dates following the Early Termination Date as would be commercially reasonable.</w:t>
      </w:r>
    </w:p>
    <w:p>
      <w:pPr>
        <w:spacing w:after="0" w:line="188"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Unpaid Amounts in respect of a Terminated Transaction or group of Terminated Transactions and legal fees and out- of-pocket expenses referred to in Section 11 are to be excluded in all determinations of Close-out Amounts.</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In determining a Close-out Amount, the Determining Party may consider any relevant information, including, without limitation, one or more of the following types of information:―</w:t>
      </w:r>
    </w:p>
    <w:p>
      <w:pPr>
        <w:spacing w:after="0" w:line="197" w:lineRule="exact"/>
        <w:rPr>
          <w:sz w:val="20"/>
          <w:szCs w:val="20"/>
          <w:color w:val="auto"/>
        </w:rPr>
      </w:pPr>
    </w:p>
    <w:p>
      <w:pPr>
        <w:jc w:val="both"/>
        <w:ind w:left="4" w:hanging="4"/>
        <w:spacing w:after="0" w:line="311" w:lineRule="auto"/>
        <w:tabs>
          <w:tab w:leader="none" w:pos="7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quotations (either firm or indicative) for replacement transactions supplied by one or more third parties that may take into account the creditworthiness of the Determining Party at the time the quotation is provided and the terms of any relevant documentation, including credit support documentation, between the Determining Party and the third party providing the quotation;</w:t>
      </w:r>
    </w:p>
    <w:p>
      <w:pPr>
        <w:spacing w:after="0" w:line="181" w:lineRule="exact"/>
        <w:rPr>
          <w:rFonts w:ascii="Arial" w:cs="Arial" w:eastAsia="Arial" w:hAnsi="Arial"/>
          <w:sz w:val="18"/>
          <w:szCs w:val="18"/>
          <w:color w:val="auto"/>
        </w:rPr>
      </w:pPr>
    </w:p>
    <w:p>
      <w:pPr>
        <w:ind w:left="4" w:right="20" w:hanging="4"/>
        <w:spacing w:after="0" w:line="324" w:lineRule="auto"/>
        <w:tabs>
          <w:tab w:leader="none" w:pos="84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information consisting of relevant market data in the relevant market supplied by one or more third parties including, without limitation, relevant rates, prices, yields, yield curves, volatilities, spreads, correlations or other relevant market data in the relevant market; or</w:t>
      </w:r>
    </w:p>
    <w:p>
      <w:pPr>
        <w:spacing w:after="0" w:line="170" w:lineRule="exact"/>
        <w:rPr>
          <w:rFonts w:ascii="Arial" w:cs="Arial" w:eastAsia="Arial" w:hAnsi="Arial"/>
          <w:sz w:val="18"/>
          <w:szCs w:val="18"/>
          <w:color w:val="auto"/>
        </w:rPr>
      </w:pPr>
    </w:p>
    <w:p>
      <w:pPr>
        <w:ind w:left="4" w:hanging="4"/>
        <w:spacing w:after="0" w:line="357" w:lineRule="auto"/>
        <w:tabs>
          <w:tab w:leader="none" w:pos="8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information of the types described in clause (i) or (ii) above from internal sources (including any of the Determining Party’s Affiliates) if that information is of the same type used by the Determining Party in the regular course of its business for the valuation of similar transactions.</w:t>
      </w:r>
    </w:p>
    <w:p>
      <w:pPr>
        <w:spacing w:after="0" w:line="121" w:lineRule="exact"/>
        <w:rPr>
          <w:sz w:val="20"/>
          <w:szCs w:val="20"/>
          <w:color w:val="auto"/>
        </w:rPr>
      </w:pPr>
    </w:p>
    <w:p>
      <w:pPr>
        <w:jc w:val="both"/>
        <w:ind w:left="4"/>
        <w:spacing w:after="0" w:line="288" w:lineRule="auto"/>
        <w:rPr>
          <w:sz w:val="20"/>
          <w:szCs w:val="20"/>
          <w:color w:val="auto"/>
        </w:rPr>
      </w:pPr>
      <w:r>
        <w:rPr>
          <w:rFonts w:ascii="Arial" w:cs="Arial" w:eastAsia="Arial" w:hAnsi="Arial"/>
          <w:sz w:val="16"/>
          <w:szCs w:val="16"/>
          <w:color w:val="auto"/>
        </w:rPr>
        <w:t>The Determining Party will consider, taking into account the standards and procedures described in this definition, quotations pursuant to clause (i) above or relevant market data pursuant to clause (ii) above unless the Determining Party reasonably believes in good faith that such quotations or relevant market data are not readily available or would produce a result that would not satisfy those standards. When considering information described in clause (i), (ii) or</w:t>
      </w:r>
    </w:p>
    <w:p>
      <w:pPr>
        <w:jc w:val="both"/>
        <w:ind w:left="4" w:hanging="4"/>
        <w:spacing w:after="0" w:line="302" w:lineRule="auto"/>
        <w:tabs>
          <w:tab w:leader="none" w:pos="35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above, the Determining Party may include costs of funding, to the extent costs of funding are not and would not be a component of the other information being utilised. Third parties supplying quotations pursuant to clause (i) above or market data pursuant to clause (ii) above may include, without limitation, dealers in the relevant markets, end-users of the relevant product, information vendors, brokers and other sources of market information.</w:t>
      </w:r>
    </w:p>
    <w:p>
      <w:pPr>
        <w:spacing w:after="0" w:line="155"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Without duplication of amounts calculated based on information described in clause (i), (ii) or (iii) above, or other relevant information, and when it is commercially reasonable to do so, the Determining Party may in addition consider in calculating a Close-out Amount any loss or cost incurred in connection with its terminating, liquidating or re-</w:t>
      </w:r>
    </w:p>
    <w:p>
      <w:pPr>
        <w:spacing w:after="0" w:line="19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4"/>
          </w:cols>
          <w:pgMar w:left="356" w:top="368" w:right="239" w:bottom="1440" w:gutter="0" w:footer="0" w:header="0"/>
        </w:sectPr>
      </w:pPr>
    </w:p>
    <w:bookmarkStart w:id="136" w:name="page137"/>
    <w:bookmarkEnd w:id="136"/>
    <w:p>
      <w:pPr>
        <w:ind w:left="4"/>
        <w:spacing w:after="0"/>
        <w:rPr>
          <w:sz w:val="20"/>
          <w:szCs w:val="20"/>
          <w:color w:val="auto"/>
        </w:rPr>
      </w:pPr>
      <w:r>
        <w:rPr>
          <w:rFonts w:ascii="Arial" w:cs="Arial" w:eastAsia="Arial" w:hAnsi="Arial"/>
          <w:sz w:val="18"/>
          <w:szCs w:val="18"/>
          <w:color w:val="auto"/>
        </w:rPr>
        <w:t>establishing any hedge related to a Terminated Transaction or group of Terminated Transactions (or any gain resulting from any of them).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Commercially reasonable procedures used in determining a Close-out Amount may include the following:―</w:t>
      </w:r>
    </w:p>
    <w:p>
      <w:pPr>
        <w:spacing w:after="0" w:line="36" w:lineRule="exact"/>
        <w:rPr>
          <w:sz w:val="20"/>
          <w:szCs w:val="20"/>
          <w:color w:val="auto"/>
        </w:rPr>
      </w:pPr>
    </w:p>
    <w:p>
      <w:pPr>
        <w:jc w:val="both"/>
        <w:ind w:left="4" w:hanging="4"/>
        <w:spacing w:after="0" w:line="306" w:lineRule="auto"/>
        <w:tabs>
          <w:tab w:leader="none" w:pos="8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application to relevant market data from third parties pursuant to clause (ii) above or information from internal sources pursuant to clause (iii) above of pricing or other valuation models that are, at the time of the determination of the Close-out Amount, used by the Determining Party in the regular course of its business in pricing or valuing transactions between the Determining Party and unrelated third parties that are similar to the Terminated Transaction or group of Terminated Transactions; and</w:t>
      </w:r>
    </w:p>
    <w:p>
      <w:pPr>
        <w:spacing w:after="0" w:line="38" w:lineRule="exact"/>
        <w:rPr>
          <w:rFonts w:ascii="Arial" w:cs="Arial" w:eastAsia="Arial" w:hAnsi="Arial"/>
          <w:sz w:val="18"/>
          <w:szCs w:val="18"/>
          <w:color w:val="auto"/>
        </w:rPr>
      </w:pPr>
    </w:p>
    <w:p>
      <w:pPr>
        <w:ind w:left="4" w:hanging="4"/>
        <w:spacing w:after="0" w:line="324" w:lineRule="auto"/>
        <w:tabs>
          <w:tab w:leader="none" w:pos="8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application of different valuation methods to Terminated Transactions or groups of Terminated Transactions depending on the type, complexity, size or number of the Terminated Transactions or group of Terminated Transactions.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“Confirmation” </w:t>
      </w:r>
      <w:r>
        <w:rPr>
          <w:rFonts w:ascii="Arial" w:cs="Arial" w:eastAsia="Arial" w:hAnsi="Arial"/>
          <w:sz w:val="18"/>
          <w:szCs w:val="18"/>
          <w:color w:val="auto"/>
        </w:rPr>
        <w:t>has the meaning specified in the preamble.</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“consent” </w:t>
      </w:r>
      <w:r>
        <w:rPr>
          <w:rFonts w:ascii="Arial" w:cs="Arial" w:eastAsia="Arial" w:hAnsi="Arial"/>
          <w:sz w:val="18"/>
          <w:szCs w:val="18"/>
          <w:color w:val="auto"/>
        </w:rPr>
        <w:t>includes a consent, approval, action, authorisation, exemption, notice, filing, registration or exchange control consent.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“Contractual Currency” </w:t>
      </w:r>
      <w:r>
        <w:rPr>
          <w:rFonts w:ascii="Arial" w:cs="Arial" w:eastAsia="Arial" w:hAnsi="Arial"/>
          <w:sz w:val="18"/>
          <w:szCs w:val="18"/>
          <w:color w:val="auto"/>
        </w:rPr>
        <w:t>has the meaning specified in Section 8(a).</w:t>
      </w:r>
    </w:p>
    <w:p>
      <w:pPr>
        <w:spacing w:after="0" w:line="225"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8"/>
          <w:szCs w:val="18"/>
          <w:b w:val="1"/>
          <w:bCs w:val="1"/>
          <w:i w:val="1"/>
          <w:iCs w:val="1"/>
          <w:color w:val="auto"/>
        </w:rPr>
        <w:t xml:space="preserve">“Convention Court” </w:t>
      </w:r>
      <w:r>
        <w:rPr>
          <w:rFonts w:ascii="Arial" w:cs="Arial" w:eastAsia="Arial" w:hAnsi="Arial"/>
          <w:sz w:val="18"/>
          <w:szCs w:val="18"/>
          <w:color w:val="auto"/>
        </w:rPr>
        <w:t>means any court which is bound to apply to the Proceedings either Article 17 of the 1968 Brussels Convention on Jurisdiction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Enforcement of Judgments in Civil and Commercial Matters or Article 17 of the 1988 Lugano Convention on Jurisdiction and the Enforcement of Judgments in Civil and Commercial Matters.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“Credit Event Upon Merger” </w:t>
      </w:r>
      <w:r>
        <w:rPr>
          <w:rFonts w:ascii="Arial" w:cs="Arial" w:eastAsia="Arial" w:hAnsi="Arial"/>
          <w:sz w:val="18"/>
          <w:szCs w:val="18"/>
          <w:color w:val="auto"/>
        </w:rPr>
        <w:t>has the meaning specified in Section 5(b).</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“Credit Support Document” </w:t>
      </w:r>
      <w:r>
        <w:rPr>
          <w:rFonts w:ascii="Arial" w:cs="Arial" w:eastAsia="Arial" w:hAnsi="Arial"/>
          <w:sz w:val="18"/>
          <w:szCs w:val="18"/>
          <w:color w:val="auto"/>
        </w:rPr>
        <w:t>means any agreement or instrument that is specified as such in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“Credit Support Provider” </w:t>
      </w:r>
      <w:r>
        <w:rPr>
          <w:rFonts w:ascii="Arial" w:cs="Arial" w:eastAsia="Arial" w:hAnsi="Arial"/>
          <w:sz w:val="18"/>
          <w:szCs w:val="18"/>
          <w:color w:val="auto"/>
        </w:rPr>
        <w:t>has the meaning specified in the Schedule.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“Cross-Default” </w:t>
      </w:r>
      <w:r>
        <w:rPr>
          <w:rFonts w:ascii="Arial" w:cs="Arial" w:eastAsia="Arial" w:hAnsi="Arial"/>
          <w:sz w:val="18"/>
          <w:szCs w:val="18"/>
          <w:color w:val="auto"/>
        </w:rPr>
        <w:t>means the event specified in Section 5(a)(vi).</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b w:val="1"/>
          <w:bCs w:val="1"/>
          <w:i w:val="1"/>
          <w:iCs w:val="1"/>
          <w:color w:val="auto"/>
        </w:rPr>
        <w:t xml:space="preserve">“Default Rate” </w:t>
      </w:r>
      <w:r>
        <w:rPr>
          <w:rFonts w:ascii="Arial" w:cs="Arial" w:eastAsia="Arial" w:hAnsi="Arial"/>
          <w:sz w:val="18"/>
          <w:szCs w:val="18"/>
          <w:color w:val="auto"/>
        </w:rPr>
        <w:t>means a rate per annum equal to the cost (without proof or evidence of any actual cost) to the relevant payee (as certified by it) if it were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or of funding the relevant amount plus 1% per annum.</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 xml:space="preserve">“Defaulting Party” </w:t>
      </w:r>
      <w:r>
        <w:rPr>
          <w:rFonts w:ascii="Arial" w:cs="Arial" w:eastAsia="Arial" w:hAnsi="Arial"/>
          <w:sz w:val="16"/>
          <w:szCs w:val="16"/>
          <w:color w:val="auto"/>
        </w:rPr>
        <w:t>has the meaning specified in Section 6(a).</w:t>
      </w:r>
      <w:r>
        <w:rPr>
          <w:rFonts w:ascii="Arial" w:cs="Arial" w:eastAsia="Arial" w:hAnsi="Arial"/>
          <w:sz w:val="16"/>
          <w:szCs w:val="16"/>
          <w:b w:val="1"/>
          <w:bCs w:val="1"/>
          <w:i w:val="1"/>
          <w:iCs w:val="1"/>
          <w:color w:val="auto"/>
        </w:rPr>
        <w:t xml:space="preserve"> “Designated Event” </w:t>
      </w:r>
      <w:r>
        <w:rPr>
          <w:rFonts w:ascii="Arial" w:cs="Arial" w:eastAsia="Arial" w:hAnsi="Arial"/>
          <w:sz w:val="16"/>
          <w:szCs w:val="16"/>
          <w:color w:val="auto"/>
        </w:rPr>
        <w:t>has the meaning specified in Section 5(b)(v).</w:t>
      </w:r>
      <w:r>
        <w:rPr>
          <w:rFonts w:ascii="Arial" w:cs="Arial" w:eastAsia="Arial" w:hAnsi="Arial"/>
          <w:sz w:val="16"/>
          <w:szCs w:val="16"/>
          <w:b w:val="1"/>
          <w:bCs w:val="1"/>
          <w:i w:val="1"/>
          <w:iCs w:val="1"/>
          <w:color w:val="auto"/>
        </w:rPr>
        <w:t xml:space="preserve"> “Determining Party”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means the party determining a Close-out Amount. </w:t>
      </w:r>
      <w:r>
        <w:rPr>
          <w:rFonts w:ascii="Arial" w:cs="Arial" w:eastAsia="Arial" w:hAnsi="Arial"/>
          <w:sz w:val="18"/>
          <w:szCs w:val="18"/>
          <w:b w:val="1"/>
          <w:bCs w:val="1"/>
          <w:i w:val="1"/>
          <w:iCs w:val="1"/>
          <w:color w:val="auto"/>
        </w:rPr>
        <w:t>“Early Termination Amount”</w:t>
      </w:r>
      <w:r>
        <w:rPr>
          <w:rFonts w:ascii="Arial" w:cs="Arial" w:eastAsia="Arial" w:hAnsi="Arial"/>
          <w:sz w:val="18"/>
          <w:szCs w:val="18"/>
          <w:color w:val="auto"/>
        </w:rPr>
        <w:t xml:space="preserve"> has the meaning specified in Section 6(e).</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“Early Termination Date” </w:t>
      </w:r>
      <w:r>
        <w:rPr>
          <w:rFonts w:ascii="Arial" w:cs="Arial" w:eastAsia="Arial" w:hAnsi="Arial"/>
          <w:sz w:val="18"/>
          <w:szCs w:val="18"/>
          <w:color w:val="auto"/>
        </w:rPr>
        <w:t>means the date determined in accordance with Section 6(a) or 6(b)(iv).</w:t>
      </w:r>
    </w:p>
    <w:p>
      <w:pPr>
        <w:spacing w:after="0" w:line="225" w:lineRule="exact"/>
        <w:rPr>
          <w:sz w:val="20"/>
          <w:szCs w:val="20"/>
          <w:color w:val="auto"/>
        </w:rPr>
      </w:pPr>
    </w:p>
    <w:p>
      <w:pPr>
        <w:ind w:left="4" w:right="3160"/>
        <w:spacing w:after="0" w:line="277" w:lineRule="auto"/>
        <w:rPr>
          <w:sz w:val="20"/>
          <w:szCs w:val="20"/>
          <w:color w:val="auto"/>
        </w:rPr>
      </w:pPr>
      <w:r>
        <w:rPr>
          <w:rFonts w:ascii="Arial" w:cs="Arial" w:eastAsia="Arial" w:hAnsi="Arial"/>
          <w:sz w:val="18"/>
          <w:szCs w:val="18"/>
          <w:b w:val="1"/>
          <w:bCs w:val="1"/>
          <w:i w:val="1"/>
          <w:iCs w:val="1"/>
          <w:color w:val="auto"/>
        </w:rPr>
        <w:t xml:space="preserve">“electronic messages” </w:t>
      </w:r>
      <w:r>
        <w:rPr>
          <w:rFonts w:ascii="Arial" w:cs="Arial" w:eastAsia="Arial" w:hAnsi="Arial"/>
          <w:sz w:val="18"/>
          <w:szCs w:val="18"/>
          <w:color w:val="auto"/>
        </w:rPr>
        <w:t>does not include e-mails but does include documents expressed in markup languages, and</w:t>
      </w:r>
      <w:r>
        <w:rPr>
          <w:rFonts w:ascii="Arial" w:cs="Arial" w:eastAsia="Arial" w:hAnsi="Arial"/>
          <w:sz w:val="18"/>
          <w:szCs w:val="18"/>
          <w:b w:val="1"/>
          <w:bCs w:val="1"/>
          <w:i w:val="1"/>
          <w:iCs w:val="1"/>
          <w:color w:val="auto"/>
        </w:rPr>
        <w:t xml:space="preserve"> “electronic messaging system” </w:t>
      </w:r>
      <w:r>
        <w:rPr>
          <w:rFonts w:ascii="Arial" w:cs="Arial" w:eastAsia="Arial" w:hAnsi="Arial"/>
          <w:sz w:val="18"/>
          <w:szCs w:val="18"/>
          <w:color w:val="auto"/>
        </w:rPr>
        <w:t>will be construed accordingly.</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 xml:space="preserve">“English law” </w:t>
      </w:r>
      <w:r>
        <w:rPr>
          <w:rFonts w:ascii="Arial" w:cs="Arial" w:eastAsia="Arial" w:hAnsi="Arial"/>
          <w:sz w:val="16"/>
          <w:szCs w:val="16"/>
          <w:color w:val="auto"/>
        </w:rPr>
        <w:t>means the law of England and Wales, and</w:t>
      </w:r>
      <w:r>
        <w:rPr>
          <w:rFonts w:ascii="Arial" w:cs="Arial" w:eastAsia="Arial" w:hAnsi="Arial"/>
          <w:sz w:val="16"/>
          <w:szCs w:val="16"/>
          <w:b w:val="1"/>
          <w:bCs w:val="1"/>
          <w:i w:val="1"/>
          <w:iCs w:val="1"/>
          <w:color w:val="auto"/>
        </w:rPr>
        <w:t xml:space="preserve"> “English” </w:t>
      </w:r>
      <w:r>
        <w:rPr>
          <w:rFonts w:ascii="Arial" w:cs="Arial" w:eastAsia="Arial" w:hAnsi="Arial"/>
          <w:sz w:val="16"/>
          <w:szCs w:val="16"/>
          <w:color w:val="auto"/>
        </w:rPr>
        <w:t>will be construed accordingly.</w:t>
      </w:r>
      <w:r>
        <w:rPr>
          <w:rFonts w:ascii="Arial" w:cs="Arial" w:eastAsia="Arial" w:hAnsi="Arial"/>
          <w:sz w:val="16"/>
          <w:szCs w:val="16"/>
          <w:b w:val="1"/>
          <w:bCs w:val="1"/>
          <w:i w:val="1"/>
          <w:iCs w:val="1"/>
          <w:color w:val="auto"/>
        </w:rPr>
        <w:t xml:space="preserve"> “Event of Default” </w:t>
      </w:r>
      <w:r>
        <w:rPr>
          <w:rFonts w:ascii="Arial" w:cs="Arial" w:eastAsia="Arial" w:hAnsi="Arial"/>
          <w:sz w:val="16"/>
          <w:szCs w:val="16"/>
          <w:color w:val="auto"/>
        </w:rPr>
        <w:t>has the meaning specified in Section</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5(a) and, if applicable, in the Schedule. </w:t>
      </w:r>
      <w:r>
        <w:rPr>
          <w:rFonts w:ascii="Arial" w:cs="Arial" w:eastAsia="Arial" w:hAnsi="Arial"/>
          <w:sz w:val="18"/>
          <w:szCs w:val="18"/>
          <w:b w:val="1"/>
          <w:bCs w:val="1"/>
          <w:i w:val="1"/>
          <w:iCs w:val="1"/>
          <w:color w:val="auto"/>
        </w:rPr>
        <w:t>“Force Majeure Event”</w:t>
      </w:r>
      <w:r>
        <w:rPr>
          <w:rFonts w:ascii="Arial" w:cs="Arial" w:eastAsia="Arial" w:hAnsi="Arial"/>
          <w:sz w:val="18"/>
          <w:szCs w:val="18"/>
          <w:color w:val="auto"/>
        </w:rPr>
        <w:t xml:space="preserve"> has the meaning specified in Section 5(b).</w:t>
      </w:r>
    </w:p>
    <w:p>
      <w:pPr>
        <w:spacing w:after="0" w:line="34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4"/>
          </w:cols>
          <w:pgMar w:left="356" w:top="368" w:right="239" w:bottom="1440" w:gutter="0" w:footer="0" w:header="0"/>
        </w:sectPr>
      </w:pPr>
    </w:p>
    <w:bookmarkStart w:id="137" w:name="page138"/>
    <w:bookmarkEnd w:id="137"/>
    <w:p>
      <w:pPr>
        <w:ind w:right="560"/>
        <w:spacing w:after="0" w:line="277" w:lineRule="auto"/>
        <w:rPr>
          <w:sz w:val="20"/>
          <w:szCs w:val="20"/>
          <w:color w:val="auto"/>
        </w:rPr>
      </w:pPr>
      <w:r>
        <w:rPr>
          <w:rFonts w:ascii="Arial" w:cs="Arial" w:eastAsia="Arial" w:hAnsi="Arial"/>
          <w:sz w:val="18"/>
          <w:szCs w:val="18"/>
          <w:b w:val="1"/>
          <w:bCs w:val="1"/>
          <w:i w:val="1"/>
          <w:iCs w:val="1"/>
          <w:color w:val="auto"/>
        </w:rPr>
        <w:t xml:space="preserve">“General Business Day” </w:t>
      </w:r>
      <w:r>
        <w:rPr>
          <w:rFonts w:ascii="Arial" w:cs="Arial" w:eastAsia="Arial" w:hAnsi="Arial"/>
          <w:sz w:val="18"/>
          <w:szCs w:val="18"/>
          <w:color w:val="auto"/>
        </w:rPr>
        <w:t>means a day on which commercial banks are open for general business (including dealings in foreign exchange and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“Illegality” </w:t>
      </w:r>
      <w:r>
        <w:rPr>
          <w:rFonts w:ascii="Arial" w:cs="Arial" w:eastAsia="Arial" w:hAnsi="Arial"/>
          <w:sz w:val="18"/>
          <w:szCs w:val="18"/>
          <w:color w:val="auto"/>
        </w:rPr>
        <w:t>has the meaning specified in Section 5(b).</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“Indemnifiable Tax” </w:t>
      </w:r>
      <w:r>
        <w:rPr>
          <w:rFonts w:ascii="Arial" w:cs="Arial" w:eastAsia="Arial" w:hAnsi="Arial"/>
          <w:sz w:val="16"/>
          <w:szCs w:val="16"/>
          <w:color w:val="auto"/>
        </w:rPr>
        <w:t>means any Tax other than a Tax that would not be imposed in respect of a payment under this Agreement but for a present or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between the jurisdiction of the government or taxation authority imposing such Tax and the recipient of such payment or a person related to such recipient (including, without limitation, a connection arising from such recipient or related person being or having been a citizen or resident of such jurisdiction, or being or having been organised, present or engaged in a trade or business in such jurisdiction, or having or having had a permanent establishment or fixed place of business in such jurisdiction, but excluding a connection arising solely from such recipient or related person having executed, delivered, performed its obligations or received a payment under, or enforced, this Agreement or a Credit Support Document).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includes any treaty, law, rule or regulation (as modified, in the case of tax matters, by the practice of any relevant governmental revenue authority),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i w:val="1"/>
          <w:iCs w:val="1"/>
          <w:color w:val="auto"/>
        </w:rPr>
        <w:t>“unlawful”</w:t>
      </w:r>
      <w:r>
        <w:rPr>
          <w:rFonts w:ascii="Arial" w:cs="Arial" w:eastAsia="Arial" w:hAnsi="Arial"/>
          <w:sz w:val="18"/>
          <w:szCs w:val="18"/>
          <w:color w:val="auto"/>
        </w:rPr>
        <w:t xml:space="preserve"> will be construed accordingly.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“Local Business Day” </w:t>
      </w:r>
      <w:r>
        <w:rPr>
          <w:rFonts w:ascii="Arial" w:cs="Arial" w:eastAsia="Arial" w:hAnsi="Arial"/>
          <w:sz w:val="16"/>
          <w:szCs w:val="16"/>
          <w:color w:val="auto"/>
        </w:rPr>
        <w:t>means (a) in relation to any obligation under Section 2(a)(i), a General Business Day in the place or places specified in the relevant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Confirmation and a day on which a relevant settlement system is open or operating as specified in the relevant Confirmation or, if a place or a settlement system is not so specified, as otherwise agreed by the parties in writing or determined pursuant to provisions contained, or incorporated by reference, in this Agreement, (b) for the purpose of determining when a Waiting Period expires, a General Business Day in the place where the event or circumstance that constitutes or gives rise to the Illegality or Force Majeure Event, as the case may be, occurs, (c) in relation to any other payment, a General Business Day in the place where the relevant account is located and, if different, in the principal financial centre, if any, of the currency of such payment and, if that currency does not have a single recognised principal financial centre, a day on which the settlement system necessary to accomplish such payment is open, (d) in relation to any notice or other communication, including notice contemplated under Section 5(a)(i), a General Business Day (or a day that would have been a General Business Day but for the occurrence of an event or circumstance which would, if it occurred with respect to payment, delivery or compliance related to a Transaction, constitute or give rise to an Illegality or a Force Majeure Event) in the place specified in the address for notice provided by the recipient and, in the case of a notice contemplated by Section 2(b), in the place where the relevant new account is to be located and (e) in relation to Section 5(a)(v)(2), a General Business Day in the relevant locations for performance with respect to such Specified Transaction.</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“Local Delivery Day” </w:t>
      </w:r>
      <w:r>
        <w:rPr>
          <w:rFonts w:ascii="Arial" w:cs="Arial" w:eastAsia="Arial" w:hAnsi="Arial"/>
          <w:sz w:val="16"/>
          <w:szCs w:val="16"/>
          <w:color w:val="auto"/>
        </w:rPr>
        <w:t>means, for purposes of Sections 5(a)(i) and 5(d), a day on which settlement systems necessary to accomplish the relevant delivery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open for business so that the delivery is capable of being accomplished in accordance with customary market practice, in the place specified in the relevant Confirmation or, if not so specified, in a location as determined in accordance with customary market practice for the relevant delivery.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“Master Agreement” </w:t>
      </w:r>
      <w:r>
        <w:rPr>
          <w:rFonts w:ascii="Arial" w:cs="Arial" w:eastAsia="Arial" w:hAnsi="Arial"/>
          <w:sz w:val="18"/>
          <w:szCs w:val="18"/>
          <w:color w:val="auto"/>
        </w:rPr>
        <w:t>has the meaning specified in the preamble.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“Merger Without Assumption” </w:t>
      </w:r>
      <w:r>
        <w:rPr>
          <w:rFonts w:ascii="Arial" w:cs="Arial" w:eastAsia="Arial" w:hAnsi="Arial"/>
          <w:sz w:val="16"/>
          <w:szCs w:val="16"/>
          <w:color w:val="auto"/>
        </w:rPr>
        <w:t>means the event specified in Section 5(a)(viii).</w:t>
      </w:r>
      <w:r>
        <w:rPr>
          <w:rFonts w:ascii="Arial" w:cs="Arial" w:eastAsia="Arial" w:hAnsi="Arial"/>
          <w:sz w:val="16"/>
          <w:szCs w:val="16"/>
          <w:b w:val="1"/>
          <w:bCs w:val="1"/>
          <w:i w:val="1"/>
          <w:iCs w:val="1"/>
          <w:color w:val="auto"/>
        </w:rPr>
        <w:t xml:space="preserve"> “Multiple Transaction Payment Netting” </w:t>
      </w:r>
      <w:r>
        <w:rPr>
          <w:rFonts w:ascii="Arial" w:cs="Arial" w:eastAsia="Arial" w:hAnsi="Arial"/>
          <w:sz w:val="16"/>
          <w:szCs w:val="16"/>
          <w:color w:val="auto"/>
        </w:rPr>
        <w:t>has the meaning specified 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2(c). </w:t>
      </w:r>
      <w:r>
        <w:rPr>
          <w:rFonts w:ascii="Arial" w:cs="Arial" w:eastAsia="Arial" w:hAnsi="Arial"/>
          <w:sz w:val="18"/>
          <w:szCs w:val="18"/>
          <w:b w:val="1"/>
          <w:bCs w:val="1"/>
          <w:i w:val="1"/>
          <w:iCs w:val="1"/>
          <w:color w:val="auto"/>
        </w:rPr>
        <w:t>“Non-affected Party”</w:t>
      </w:r>
      <w:r>
        <w:rPr>
          <w:rFonts w:ascii="Arial" w:cs="Arial" w:eastAsia="Arial" w:hAnsi="Arial"/>
          <w:sz w:val="18"/>
          <w:szCs w:val="18"/>
          <w:color w:val="auto"/>
        </w:rPr>
        <w:t xml:space="preserve"> means, so long as there is only one Affected Party, the other party.</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“Non-default Rate” </w:t>
      </w:r>
      <w:r>
        <w:rPr>
          <w:rFonts w:ascii="Arial" w:cs="Arial" w:eastAsia="Arial" w:hAnsi="Arial"/>
          <w:sz w:val="18"/>
          <w:szCs w:val="18"/>
          <w:color w:val="auto"/>
        </w:rPr>
        <w:t>means the rate certified by the Non-defaulting Party to be a rate offered to the Non-defaulting Party by a major bank in a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interbank market for overnight deposits in the applicable currency, such bank to be selected in good faith by the Non-defaulting Party for the purpose of obtaining a representative rate that will reasonably reflect conditions prevailing at the time in that relevant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“Non-defaulting Party” </w:t>
      </w:r>
      <w:r>
        <w:rPr>
          <w:rFonts w:ascii="Arial" w:cs="Arial" w:eastAsia="Arial" w:hAnsi="Arial"/>
          <w:sz w:val="18"/>
          <w:szCs w:val="18"/>
          <w:color w:val="auto"/>
        </w:rPr>
        <w:t>has the meaning specified in Section 6(a).</w:t>
      </w: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360" w:top="36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 xml:space="preserve">“Office” </w:t>
      </w:r>
      <w:r>
        <w:rPr>
          <w:rFonts w:ascii="Arial" w:cs="Arial" w:eastAsia="Arial" w:hAnsi="Arial"/>
          <w:sz w:val="18"/>
          <w:szCs w:val="18"/>
          <w:color w:val="auto"/>
        </w:rPr>
        <w:t>means a branch or office of a party, which may be such party’s head or home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Amounts” </w:t>
      </w:r>
      <w:r>
        <w:rPr>
          <w:rFonts w:ascii="Arial" w:cs="Arial" w:eastAsia="Arial" w:hAnsi="Arial"/>
          <w:sz w:val="18"/>
          <w:szCs w:val="18"/>
          <w:color w:val="auto"/>
        </w:rPr>
        <w:t>has the meaning specified in Section 6(f).</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“Payee” </w:t>
      </w:r>
      <w:r>
        <w:rPr>
          <w:rFonts w:ascii="Arial" w:cs="Arial" w:eastAsia="Arial" w:hAnsi="Arial"/>
          <w:sz w:val="18"/>
          <w:szCs w:val="18"/>
          <w:color w:val="auto"/>
        </w:rPr>
        <w:t>has the meaning specified in Section 6(f).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“Payer” </w:t>
      </w:r>
      <w:r>
        <w:rPr>
          <w:rFonts w:ascii="Arial" w:cs="Arial" w:eastAsia="Arial" w:hAnsi="Arial"/>
          <w:sz w:val="18"/>
          <w:szCs w:val="18"/>
          <w:color w:val="auto"/>
        </w:rPr>
        <w:t>has the meaning specified in Section 6(f).</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“Potential Event of Default” </w:t>
      </w:r>
      <w:r>
        <w:rPr>
          <w:rFonts w:ascii="Arial" w:cs="Arial" w:eastAsia="Arial" w:hAnsi="Arial"/>
          <w:sz w:val="17"/>
          <w:szCs w:val="17"/>
          <w:color w:val="auto"/>
        </w:rPr>
        <w:t>means any event which, with the giving of notice or the lapse of time or both, would constitute an Event of Default.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“Proceedings” </w:t>
      </w:r>
      <w:r>
        <w:rPr>
          <w:rFonts w:ascii="Arial" w:cs="Arial" w:eastAsia="Arial" w:hAnsi="Arial"/>
          <w:sz w:val="18"/>
          <w:szCs w:val="18"/>
          <w:color w:val="auto"/>
        </w:rPr>
        <w:t>has the meaning specified in Section 13(b).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“Process Agent” </w:t>
      </w:r>
      <w:r>
        <w:rPr>
          <w:rFonts w:ascii="Arial" w:cs="Arial" w:eastAsia="Arial" w:hAnsi="Arial"/>
          <w:sz w:val="18"/>
          <w:szCs w:val="18"/>
          <w:color w:val="auto"/>
        </w:rPr>
        <w:t>has the meaning specified in the Schedule.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“rate of exchange” </w:t>
      </w:r>
      <w:r>
        <w:rPr>
          <w:rFonts w:ascii="Arial" w:cs="Arial" w:eastAsia="Arial" w:hAnsi="Arial"/>
          <w:sz w:val="18"/>
          <w:szCs w:val="18"/>
          <w:color w:val="auto"/>
        </w:rPr>
        <w:t>includes, without limitation, any premiums and costs of exchange payable in connection with the purchase of or conversion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Currency.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“Relevant Jurisdiction” </w:t>
      </w:r>
      <w:r>
        <w:rPr>
          <w:rFonts w:ascii="Arial" w:cs="Arial" w:eastAsia="Arial" w:hAnsi="Arial"/>
          <w:sz w:val="18"/>
          <w:szCs w:val="18"/>
          <w:color w:val="auto"/>
        </w:rPr>
        <w:t>means, with respect to a party, the jurisdictions (a) in which the party is incorporated, organised, managed and controlled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to have its seat, (b) where an Office through which the party is acting for purposes of this Agreement is located, (c) in which the party executes this Agreement and (d) in relation to any payment, from or through which such payment is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“Schedule” </w:t>
      </w:r>
      <w:r>
        <w:rPr>
          <w:rFonts w:ascii="Arial" w:cs="Arial" w:eastAsia="Arial" w:hAnsi="Arial"/>
          <w:sz w:val="18"/>
          <w:szCs w:val="18"/>
          <w:color w:val="auto"/>
        </w:rPr>
        <w:t>has the meaning specified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“Scheduled Settlement Date” </w:t>
      </w:r>
      <w:r>
        <w:rPr>
          <w:rFonts w:ascii="Arial" w:cs="Arial" w:eastAsia="Arial" w:hAnsi="Arial"/>
          <w:sz w:val="17"/>
          <w:szCs w:val="17"/>
          <w:color w:val="auto"/>
        </w:rPr>
        <w:t>means a date on which a payment or delivery is to be made under Section 2(a)(i) with respect to a Transaction.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“Specified Entity” </w:t>
      </w:r>
      <w:r>
        <w:rPr>
          <w:rFonts w:ascii="Arial" w:cs="Arial" w:eastAsia="Arial" w:hAnsi="Arial"/>
          <w:sz w:val="18"/>
          <w:szCs w:val="18"/>
          <w:color w:val="auto"/>
        </w:rPr>
        <w:t>has the meaning specified in the Schedule.</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 xml:space="preserve">“Specified Indebtedness” </w:t>
      </w:r>
      <w:r>
        <w:rPr>
          <w:rFonts w:ascii="Arial" w:cs="Arial" w:eastAsia="Arial" w:hAnsi="Arial"/>
          <w:sz w:val="18"/>
          <w:szCs w:val="18"/>
          <w:color w:val="auto"/>
        </w:rPr>
        <w:t>means, subject to the Schedule, any obligation (whether present or future, contingent or otherwise, as principal or surety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in respect of borrowed money.</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“Specified Transaction” </w:t>
      </w:r>
      <w:r>
        <w:rPr>
          <w:rFonts w:ascii="Arial" w:cs="Arial" w:eastAsia="Arial" w:hAnsi="Arial"/>
          <w:sz w:val="17"/>
          <w:szCs w:val="17"/>
          <w:color w:val="auto"/>
        </w:rPr>
        <w:t>means, subject to the Schedule, (a) any transaction (including an agreement with respect to any such transaction) now existing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hereafter entered into between one party to this Agreement (or any Credit Support Provider of such party or any applicable Specified Entity of such party) and the other party to this Agreement (or any Credit Support Provider of such other party or any applicable Specified Entity of such other party) which is not a Transaction under this Agreement but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(b) any combination of these transactions and (c) any other transaction identified as a Specified Transaction in this Agreement or the relevant confirmation.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“Stamp Tax” </w:t>
      </w:r>
      <w:r>
        <w:rPr>
          <w:rFonts w:ascii="Arial" w:cs="Arial" w:eastAsia="Arial" w:hAnsi="Arial"/>
          <w:sz w:val="18"/>
          <w:szCs w:val="18"/>
          <w:color w:val="auto"/>
        </w:rPr>
        <w:t>means any stamp, registration, documentation or similar tax.</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360" w:top="368"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 xml:space="preserve">“Stamp Tax Jurisdiction” </w:t>
      </w:r>
      <w:r>
        <w:rPr>
          <w:rFonts w:ascii="Arial" w:cs="Arial" w:eastAsia="Arial" w:hAnsi="Arial"/>
          <w:sz w:val="18"/>
          <w:szCs w:val="18"/>
          <w:color w:val="auto"/>
        </w:rPr>
        <w:t>has the meaning specified in Section 4(e).</w:t>
      </w:r>
    </w:p>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means any present or future tax, levy, impost, duty, charge, assessment or fee of any nature (including interest, penalties and additions thereto)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imposed by any government or other taxing authority in respect of any payment under this Agreement other than a stamp, registration, documentation or similar tax.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w:t>
      </w:r>
      <w:r>
        <w:rPr>
          <w:rFonts w:ascii="Arial" w:cs="Arial" w:eastAsia="Arial" w:hAnsi="Arial"/>
          <w:sz w:val="18"/>
          <w:szCs w:val="18"/>
          <w:color w:val="auto"/>
        </w:rPr>
        <w:t>has the meaning specified in Section 5(b).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Upon Merger” </w:t>
      </w:r>
      <w:r>
        <w:rPr>
          <w:rFonts w:ascii="Arial" w:cs="Arial" w:eastAsia="Arial" w:hAnsi="Arial"/>
          <w:sz w:val="18"/>
          <w:szCs w:val="18"/>
          <w:color w:val="auto"/>
        </w:rPr>
        <w:t>has the meaning specified in Section 5(b).</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“Terminated Transactions” </w:t>
      </w:r>
      <w:r>
        <w:rPr>
          <w:rFonts w:ascii="Arial" w:cs="Arial" w:eastAsia="Arial" w:hAnsi="Arial"/>
          <w:sz w:val="18"/>
          <w:szCs w:val="18"/>
          <w:color w:val="auto"/>
        </w:rPr>
        <w:t>means, with respect to any Early Termination Date, (a) if resulting from an Illegality or a Force Majeure Event, all Affected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specified in the notice given pursuant to Section 6(b)(iv), (b) if resulting from any other Termination Event, all Affected Transactions and (c) if resulting from an Event of Default, all Transactions in effect either immediately before the effectiveness of the notice designating that Early Termination Date or, if Automatic Early Termination applies, immediately before that Early Termination Date.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“Termination Currency” </w:t>
      </w:r>
      <w:r>
        <w:rPr>
          <w:rFonts w:ascii="Arial" w:cs="Arial" w:eastAsia="Arial" w:hAnsi="Arial"/>
          <w:sz w:val="18"/>
          <w:szCs w:val="18"/>
          <w:color w:val="auto"/>
        </w:rPr>
        <w:t>means (a) if a Termination Currency is specified in the Schedule and that currency is freely available, that currency, and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euro if this Agreement is expressed to be governed by English law or United States Dollars if this Agreement is expressed to be governed by the laws of the State of New York.</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“Termination Currency Equivalent” </w:t>
      </w:r>
      <w:r>
        <w:rPr>
          <w:rFonts w:ascii="Arial" w:cs="Arial" w:eastAsia="Arial" w:hAnsi="Arial"/>
          <w:sz w:val="16"/>
          <w:szCs w:val="16"/>
          <w:color w:val="auto"/>
        </w:rPr>
        <w:t>means, in respect of any amount denominated in the Termination Currency, such Termination Currency amount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any amount denominated in a currency other than the Termination Currency (the “Other Currency”), the amount in the Termination Currency determined by the party making the relevant determination as being required to purchase such amount of such Other Currency as at the relevant Early Termination Date, or, if the relevant Close-out Amount is determined as of a later date, that later date, with the Termination Currency at the rate equal to the spot exchange rate of the foreign exchange agent (selected as provided below) for the purchase of such Other Currency with the Termination Currency at or about 11:00 a.m. (in the city in which such foreign exchange agent is located) on such date as would be customary for the determination of such a rate for the purchase of such Other Currency for value on the relevant Early Termination Date or that later date. The foreign exchange agent will, if only one party is obliged to make a determination under Section 6(e), be selected in good faith by that party and otherwise will be agreed by the parties.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“Termination Event” </w:t>
      </w:r>
      <w:r>
        <w:rPr>
          <w:rFonts w:ascii="Arial" w:cs="Arial" w:eastAsia="Arial" w:hAnsi="Arial"/>
          <w:sz w:val="18"/>
          <w:szCs w:val="18"/>
          <w:color w:val="auto"/>
        </w:rPr>
        <w:t>means an Illegality, a Force Majeure Event, a Tax Event, a Tax Event Upon Merger or, if specified to be applicable, a Credit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Merger or an Additional Termination Event.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“Termination Rate” </w:t>
      </w:r>
      <w:r>
        <w:rPr>
          <w:rFonts w:ascii="Arial" w:cs="Arial" w:eastAsia="Arial" w:hAnsi="Arial"/>
          <w:sz w:val="18"/>
          <w:szCs w:val="18"/>
          <w:color w:val="auto"/>
        </w:rPr>
        <w:t>means a rate per annum equal to the arithmetic mean of the cost (without proof or evidence of any actual cost) to each party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by such party) if it were to fund or of funding such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“Threshold Amount” </w:t>
      </w:r>
      <w:r>
        <w:rPr>
          <w:rFonts w:ascii="Arial" w:cs="Arial" w:eastAsia="Arial" w:hAnsi="Arial"/>
          <w:sz w:val="18"/>
          <w:szCs w:val="18"/>
          <w:color w:val="auto"/>
        </w:rPr>
        <w:t>means the amount, if any, specified as such in the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“Transaction” </w:t>
      </w:r>
      <w:r>
        <w:rPr>
          <w:rFonts w:ascii="Arial" w:cs="Arial" w:eastAsia="Arial" w:hAnsi="Arial"/>
          <w:sz w:val="18"/>
          <w:szCs w:val="18"/>
          <w:color w:val="auto"/>
        </w:rPr>
        <w:t>has the meaning specified in the preamble.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“Unpaid Amounts” </w:t>
      </w:r>
      <w:r>
        <w:rPr>
          <w:rFonts w:ascii="Arial" w:cs="Arial" w:eastAsia="Arial" w:hAnsi="Arial"/>
          <w:sz w:val="18"/>
          <w:szCs w:val="18"/>
          <w:color w:val="auto"/>
        </w:rPr>
        <w:t>owing to any party means, with respect to an Early Termination Date, the aggregate of (a) in respect of all Terminated Transactions,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that became payable (or that would have become payable but for Section 2(a)(iii) or due but for Section 5(d)) to such party under Section 2(a)(i) or 2(d)(i)(4) on or prior to such Early Termination Date and which remain unpaid as at such Early Termination Date, (b) in respect of each Terminated Transaction, for each obligation under Section 2(a)(i) which was (or would have been but for Section 2(a)(iii) or 5(d)) required to be settled by delivery to such party on or prior to such Early Termination Date and which has not been so settled as at such Early Termination Date, an amount equal to the fair market value of that which was (or would have been) required to be delivered and (c) if the Early Termination Date results from an Event of Default, a Credit Event Upon Merger or an Additional Termination Event in respect of which all outstanding Transactions are Affected Transactions, any Early Termination Amount due prior to such Early Termination Date and which remains unpaid as of such Early Termination Date, in each case together with any amount of interest accrued or other</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360" w:top="368" w:right="239" w:bottom="1440" w:gutter="0" w:footer="0" w:header="0"/>
        </w:sectPr>
      </w:pPr>
    </w:p>
    <w:bookmarkStart w:id="140" w:name="page141"/>
    <w:bookmarkEnd w:id="140"/>
    <w:p>
      <w:pPr>
        <w:jc w:val="both"/>
        <w:ind w:left="4"/>
        <w:spacing w:after="0" w:line="259" w:lineRule="auto"/>
        <w:rPr>
          <w:sz w:val="20"/>
          <w:szCs w:val="20"/>
          <w:color w:val="auto"/>
        </w:rPr>
      </w:pPr>
      <w:r>
        <w:rPr>
          <w:rFonts w:ascii="Arial" w:cs="Arial" w:eastAsia="Arial" w:hAnsi="Arial"/>
          <w:sz w:val="18"/>
          <w:szCs w:val="18"/>
          <w:color w:val="auto"/>
        </w:rPr>
        <w:t>compensation in respect of that obligation or deferred obligation, as the case may be, pursuant to Section 9(h)(ii)(1) or (2), as appropriate. The fair market value of any obligation referred to in clause (b) above will be determined as of the originally scheduled date for delivery, in good faith and using commercially reasonable procedures, by the party obliged to make the determination under Section 6(e) or, if each party is so obliged, it will be the average of the Termination Currency Equivalents of the fair market values so determined by both parties.</w:t>
      </w:r>
    </w:p>
    <w:p>
      <w:pPr>
        <w:spacing w:after="0" w:line="200" w:lineRule="exact"/>
        <w:rPr>
          <w:sz w:val="20"/>
          <w:szCs w:val="20"/>
          <w:color w:val="auto"/>
        </w:rPr>
      </w:pPr>
    </w:p>
    <w:p>
      <w:pPr>
        <w:ind w:left="24"/>
        <w:spacing w:after="0"/>
        <w:rPr>
          <w:sz w:val="20"/>
          <w:szCs w:val="20"/>
          <w:color w:val="auto"/>
        </w:rPr>
      </w:pPr>
      <w:r>
        <w:rPr>
          <w:rFonts w:ascii="Arial" w:cs="Arial" w:eastAsia="Arial" w:hAnsi="Arial"/>
          <w:sz w:val="18"/>
          <w:szCs w:val="18"/>
          <w:b w:val="1"/>
          <w:bCs w:val="1"/>
          <w:i w:val="1"/>
          <w:iCs w:val="1"/>
          <w:color w:val="auto"/>
        </w:rPr>
        <w:t xml:space="preserve">“Waiting Period” </w:t>
      </w:r>
      <w:r>
        <w:rPr>
          <w:rFonts w:ascii="Arial" w:cs="Arial" w:eastAsia="Arial" w:hAnsi="Arial"/>
          <w:sz w:val="18"/>
          <w:szCs w:val="18"/>
          <w:color w:val="auto"/>
        </w:rPr>
        <w:t>means:―</w:t>
      </w:r>
    </w:p>
    <w:p>
      <w:pPr>
        <w:spacing w:after="0" w:line="266" w:lineRule="exact"/>
        <w:rPr>
          <w:sz w:val="20"/>
          <w:szCs w:val="20"/>
          <w:color w:val="auto"/>
        </w:rPr>
      </w:pPr>
    </w:p>
    <w:p>
      <w:pPr>
        <w:jc w:val="both"/>
        <w:ind w:left="4" w:hanging="4"/>
        <w:spacing w:after="0" w:line="364" w:lineRule="auto"/>
        <w:tabs>
          <w:tab w:leader="none" w:pos="82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respect of an event or circumstance under Section 5(b)(i), other than in the case of Section 5(b)(i)(2) where the relevant payment, delivery or compliance is actually required on the relevant day (in which case no Waiting Period will apply), a period of three Local Business Days (or days that would have been Local Business Days but for the occurrence of that event or circumstance) following the occurrence of that event or circumstance; and</w:t>
      </w:r>
    </w:p>
    <w:p>
      <w:pPr>
        <w:spacing w:after="0" w:line="148" w:lineRule="exact"/>
        <w:rPr>
          <w:rFonts w:ascii="Arial" w:cs="Arial" w:eastAsia="Arial" w:hAnsi="Arial"/>
          <w:sz w:val="16"/>
          <w:szCs w:val="16"/>
          <w:color w:val="auto"/>
        </w:rPr>
      </w:pPr>
    </w:p>
    <w:p>
      <w:pPr>
        <w:jc w:val="both"/>
        <w:ind w:left="4" w:hanging="4"/>
        <w:spacing w:after="0" w:line="364" w:lineRule="auto"/>
        <w:tabs>
          <w:tab w:leader="none" w:pos="83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respect of an event or circumstance under Section 5(b)(ii), other than in the case of Section 5(b)(ii)(2) where the relevant payment, delivery or compliance is actually required on the relevant day (in which case no Waiting Period will apply), a period of eight Local Business Days (or days that would have been Local Business Days but for the occurrence of that event or circumstance) following the occurrence of that event or circumstance.</w:t>
      </w:r>
    </w:p>
    <w:p>
      <w:pPr>
        <w:spacing w:after="0" w:line="122"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WITNESS WHEREOF the parties have executed this document on the respective dates specified below with effect from the date specified on the first page of this document.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080" w:type="dxa"/>
            <w:vAlign w:val="bottom"/>
            <w:gridSpan w:val="4"/>
          </w:tcPr>
          <w:p>
            <w:pPr>
              <w:ind w:left="340"/>
              <w:spacing w:after="0"/>
              <w:rPr>
                <w:sz w:val="20"/>
                <w:szCs w:val="20"/>
                <w:color w:val="auto"/>
              </w:rPr>
            </w:pPr>
            <w:r>
              <w:rPr>
                <w:rFonts w:ascii="Arial" w:cs="Arial" w:eastAsia="Arial" w:hAnsi="Arial"/>
                <w:sz w:val="20"/>
                <w:szCs w:val="20"/>
                <w:b w:val="1"/>
                <w:bCs w:val="1"/>
                <w:color w:val="auto"/>
                <w:w w:val="99"/>
              </w:rPr>
              <w:t>SUNTRUST BANK</w:t>
            </w:r>
          </w:p>
        </w:tc>
        <w:tc>
          <w:tcPr>
            <w:tcW w:w="1260" w:type="dxa"/>
            <w:vAlign w:val="bottom"/>
          </w:tcPr>
          <w:p>
            <w:pPr>
              <w:spacing w:after="0"/>
              <w:rPr>
                <w:sz w:val="20"/>
                <w:szCs w:val="20"/>
                <w:color w:val="auto"/>
              </w:rPr>
            </w:pPr>
          </w:p>
        </w:tc>
        <w:tc>
          <w:tcPr>
            <w:tcW w:w="4220" w:type="dxa"/>
            <w:vAlign w:val="bottom"/>
          </w:tcPr>
          <w:p>
            <w:pPr>
              <w:jc w:val="right"/>
              <w:spacing w:after="0"/>
              <w:rPr>
                <w:sz w:val="20"/>
                <w:szCs w:val="20"/>
                <w:color w:val="auto"/>
              </w:rPr>
            </w:pPr>
            <w:r>
              <w:rPr>
                <w:rFonts w:ascii="Arial" w:cs="Arial" w:eastAsia="Arial" w:hAnsi="Arial"/>
                <w:sz w:val="20"/>
                <w:szCs w:val="20"/>
                <w:b w:val="1"/>
                <w:bCs w:val="1"/>
                <w:color w:val="auto"/>
              </w:rPr>
              <w:t>CROSS COUNTRY HEALTHCARE, INC.</w:t>
            </w:r>
          </w:p>
        </w:tc>
      </w:tr>
      <w:tr>
        <w:trPr>
          <w:trHeight w:val="216"/>
        </w:trPr>
        <w:tc>
          <w:tcPr>
            <w:tcW w:w="1320" w:type="dxa"/>
            <w:vAlign w:val="bottom"/>
            <w:gridSpan w:val="2"/>
          </w:tcPr>
          <w:p>
            <w:pPr>
              <w:spacing w:after="0"/>
              <w:rPr>
                <w:sz w:val="20"/>
                <w:szCs w:val="20"/>
                <w:color w:val="auto"/>
              </w:rPr>
            </w:pPr>
            <w:r>
              <w:rPr>
                <w:rFonts w:ascii="Arial" w:cs="Arial" w:eastAsia="Arial" w:hAnsi="Arial"/>
                <w:sz w:val="7"/>
                <w:szCs w:val="7"/>
                <w:color w:val="auto"/>
                <w:w w:val="79"/>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20" w:type="dxa"/>
            <w:vAlign w:val="bottom"/>
          </w:tcPr>
          <w:p>
            <w:pPr>
              <w:jc w:val="right"/>
              <w:ind w:right="805"/>
              <w:spacing w:after="0"/>
              <w:rPr>
                <w:sz w:val="20"/>
                <w:szCs w:val="20"/>
                <w:color w:val="auto"/>
              </w:rPr>
            </w:pPr>
            <w:r>
              <w:rPr>
                <w:rFonts w:ascii="Arial" w:cs="Arial" w:eastAsia="Arial" w:hAnsi="Arial"/>
                <w:sz w:val="18"/>
                <w:szCs w:val="18"/>
                <w:color w:val="auto"/>
              </w:rPr>
              <w:t>(Name of Party)  (Name of Party)</w:t>
            </w:r>
          </w:p>
        </w:tc>
      </w:tr>
      <w:tr>
        <w:trPr>
          <w:trHeight w:val="837"/>
        </w:trPr>
        <w:tc>
          <w:tcPr>
            <w:tcW w:w="7760" w:type="dxa"/>
            <w:vAlign w:val="bottom"/>
            <w:gridSpan w:val="7"/>
          </w:tcPr>
          <w:p>
            <w:pPr>
              <w:spacing w:after="0"/>
              <w:rPr>
                <w:sz w:val="20"/>
                <w:szCs w:val="20"/>
                <w:color w:val="auto"/>
              </w:rPr>
            </w:pPr>
            <w:r>
              <w:rPr>
                <w:rFonts w:ascii="Arial" w:cs="Arial" w:eastAsia="Arial" w:hAnsi="Arial"/>
                <w:sz w:val="18"/>
                <w:szCs w:val="18"/>
                <w:color w:val="auto"/>
              </w:rPr>
              <w:t>By: /s/ Edgar Joya   By: /s/ Christopher R. Pizzi</w:t>
            </w:r>
          </w:p>
        </w:tc>
      </w:tr>
      <w:tr>
        <w:trPr>
          <w:trHeight w:val="20"/>
        </w:trPr>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45"/>
        </w:trPr>
        <w:tc>
          <w:tcPr>
            <w:tcW w:w="200" w:type="dxa"/>
            <w:vAlign w:val="bottom"/>
          </w:tcPr>
          <w:p>
            <w:pPr>
              <w:spacing w:after="0"/>
              <w:rPr>
                <w:sz w:val="24"/>
                <w:szCs w:val="24"/>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w w:val="99"/>
              </w:rPr>
              <w:t>Name: Edgar Joya</w:t>
            </w:r>
          </w:p>
        </w:tc>
        <w:tc>
          <w:tcPr>
            <w:tcW w:w="5880" w:type="dxa"/>
            <w:vAlign w:val="bottom"/>
            <w:gridSpan w:val="3"/>
          </w:tcPr>
          <w:p>
            <w:pPr>
              <w:jc w:val="right"/>
              <w:ind w:right="3745"/>
              <w:spacing w:after="0"/>
              <w:rPr>
                <w:sz w:val="20"/>
                <w:szCs w:val="20"/>
                <w:color w:val="auto"/>
              </w:rPr>
            </w:pPr>
            <w:r>
              <w:rPr>
                <w:rFonts w:ascii="Arial" w:cs="Arial" w:eastAsia="Arial" w:hAnsi="Arial"/>
                <w:sz w:val="18"/>
                <w:szCs w:val="18"/>
                <w:color w:val="auto"/>
                <w:w w:val="93"/>
              </w:rPr>
              <w:t>Name: Christopher R. Pizzi</w:t>
            </w:r>
          </w:p>
        </w:tc>
      </w:tr>
      <w:tr>
        <w:trPr>
          <w:trHeight w:val="324"/>
        </w:trPr>
        <w:tc>
          <w:tcPr>
            <w:tcW w:w="200" w:type="dxa"/>
            <w:vAlign w:val="bottom"/>
          </w:tcPr>
          <w:p>
            <w:pPr>
              <w:spacing w:after="0"/>
              <w:rPr>
                <w:sz w:val="24"/>
                <w:szCs w:val="24"/>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w w:val="92"/>
              </w:rPr>
              <w:t>Title: Vice President</w:t>
            </w:r>
          </w:p>
        </w:tc>
        <w:tc>
          <w:tcPr>
            <w:tcW w:w="5880" w:type="dxa"/>
            <w:vAlign w:val="bottom"/>
            <w:gridSpan w:val="3"/>
          </w:tcPr>
          <w:p>
            <w:pPr>
              <w:jc w:val="right"/>
              <w:ind w:right="3485"/>
              <w:spacing w:after="0"/>
              <w:rPr>
                <w:sz w:val="20"/>
                <w:szCs w:val="20"/>
                <w:color w:val="auto"/>
              </w:rPr>
            </w:pPr>
            <w:r>
              <w:rPr>
                <w:rFonts w:ascii="Arial" w:cs="Arial" w:eastAsia="Arial" w:hAnsi="Arial"/>
                <w:sz w:val="18"/>
                <w:szCs w:val="18"/>
                <w:color w:val="auto"/>
              </w:rPr>
              <w:t>Title: Chief Financial Officer</w:t>
            </w:r>
          </w:p>
        </w:tc>
      </w:tr>
      <w:tr>
        <w:trPr>
          <w:trHeight w:val="324"/>
        </w:trPr>
        <w:tc>
          <w:tcPr>
            <w:tcW w:w="200" w:type="dxa"/>
            <w:vAlign w:val="bottom"/>
          </w:tcPr>
          <w:p>
            <w:pPr>
              <w:spacing w:after="0"/>
              <w:rPr>
                <w:sz w:val="24"/>
                <w:szCs w:val="24"/>
                <w:color w:val="auto"/>
              </w:rPr>
            </w:pPr>
          </w:p>
        </w:tc>
        <w:tc>
          <w:tcPr>
            <w:tcW w:w="2080" w:type="dxa"/>
            <w:vAlign w:val="bottom"/>
            <w:gridSpan w:val="4"/>
          </w:tcPr>
          <w:p>
            <w:pPr>
              <w:ind w:left="180"/>
              <w:spacing w:after="0"/>
              <w:rPr>
                <w:sz w:val="20"/>
                <w:szCs w:val="20"/>
                <w:color w:val="auto"/>
              </w:rPr>
            </w:pPr>
            <w:r>
              <w:rPr>
                <w:rFonts w:ascii="Arial" w:cs="Arial" w:eastAsia="Arial" w:hAnsi="Arial"/>
                <w:sz w:val="18"/>
                <w:szCs w:val="18"/>
                <w:color w:val="auto"/>
                <w:w w:val="96"/>
              </w:rPr>
              <w:t>Date: February 21, 2018</w:t>
            </w:r>
          </w:p>
        </w:tc>
        <w:tc>
          <w:tcPr>
            <w:tcW w:w="5480" w:type="dxa"/>
            <w:vAlign w:val="bottom"/>
            <w:gridSpan w:val="2"/>
          </w:tcPr>
          <w:p>
            <w:pPr>
              <w:jc w:val="right"/>
              <w:ind w:right="3545"/>
              <w:spacing w:after="0"/>
              <w:rPr>
                <w:sz w:val="20"/>
                <w:szCs w:val="20"/>
                <w:color w:val="auto"/>
              </w:rPr>
            </w:pPr>
            <w:r>
              <w:rPr>
                <w:rFonts w:ascii="Arial" w:cs="Arial" w:eastAsia="Arial" w:hAnsi="Arial"/>
                <w:sz w:val="18"/>
                <w:szCs w:val="18"/>
                <w:color w:val="auto"/>
                <w:w w:val="93"/>
              </w:rPr>
              <w:t>Date: February 14,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4"/>
          </w:cols>
          <w:pgMar w:left="356" w:top="436" w:right="2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0"/>
          <w:szCs w:val="20"/>
          <w:b w:val="1"/>
          <w:bCs w:val="1"/>
          <w:color w:val="auto"/>
        </w:rPr>
        <w:t>SCHEDULE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2002 ISDA Master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dated as of February 14, 2018, between</w:t>
      </w:r>
    </w:p>
    <w:p>
      <w:pPr>
        <w:sectPr>
          <w:pgSz w:w="11900" w:h="16838" w:orient="portrait"/>
          <w:cols w:equalWidth="0" w:num="1">
            <w:col w:w="11420"/>
          </w:cols>
          <w:pgMar w:left="240" w:top="819"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left="920"/>
        <w:spacing w:after="0"/>
        <w:rPr>
          <w:sz w:val="20"/>
          <w:szCs w:val="20"/>
          <w:color w:val="auto"/>
        </w:rPr>
      </w:pPr>
      <w:r>
        <w:rPr>
          <w:rFonts w:ascii="Arial" w:cs="Arial" w:eastAsia="Arial" w:hAnsi="Arial"/>
          <w:sz w:val="19"/>
          <w:szCs w:val="19"/>
          <w:b w:val="1"/>
          <w:bCs w:val="1"/>
          <w:color w:val="auto"/>
        </w:rPr>
        <w:t>SUNTRUST BANK</w:t>
      </w:r>
    </w:p>
    <w:p>
      <w:pPr>
        <w:spacing w:after="0" w:line="33" w:lineRule="exact"/>
        <w:rPr>
          <w:sz w:val="20"/>
          <w:szCs w:val="20"/>
          <w:color w:val="auto"/>
        </w:rPr>
      </w:pPr>
    </w:p>
    <w:p>
      <w:pPr>
        <w:jc w:val="center"/>
        <w:ind w:left="920"/>
        <w:spacing w:after="0"/>
        <w:rPr>
          <w:sz w:val="20"/>
          <w:szCs w:val="20"/>
          <w:color w:val="auto"/>
        </w:rPr>
      </w:pPr>
      <w:r>
        <w:rPr>
          <w:rFonts w:ascii="Arial" w:cs="Arial" w:eastAsia="Arial" w:hAnsi="Arial"/>
          <w:sz w:val="20"/>
          <w:szCs w:val="20"/>
          <w:b w:val="1"/>
          <w:bCs w:val="1"/>
          <w:color w:val="auto"/>
        </w:rPr>
        <w:t>(“Party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center"/>
        <w:ind w:right="1560"/>
        <w:spacing w:after="0"/>
        <w:rPr>
          <w:sz w:val="20"/>
          <w:szCs w:val="20"/>
          <w:color w:val="auto"/>
        </w:rPr>
      </w:pPr>
      <w:r>
        <w:rPr>
          <w:rFonts w:ascii="Arial" w:cs="Arial" w:eastAsia="Arial" w:hAnsi="Arial"/>
          <w:sz w:val="19"/>
          <w:szCs w:val="19"/>
          <w:b w:val="1"/>
          <w:bCs w:val="1"/>
          <w:color w:val="auto"/>
        </w:rPr>
        <w:t>CROSS COUNTRY HEALTHCARE, INC.</w:t>
      </w:r>
    </w:p>
    <w:p>
      <w:pPr>
        <w:spacing w:after="0" w:line="33" w:lineRule="exact"/>
        <w:rPr>
          <w:sz w:val="20"/>
          <w:szCs w:val="20"/>
          <w:color w:val="auto"/>
        </w:rPr>
      </w:pPr>
    </w:p>
    <w:p>
      <w:pPr>
        <w:jc w:val="center"/>
        <w:ind w:right="1560"/>
        <w:spacing w:after="0"/>
        <w:rPr>
          <w:sz w:val="20"/>
          <w:szCs w:val="20"/>
          <w:color w:val="auto"/>
        </w:rPr>
      </w:pPr>
      <w:r>
        <w:rPr>
          <w:rFonts w:ascii="Arial" w:cs="Arial" w:eastAsia="Arial" w:hAnsi="Arial"/>
          <w:sz w:val="20"/>
          <w:szCs w:val="20"/>
          <w:b w:val="1"/>
          <w:bCs w:val="1"/>
          <w:color w:val="auto"/>
        </w:rPr>
        <w:t>(“Party B”)</w:t>
      </w:r>
    </w:p>
    <w:p>
      <w:pPr>
        <w:spacing w:after="0" w:line="200" w:lineRule="exact"/>
        <w:rPr>
          <w:sz w:val="20"/>
          <w:szCs w:val="20"/>
          <w:color w:val="auto"/>
        </w:rPr>
      </w:pPr>
    </w:p>
    <w:p>
      <w:pPr>
        <w:sectPr>
          <w:pgSz w:w="11900" w:h="16838" w:orient="portrait"/>
          <w:cols w:equalWidth="0" w:num="3">
            <w:col w:w="4640" w:space="720"/>
            <w:col w:w="280" w:space="560"/>
            <w:col w:w="5220"/>
          </w:cols>
          <w:pgMar w:left="240" w:top="819" w:right="2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1. Termination Provisions.</w:t>
      </w:r>
    </w:p>
    <w:p>
      <w:pPr>
        <w:spacing w:after="0" w:line="229" w:lineRule="exact"/>
        <w:rPr>
          <w:sz w:val="20"/>
          <w:szCs w:val="20"/>
          <w:color w:val="auto"/>
        </w:rPr>
      </w:pPr>
    </w:p>
    <w:p>
      <w:pPr>
        <w:ind w:left="500" w:hanging="492"/>
        <w:spacing w:after="0"/>
        <w:tabs>
          <w:tab w:leader="none" w:pos="500" w:val="left"/>
        </w:tabs>
        <w:numPr>
          <w:ilvl w:val="0"/>
          <w:numId w:val="146"/>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Specified Entity</w:t>
      </w:r>
      <w:r>
        <w:rPr>
          <w:rFonts w:ascii="Arial" w:cs="Arial" w:eastAsia="Arial" w:hAnsi="Arial"/>
          <w:sz w:val="20"/>
          <w:szCs w:val="20"/>
          <w:b w:val="1"/>
          <w:bCs w:val="1"/>
          <w:color w:val="auto"/>
        </w:rPr>
        <w:t xml:space="preserve">” </w:t>
      </w:r>
      <w:r>
        <w:rPr>
          <w:rFonts w:ascii="Arial" w:cs="Arial" w:eastAsia="Arial" w:hAnsi="Arial"/>
          <w:sz w:val="20"/>
          <w:szCs w:val="20"/>
          <w:color w:val="auto"/>
        </w:rPr>
        <w:t>means in relation to Party A for the purposes of:</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5(a)(v), none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5(a)(vi), none</w:t>
      </w:r>
    </w:p>
    <w:p>
      <w:pPr>
        <w:ind w:left="660"/>
        <w:spacing w:after="0"/>
        <w:rPr>
          <w:sz w:val="20"/>
          <w:szCs w:val="20"/>
          <w:color w:val="auto"/>
        </w:rPr>
      </w:pPr>
      <w:r>
        <w:rPr>
          <w:rFonts w:ascii="Arial" w:cs="Arial" w:eastAsia="Arial" w:hAnsi="Arial"/>
          <w:sz w:val="20"/>
          <w:szCs w:val="20"/>
          <w:color w:val="auto"/>
        </w:rPr>
        <w:t>Section 5(a)(vii), none</w:t>
      </w:r>
    </w:p>
    <w:p>
      <w:pPr>
        <w:ind w:left="660"/>
        <w:spacing w:after="0"/>
        <w:rPr>
          <w:sz w:val="20"/>
          <w:szCs w:val="20"/>
          <w:color w:val="auto"/>
        </w:rPr>
      </w:pPr>
      <w:r>
        <w:rPr>
          <w:rFonts w:ascii="Arial" w:cs="Arial" w:eastAsia="Arial" w:hAnsi="Arial"/>
          <w:sz w:val="20"/>
          <w:szCs w:val="20"/>
          <w:color w:val="auto"/>
        </w:rPr>
        <w:t>Section 5(b)(v), none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in relation to Party B for purposes of:</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5(a)(v), any affiliated Credit Support Provider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5(a)(vi), any affiliated Credit Support Provider</w:t>
      </w:r>
    </w:p>
    <w:p>
      <w:pPr>
        <w:ind w:left="660"/>
        <w:spacing w:after="0"/>
        <w:rPr>
          <w:sz w:val="20"/>
          <w:szCs w:val="20"/>
          <w:color w:val="auto"/>
        </w:rPr>
      </w:pPr>
      <w:r>
        <w:rPr>
          <w:rFonts w:ascii="Arial" w:cs="Arial" w:eastAsia="Arial" w:hAnsi="Arial"/>
          <w:sz w:val="20"/>
          <w:szCs w:val="20"/>
          <w:color w:val="auto"/>
        </w:rPr>
        <w:t>Section 5(a)(vii), any affiliated Credit Support Provider</w:t>
      </w:r>
    </w:p>
    <w:p>
      <w:pPr>
        <w:ind w:left="660"/>
        <w:spacing w:after="0"/>
        <w:rPr>
          <w:sz w:val="20"/>
          <w:szCs w:val="20"/>
          <w:color w:val="auto"/>
        </w:rPr>
      </w:pPr>
      <w:r>
        <w:rPr>
          <w:rFonts w:ascii="Arial" w:cs="Arial" w:eastAsia="Arial" w:hAnsi="Arial"/>
          <w:sz w:val="20"/>
          <w:szCs w:val="20"/>
          <w:color w:val="auto"/>
        </w:rPr>
        <w:t>Section 5(b)(v), any affiliated Credit Support Provider</w:t>
      </w:r>
    </w:p>
    <w:p>
      <w:pPr>
        <w:spacing w:after="0" w:line="221" w:lineRule="exact"/>
        <w:rPr>
          <w:sz w:val="20"/>
          <w:szCs w:val="20"/>
          <w:color w:val="auto"/>
        </w:rPr>
      </w:pPr>
    </w:p>
    <w:p>
      <w:pPr>
        <w:jc w:val="both"/>
        <w:ind w:firstLine="8"/>
        <w:spacing w:after="0" w:line="276" w:lineRule="auto"/>
        <w:tabs>
          <w:tab w:leader="none" w:pos="717" w:val="left"/>
        </w:tabs>
        <w:numPr>
          <w:ilvl w:val="0"/>
          <w:numId w:val="147"/>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Specified Transaction</w:t>
      </w:r>
      <w:r>
        <w:rPr>
          <w:rFonts w:ascii="Arial" w:cs="Arial" w:eastAsia="Arial" w:hAnsi="Arial"/>
          <w:sz w:val="20"/>
          <w:szCs w:val="20"/>
          <w:b w:val="1"/>
          <w:bCs w:val="1"/>
          <w:color w:val="auto"/>
        </w:rPr>
        <w:t xml:space="preserve">” </w:t>
      </w:r>
      <w:r>
        <w:rPr>
          <w:rFonts w:ascii="Arial" w:cs="Arial" w:eastAsia="Arial" w:hAnsi="Arial"/>
          <w:sz w:val="20"/>
          <w:szCs w:val="20"/>
          <w:color w:val="auto"/>
        </w:rPr>
        <w:t>will have the meaning specified in Section 14 of this Agreement as amended by deleting in subsection (a)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definition the words “…between one party to this Agreement (or any Credit Support Provider of such party or any applicable Specified Entity of such party) and the other party to this Agreement…” and replacing it with the following words: “… with the other party to this Agreement or any of the Affiliates of such party…”.</w:t>
      </w:r>
    </w:p>
    <w:p>
      <w:pPr>
        <w:spacing w:after="0" w:line="198" w:lineRule="exact"/>
        <w:rPr>
          <w:rFonts w:ascii="Arial" w:cs="Arial" w:eastAsia="Arial" w:hAnsi="Arial"/>
          <w:sz w:val="20"/>
          <w:szCs w:val="20"/>
          <w:color w:val="auto"/>
        </w:rPr>
      </w:pPr>
    </w:p>
    <w:p>
      <w:pPr>
        <w:ind w:firstLine="8"/>
        <w:spacing w:after="0" w:line="295" w:lineRule="auto"/>
        <w:tabs>
          <w:tab w:leader="none" w:pos="70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Cross-Default</w:t>
      </w:r>
      <w:r>
        <w:rPr>
          <w:rFonts w:ascii="Arial" w:cs="Arial" w:eastAsia="Arial" w:hAnsi="Arial"/>
          <w:sz w:val="20"/>
          <w:szCs w:val="20"/>
          <w:b w:val="1"/>
          <w:bCs w:val="1"/>
          <w:color w:val="auto"/>
        </w:rPr>
        <w:t>”</w:t>
      </w:r>
      <w:r>
        <w:rPr>
          <w:rFonts w:ascii="Arial" w:cs="Arial" w:eastAsia="Arial" w:hAnsi="Arial"/>
          <w:sz w:val="20"/>
          <w:szCs w:val="20"/>
          <w:color w:val="auto"/>
        </w:rPr>
        <w:t xml:space="preserve"> provisions of Section 5(a)(vi) of this Agreement, as modified below, will apply to Party A and will apply to Party B. Section 5(a)(vi) of the Agreement is hereby amended:</w:t>
      </w:r>
    </w:p>
    <w:p>
      <w:pPr>
        <w:spacing w:after="0" w:line="170" w:lineRule="exact"/>
        <w:rPr>
          <w:sz w:val="20"/>
          <w:szCs w:val="20"/>
          <w:color w:val="auto"/>
        </w:rPr>
      </w:pPr>
    </w:p>
    <w:p>
      <w:pPr>
        <w:ind w:left="1300" w:hanging="644"/>
        <w:spacing w:after="0"/>
        <w:tabs>
          <w:tab w:leader="none" w:pos="130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by the addition of the following at the end thereof:</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“provided, however, that notwithstanding the foregoing, an Event of Default shall exclude any default that results solely from wire transfer difficulties or an error or omission of an administrative or operational nature (so long as sufficient funds are available to the relevant party on the relevant date), but only if payment is made within three Business Days after such transfer difficulties have been corrected or the error or omission has been discovered.”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19" w:right="239" w:bottom="1440" w:gutter="0" w:footer="0" w:header="0"/>
          <w:type w:val="continuous"/>
        </w:sectPr>
      </w:pPr>
    </w:p>
    <w:bookmarkStart w:id="142" w:name="page143"/>
    <w:bookmarkEnd w:id="142"/>
    <w:p>
      <w:pPr>
        <w:ind w:right="20" w:firstLine="486"/>
        <w:spacing w:after="0" w:line="267"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Specified Indebtedness</w:t>
      </w:r>
      <w:r>
        <w:rPr>
          <w:rFonts w:ascii="Arial" w:cs="Arial" w:eastAsia="Arial" w:hAnsi="Arial"/>
          <w:sz w:val="20"/>
          <w:szCs w:val="20"/>
          <w:b w:val="1"/>
          <w:bCs w:val="1"/>
          <w:color w:val="auto"/>
        </w:rPr>
        <w:t xml:space="preserve">” </w:t>
      </w:r>
      <w:r>
        <w:rPr>
          <w:rFonts w:ascii="Arial" w:cs="Arial" w:eastAsia="Arial" w:hAnsi="Arial"/>
          <w:sz w:val="20"/>
          <w:szCs w:val="20"/>
          <w:color w:val="auto"/>
        </w:rPr>
        <w:t>will have the meaning specified in Section 14 of this Agreement, except that such term will not include</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in respect of deposits received in the ordinary course of a party’s banking business.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Threshold Amount</w:t>
      </w:r>
      <w:r>
        <w:rPr>
          <w:rFonts w:ascii="Arial" w:cs="Arial" w:eastAsia="Arial" w:hAnsi="Arial"/>
          <w:sz w:val="20"/>
          <w:szCs w:val="20"/>
          <w:b w:val="1"/>
          <w:bCs w:val="1"/>
          <w:color w:val="auto"/>
        </w:rPr>
        <w:t xml:space="preserve">” </w:t>
      </w:r>
      <w:r>
        <w:rPr>
          <w:rFonts w:ascii="Arial" w:cs="Arial" w:eastAsia="Arial" w:hAnsi="Arial"/>
          <w:sz w:val="20"/>
          <w:szCs w:val="20"/>
          <w:color w:val="auto"/>
        </w:rPr>
        <w:t>means:</w:t>
      </w:r>
    </w:p>
    <w:p>
      <w:pPr>
        <w:spacing w:after="0" w:line="235" w:lineRule="exact"/>
        <w:rPr>
          <w:sz w:val="20"/>
          <w:szCs w:val="20"/>
          <w:color w:val="auto"/>
        </w:rPr>
      </w:pPr>
    </w:p>
    <w:p>
      <w:pPr>
        <w:ind w:firstLine="494"/>
        <w:spacing w:after="0" w:line="260" w:lineRule="auto"/>
        <w:tabs>
          <w:tab w:leader="none" w:pos="723" w:val="left"/>
        </w:tabs>
        <w:numPr>
          <w:ilvl w:val="1"/>
          <w:numId w:val="149"/>
        </w:numPr>
        <w:rPr>
          <w:rFonts w:ascii="Arial" w:cs="Arial" w:eastAsia="Arial" w:hAnsi="Arial"/>
          <w:sz w:val="20"/>
          <w:szCs w:val="20"/>
          <w:color w:val="auto"/>
        </w:rPr>
      </w:pPr>
      <w:r>
        <w:rPr>
          <w:rFonts w:ascii="Arial" w:cs="Arial" w:eastAsia="Arial" w:hAnsi="Arial"/>
          <w:sz w:val="20"/>
          <w:szCs w:val="20"/>
          <w:color w:val="auto"/>
        </w:rPr>
        <w:t>with respect to Party A, an amount equal to three percent (3%) of its shareholders’ equity as shown on its most recent audited financial statements, determined in accordance with generally accepted accounting principles; and</w:t>
      </w:r>
    </w:p>
    <w:p>
      <w:pPr>
        <w:spacing w:after="0" w:line="190" w:lineRule="exact"/>
        <w:rPr>
          <w:rFonts w:ascii="Arial" w:cs="Arial" w:eastAsia="Arial" w:hAnsi="Arial"/>
          <w:sz w:val="20"/>
          <w:szCs w:val="20"/>
          <w:color w:val="auto"/>
        </w:rPr>
      </w:pPr>
    </w:p>
    <w:p>
      <w:pPr>
        <w:ind w:left="780" w:hanging="286"/>
        <w:spacing w:after="0"/>
        <w:tabs>
          <w:tab w:leader="none" w:pos="780" w:val="left"/>
        </w:tabs>
        <w:numPr>
          <w:ilvl w:val="1"/>
          <w:numId w:val="149"/>
        </w:numPr>
        <w:rPr>
          <w:rFonts w:ascii="Arial" w:cs="Arial" w:eastAsia="Arial" w:hAnsi="Arial"/>
          <w:sz w:val="20"/>
          <w:szCs w:val="20"/>
          <w:color w:val="auto"/>
        </w:rPr>
      </w:pPr>
      <w:r>
        <w:rPr>
          <w:rFonts w:ascii="Arial" w:cs="Arial" w:eastAsia="Arial" w:hAnsi="Arial"/>
          <w:sz w:val="20"/>
          <w:szCs w:val="20"/>
          <w:color w:val="auto"/>
        </w:rPr>
        <w:t>with respect to Party B, an amount equal to $1,000,000 (or the equivalent thereof in any other currency or currencies).</w:t>
      </w:r>
    </w:p>
    <w:p>
      <w:pPr>
        <w:spacing w:after="0" w:line="242" w:lineRule="exact"/>
        <w:rPr>
          <w:rFonts w:ascii="Arial" w:cs="Arial" w:eastAsia="Arial" w:hAnsi="Arial"/>
          <w:sz w:val="20"/>
          <w:szCs w:val="20"/>
          <w:color w:val="auto"/>
        </w:rPr>
      </w:pPr>
    </w:p>
    <w:p>
      <w:pPr>
        <w:jc w:val="both"/>
        <w:ind w:firstLine="8"/>
        <w:spacing w:after="0" w:line="297" w:lineRule="auto"/>
        <w:tabs>
          <w:tab w:leader="none" w:pos="71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Credit Event Upon Merger</w:t>
      </w:r>
      <w:r>
        <w:rPr>
          <w:rFonts w:ascii="Arial" w:cs="Arial" w:eastAsia="Arial" w:hAnsi="Arial"/>
          <w:sz w:val="18"/>
          <w:szCs w:val="18"/>
          <w:color w:val="auto"/>
        </w:rPr>
        <w:t>” provisions of Section 5(b)(v) of this Agreement will apply to Party A and to Party B; provided that, for such purposes, a Designated Event with respect to either party shall be any event or circumstance as set out in Section 5(b)(v)(1) only and no Designated Event shall be regarded as arising with respect to either party as a result of any event or circumstance set out in Section 5(b)(v)</w:t>
      </w:r>
    </w:p>
    <w:p>
      <w:pPr>
        <w:spacing w:after="0" w:line="1" w:lineRule="exact"/>
        <w:rPr>
          <w:rFonts w:ascii="Arial" w:cs="Arial" w:eastAsia="Arial" w:hAnsi="Arial"/>
          <w:sz w:val="18"/>
          <w:szCs w:val="18"/>
          <w:color w:val="auto"/>
        </w:rPr>
      </w:pPr>
    </w:p>
    <w:p>
      <w:pPr>
        <w:jc w:val="both"/>
        <w:spacing w:after="0" w:line="278" w:lineRule="auto"/>
        <w:rPr>
          <w:rFonts w:ascii="Arial" w:cs="Arial" w:eastAsia="Arial" w:hAnsi="Arial"/>
          <w:sz w:val="18"/>
          <w:szCs w:val="18"/>
          <w:color w:val="auto"/>
        </w:rPr>
      </w:pPr>
      <w:r>
        <w:rPr>
          <w:rFonts w:ascii="Arial" w:cs="Arial" w:eastAsia="Arial" w:hAnsi="Arial"/>
          <w:sz w:val="20"/>
          <w:szCs w:val="20"/>
          <w:color w:val="auto"/>
        </w:rPr>
        <w:t>(2) or Section 5(b)(v)(3); and provided, further, that with respect to Party A only, for purposes of Section 5(b)(v)(1), the phrase “materially weaker” shall mean that the senior long-term debt of the resulting, surviving or transferee entity is rated by Standard &amp; Poor’s Financial Services LLC or Moody’s Investors Service, Inc. below a rating of BBB- or Baa3, respectively.</w:t>
      </w:r>
    </w:p>
    <w:p>
      <w:pPr>
        <w:spacing w:after="0" w:line="200" w:lineRule="exact"/>
        <w:rPr>
          <w:rFonts w:ascii="Arial" w:cs="Arial" w:eastAsia="Arial" w:hAnsi="Arial"/>
          <w:sz w:val="18"/>
          <w:szCs w:val="18"/>
          <w:color w:val="auto"/>
        </w:rPr>
      </w:pPr>
    </w:p>
    <w:p>
      <w:pPr>
        <w:ind w:left="720" w:hanging="712"/>
        <w:spacing w:after="0"/>
        <w:tabs>
          <w:tab w:leader="none" w:pos="7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Automatic Early Termination</w:t>
      </w:r>
      <w:r>
        <w:rPr>
          <w:rFonts w:ascii="Arial" w:cs="Arial" w:eastAsia="Arial" w:hAnsi="Arial"/>
          <w:sz w:val="20"/>
          <w:szCs w:val="20"/>
          <w:color w:val="auto"/>
        </w:rPr>
        <w:t>” provision of Section 6(a) of this Agreement will not apply to Party A or to Party B.</w:t>
      </w:r>
    </w:p>
    <w:p>
      <w:pPr>
        <w:spacing w:after="0" w:line="250" w:lineRule="exact"/>
        <w:rPr>
          <w:rFonts w:ascii="Arial" w:cs="Arial" w:eastAsia="Arial" w:hAnsi="Arial"/>
          <w:sz w:val="20"/>
          <w:szCs w:val="20"/>
          <w:color w:val="auto"/>
        </w:rPr>
      </w:pPr>
    </w:p>
    <w:p>
      <w:pPr>
        <w:ind w:left="700" w:hanging="692"/>
        <w:spacing w:after="0"/>
        <w:tabs>
          <w:tab w:leader="none" w:pos="700" w:val="left"/>
        </w:tabs>
        <w:numPr>
          <w:ilvl w:val="0"/>
          <w:numId w:val="150"/>
        </w:numPr>
        <w:rPr>
          <w:rFonts w:ascii="Arial" w:cs="Arial" w:eastAsia="Arial" w:hAnsi="Arial"/>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Termination Currency</w:t>
      </w:r>
      <w:r>
        <w:rPr>
          <w:rFonts w:ascii="Arial" w:cs="Arial" w:eastAsia="Arial" w:hAnsi="Arial"/>
          <w:sz w:val="20"/>
          <w:szCs w:val="20"/>
          <w:b w:val="1"/>
          <w:bCs w:val="1"/>
          <w:color w:val="auto"/>
        </w:rPr>
        <w:t xml:space="preserve">” </w:t>
      </w:r>
      <w:r>
        <w:rPr>
          <w:rFonts w:ascii="Arial" w:cs="Arial" w:eastAsia="Arial" w:hAnsi="Arial"/>
          <w:sz w:val="20"/>
          <w:szCs w:val="20"/>
          <w:color w:val="auto"/>
        </w:rPr>
        <w:t>means United States Dollars.</w:t>
      </w:r>
    </w:p>
    <w:p>
      <w:pPr>
        <w:spacing w:after="0" w:line="256" w:lineRule="exact"/>
        <w:rPr>
          <w:rFonts w:ascii="Arial" w:cs="Arial" w:eastAsia="Arial" w:hAnsi="Arial"/>
          <w:sz w:val="20"/>
          <w:szCs w:val="20"/>
          <w:color w:val="auto"/>
        </w:rPr>
      </w:pPr>
    </w:p>
    <w:p>
      <w:pPr>
        <w:jc w:val="both"/>
        <w:ind w:firstLine="8"/>
        <w:spacing w:after="0" w:line="302" w:lineRule="auto"/>
        <w:tabs>
          <w:tab w:leader="none" w:pos="717" w:val="left"/>
        </w:tabs>
        <w:numPr>
          <w:ilvl w:val="0"/>
          <w:numId w:val="150"/>
        </w:numPr>
        <w:rPr>
          <w:rFonts w:ascii="Arial" w:cs="Arial" w:eastAsia="Arial" w:hAnsi="Arial"/>
          <w:sz w:val="19"/>
          <w:szCs w:val="19"/>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Additional Termination Event</w:t>
      </w:r>
      <w:r>
        <w:rPr>
          <w:rFonts w:ascii="Arial" w:cs="Arial" w:eastAsia="Arial" w:hAnsi="Arial"/>
          <w:sz w:val="19"/>
          <w:szCs w:val="19"/>
          <w:b w:val="1"/>
          <w:bCs w:val="1"/>
          <w:color w:val="auto"/>
        </w:rPr>
        <w:t xml:space="preserve">” </w:t>
      </w:r>
      <w:r>
        <w:rPr>
          <w:rFonts w:ascii="Arial" w:cs="Arial" w:eastAsia="Arial" w:hAnsi="Arial"/>
          <w:sz w:val="19"/>
          <w:szCs w:val="19"/>
          <w:color w:val="auto"/>
        </w:rPr>
        <w:t>will apply. Each of (i), (ii) and (iii) below will constitute an Additional Termination Event,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Party B as the sole Affected Party and all Transactions shall be Affected Transactions; the event specified in (iv) below will constitute an Additional Termination Event with Party A as the sole Affected Party and all Transactions shall be Affected Transactions:</w:t>
      </w:r>
    </w:p>
    <w:p>
      <w:pPr>
        <w:spacing w:after="0" w:line="167" w:lineRule="exact"/>
        <w:rPr>
          <w:rFonts w:ascii="Arial" w:cs="Arial" w:eastAsia="Arial" w:hAnsi="Arial"/>
          <w:sz w:val="19"/>
          <w:szCs w:val="19"/>
          <w:color w:val="auto"/>
        </w:rPr>
      </w:pPr>
    </w:p>
    <w:p>
      <w:pPr>
        <w:jc w:val="both"/>
        <w:ind w:left="1320" w:hanging="745"/>
        <w:spacing w:after="0" w:line="257" w:lineRule="auto"/>
        <w:tabs>
          <w:tab w:leader="none" w:pos="1302" w:val="left"/>
        </w:tabs>
        <w:numPr>
          <w:ilvl w:val="2"/>
          <w:numId w:val="150"/>
        </w:numPr>
        <w:rPr>
          <w:rFonts w:ascii="Arial" w:cs="Arial" w:eastAsia="Arial" w:hAnsi="Arial"/>
          <w:sz w:val="19"/>
          <w:szCs w:val="19"/>
          <w:color w:val="auto"/>
        </w:rPr>
      </w:pPr>
      <w:r>
        <w:rPr>
          <w:rFonts w:ascii="Arial" w:cs="Arial" w:eastAsia="Arial" w:hAnsi="Arial"/>
          <w:sz w:val="19"/>
          <w:szCs w:val="19"/>
          <w:color w:val="auto"/>
        </w:rPr>
        <w:t>if the indebtedness under the Loan Agreement is (for whatever reason, in whatever manner) (x) fully repaid before the scheduled maturity date, or (y) repaid in part (other than in accordance with any scheduled amortization or mandatory prepayment), provided that, in such case, the Affected Transaction(s) shall only be that portion of any Transaction(s) having a notional amount equivalent to the principal amount of the indebtedness so repaid (for added clarity, with respect to any payment of principal under the Loan Agreement that is a scheduled payment or a mandatory prepayment, no close-out damages will be applicable, and as to any such scheduled payment or mandatory prepayment when made, the affected Transaction will have the notional amount automatically reduced by an amount such that the proportion of the loan hedged in the Transaction on the initial date thereof will remain unchanged);</w:t>
      </w:r>
    </w:p>
    <w:p>
      <w:pPr>
        <w:spacing w:after="0" w:line="181" w:lineRule="exact"/>
        <w:rPr>
          <w:rFonts w:ascii="Arial" w:cs="Arial" w:eastAsia="Arial" w:hAnsi="Arial"/>
          <w:sz w:val="19"/>
          <w:szCs w:val="19"/>
          <w:color w:val="auto"/>
        </w:rPr>
      </w:pPr>
    </w:p>
    <w:p>
      <w:pPr>
        <w:jc w:val="both"/>
        <w:ind w:left="1320" w:hanging="745"/>
        <w:spacing w:after="0" w:line="250" w:lineRule="auto"/>
        <w:tabs>
          <w:tab w:leader="none" w:pos="1302" w:val="left"/>
        </w:tabs>
        <w:numPr>
          <w:ilvl w:val="2"/>
          <w:numId w:val="150"/>
        </w:numPr>
        <w:rPr>
          <w:rFonts w:ascii="Arial" w:cs="Arial" w:eastAsia="Arial" w:hAnsi="Arial"/>
          <w:sz w:val="20"/>
          <w:szCs w:val="20"/>
          <w:color w:val="auto"/>
        </w:rPr>
      </w:pPr>
      <w:r>
        <w:rPr>
          <w:rFonts w:ascii="Arial" w:cs="Arial" w:eastAsia="Arial" w:hAnsi="Arial"/>
          <w:sz w:val="20"/>
          <w:szCs w:val="20"/>
          <w:color w:val="auto"/>
        </w:rPr>
        <w:t>if Party A no longer has any commitments to lend or outstanding loans under the Loan Agreement based on assignment or transfer thereof to one or more unaffiliated third parties; provided that Party A shall not be a Defaulting Lender under the terms of the Loan Agreement;</w:t>
      </w:r>
    </w:p>
    <w:p>
      <w:pPr>
        <w:spacing w:after="0" w:line="186" w:lineRule="exact"/>
        <w:rPr>
          <w:rFonts w:ascii="Arial" w:cs="Arial" w:eastAsia="Arial" w:hAnsi="Arial"/>
          <w:sz w:val="20"/>
          <w:szCs w:val="20"/>
          <w:color w:val="auto"/>
        </w:rPr>
      </w:pPr>
    </w:p>
    <w:p>
      <w:pPr>
        <w:ind w:left="1320" w:hanging="745"/>
        <w:spacing w:after="0" w:line="260" w:lineRule="auto"/>
        <w:tabs>
          <w:tab w:leader="none" w:pos="1302" w:val="left"/>
        </w:tabs>
        <w:numPr>
          <w:ilvl w:val="2"/>
          <w:numId w:val="150"/>
        </w:numPr>
        <w:rPr>
          <w:rFonts w:ascii="Arial" w:cs="Arial" w:eastAsia="Arial" w:hAnsi="Arial"/>
          <w:sz w:val="20"/>
          <w:szCs w:val="20"/>
          <w:color w:val="auto"/>
        </w:rPr>
      </w:pPr>
      <w:r>
        <w:rPr>
          <w:rFonts w:ascii="Arial" w:cs="Arial" w:eastAsia="Arial" w:hAnsi="Arial"/>
          <w:sz w:val="20"/>
          <w:szCs w:val="20"/>
          <w:color w:val="auto"/>
        </w:rPr>
        <w:t>if at any time Party A, in its capacity as a party to this Agreement and any Transaction hereunder, is not entitled to the same rights, privileges, and interest in any collateral and/or guaranty agreements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0" w:right="239" w:bottom="1440" w:gutter="0" w:footer="0" w:header="0"/>
        </w:sectPr>
      </w:pPr>
    </w:p>
    <w:bookmarkStart w:id="143" w:name="page144"/>
    <w:bookmarkEnd w:id="143"/>
    <w:p>
      <w:pPr>
        <w:jc w:val="both"/>
        <w:ind w:left="740"/>
        <w:spacing w:after="0" w:line="278" w:lineRule="auto"/>
        <w:rPr>
          <w:sz w:val="20"/>
          <w:szCs w:val="20"/>
          <w:color w:val="auto"/>
        </w:rPr>
      </w:pPr>
      <w:r>
        <w:rPr>
          <w:rFonts w:ascii="Arial" w:cs="Arial" w:eastAsia="Arial" w:hAnsi="Arial"/>
          <w:sz w:val="20"/>
          <w:szCs w:val="20"/>
          <w:color w:val="auto"/>
        </w:rPr>
        <w:t>as the lenders are entitled to under the Loan Agreement or any refinancing thereof; or if all or a material portion of the collateral under the Loan Agreement or a related loan document is released prior to the satisfaction in full of Party B’s obligations with respect to Transactions under this Agreement; or</w:t>
      </w:r>
    </w:p>
    <w:p>
      <w:pPr>
        <w:spacing w:after="0" w:line="173" w:lineRule="exact"/>
        <w:rPr>
          <w:sz w:val="20"/>
          <w:szCs w:val="20"/>
          <w:color w:val="auto"/>
        </w:rPr>
      </w:pPr>
    </w:p>
    <w:p>
      <w:pPr>
        <w:ind w:left="1300" w:hanging="725"/>
        <w:spacing w:after="0"/>
        <w:tabs>
          <w:tab w:leader="none" w:pos="13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Party A is a Defaulting Lender under the Loan Agreement.</w:t>
      </w:r>
    </w:p>
    <w:p>
      <w:pPr>
        <w:spacing w:after="0" w:line="216" w:lineRule="exact"/>
        <w:rPr>
          <w:sz w:val="20"/>
          <w:szCs w:val="20"/>
          <w:color w:val="auto"/>
        </w:rPr>
      </w:pPr>
    </w:p>
    <w:p>
      <w:pPr>
        <w:jc w:val="both"/>
        <w:ind w:left="580"/>
        <w:spacing w:after="0" w:line="270" w:lineRule="auto"/>
        <w:rPr>
          <w:sz w:val="20"/>
          <w:szCs w:val="20"/>
          <w:color w:val="auto"/>
        </w:rPr>
      </w:pPr>
      <w:r>
        <w:rPr>
          <w:rFonts w:ascii="Arial" w:cs="Arial" w:eastAsia="Arial" w:hAnsi="Arial"/>
          <w:sz w:val="18"/>
          <w:szCs w:val="18"/>
          <w:color w:val="auto"/>
        </w:rPr>
        <w:t>Notwithstanding the foregoing, in the event that Party A seeks to assign its rights and obligations under the Loan Agreement (a “Loan Assignment”), Party A shall provide Party B with at least 15 Business Days’ prior written notice (the “Assignment Notice Period”) of Party A’s election to make a Loan Assignment on the assignment date specified in such notice (the “Effective Assignment Date”). In such event: (a) Party A shall refrain from designating an Early Termination Date under the terms of (g)(ii) above in relation to any Transactions hereunder during the term of the Assignment Notice Period and prior to the Effective Assignment Date, (b) during the Assignment Notice Period, Party B may propose a transfer of all of Party A’s rights and obligations under outstanding Transactions to a third party (a “Third Party Transfer”) under terms and conditions such that the Third Party Transfer is consummated on the Effective Assignment Date, whether through novation or otherwise, as if a Termination Event had occurred on the Effective Assignment Date and all Transactions were Affected Transactions with both Party A and Party B as Affected Parties, and (c) notwithstanding the provisions of Section 7 of the Agreement, Party A shall not unreasonably object to any Third Party Transfer and will, if requested, enter into a three-way novation contract, in a form and with such commercially reasonable terms and conditions thereto as may be mutually agreed by the parties, among Party A, the third party Transferee and Party B, and Party A shall not designate an Early Termination Date in relation to subparagraph g(ii) above prior to the Effective Assignment Date.</w:t>
      </w:r>
    </w:p>
    <w:p>
      <w:pPr>
        <w:spacing w:after="0" w:line="174" w:lineRule="exact"/>
        <w:rPr>
          <w:sz w:val="20"/>
          <w:szCs w:val="20"/>
          <w:color w:val="auto"/>
        </w:rPr>
      </w:pPr>
    </w:p>
    <w:p>
      <w:pPr>
        <w:jc w:val="both"/>
        <w:ind w:left="580"/>
        <w:spacing w:after="0" w:line="269" w:lineRule="auto"/>
        <w:rPr>
          <w:sz w:val="20"/>
          <w:szCs w:val="20"/>
          <w:color w:val="auto"/>
        </w:rPr>
      </w:pPr>
      <w:r>
        <w:rPr>
          <w:rFonts w:ascii="Arial" w:cs="Arial" w:eastAsia="Arial" w:hAnsi="Arial"/>
          <w:sz w:val="19"/>
          <w:szCs w:val="19"/>
          <w:b w:val="1"/>
          <w:bCs w:val="1"/>
          <w:i w:val="1"/>
          <w:iCs w:val="1"/>
          <w:color w:val="auto"/>
        </w:rPr>
        <w:t xml:space="preserve">“Loan Agreement” </w:t>
      </w:r>
      <w:r>
        <w:rPr>
          <w:rFonts w:ascii="Arial" w:cs="Arial" w:eastAsia="Arial" w:hAnsi="Arial"/>
          <w:sz w:val="19"/>
          <w:szCs w:val="19"/>
          <w:color w:val="auto"/>
        </w:rPr>
        <w:t>means that certain Amended and Restated Credit Agreement, dated as of August 1, 2017, among Party A,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Administrative Agent, Party B as Borrower, the Subsidiaries of the Borrower identified therein, as the Guarantors, and each of the other lenders party thereto</w:t>
      </w:r>
      <w:r>
        <w:rPr>
          <w:rFonts w:ascii="Arial" w:cs="Arial" w:eastAsia="Arial" w:hAnsi="Arial"/>
          <w:sz w:val="19"/>
          <w:szCs w:val="19"/>
          <w:i w:val="1"/>
          <w:iCs w:val="1"/>
          <w:color w:val="auto"/>
        </w:rPr>
        <w:t>,</w:t>
      </w:r>
      <w:r>
        <w:rPr>
          <w:rFonts w:ascii="Arial" w:cs="Arial" w:eastAsia="Arial" w:hAnsi="Arial"/>
          <w:sz w:val="19"/>
          <w:szCs w:val="19"/>
          <w:color w:val="auto"/>
        </w:rPr>
        <w:t xml:space="preserve"> as it may be amended, modified, restated or refinanced from time to time.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2. Tax Representations</w:t>
      </w:r>
    </w:p>
    <w:p>
      <w:pPr>
        <w:spacing w:after="0" w:line="235" w:lineRule="exact"/>
        <w:rPr>
          <w:sz w:val="20"/>
          <w:szCs w:val="20"/>
          <w:color w:val="auto"/>
        </w:rPr>
      </w:pPr>
    </w:p>
    <w:p>
      <w:pPr>
        <w:ind w:left="500" w:hanging="492"/>
        <w:spacing w:after="0"/>
        <w:tabs>
          <w:tab w:leader="none" w:pos="500" w:val="left"/>
        </w:tabs>
        <w:numPr>
          <w:ilvl w:val="0"/>
          <w:numId w:val="1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Payer Representations. </w:t>
      </w:r>
      <w:r>
        <w:rPr>
          <w:rFonts w:ascii="Arial" w:cs="Arial" w:eastAsia="Arial" w:hAnsi="Arial"/>
          <w:sz w:val="18"/>
          <w:szCs w:val="18"/>
          <w:color w:val="auto"/>
        </w:rPr>
        <w:t>For the purpose of Section 3(e) of this Agreement, Party A and Party B each make the following representation:</w:t>
      </w:r>
    </w:p>
    <w:p>
      <w:pPr>
        <w:spacing w:after="0" w:line="252" w:lineRule="exact"/>
        <w:rPr>
          <w:sz w:val="20"/>
          <w:szCs w:val="20"/>
          <w:color w:val="auto"/>
        </w:rPr>
      </w:pPr>
    </w:p>
    <w:p>
      <w:pPr>
        <w:jc w:val="both"/>
        <w:ind w:left="500" w:right="20" w:firstLine="648"/>
        <w:spacing w:after="0" w:line="291" w:lineRule="auto"/>
        <w:rPr>
          <w:sz w:val="20"/>
          <w:szCs w:val="20"/>
          <w:color w:val="auto"/>
        </w:rPr>
      </w:pPr>
      <w:r>
        <w:rPr>
          <w:rFonts w:ascii="Arial" w:cs="Arial" w:eastAsia="Arial" w:hAnsi="Arial"/>
          <w:sz w:val="18"/>
          <w:szCs w:val="18"/>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this Agreement) to be made by it to the other party under this Agreement. In making this representation, it may rely on:</w:t>
      </w:r>
    </w:p>
    <w:p>
      <w:pPr>
        <w:spacing w:after="0" w:line="165" w:lineRule="exact"/>
        <w:rPr>
          <w:sz w:val="20"/>
          <w:szCs w:val="20"/>
          <w:color w:val="auto"/>
        </w:rPr>
      </w:pPr>
    </w:p>
    <w:p>
      <w:pPr>
        <w:ind w:left="980" w:hanging="324"/>
        <w:spacing w:after="0"/>
        <w:tabs>
          <w:tab w:leader="none" w:pos="9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accuracy of any representations made by the other party pursuant to Section 3(f) of this Agreement;</w:t>
      </w:r>
    </w:p>
    <w:p>
      <w:pPr>
        <w:spacing w:after="0" w:line="215" w:lineRule="exact"/>
        <w:rPr>
          <w:rFonts w:ascii="Arial" w:cs="Arial" w:eastAsia="Arial" w:hAnsi="Arial"/>
          <w:sz w:val="20"/>
          <w:szCs w:val="20"/>
          <w:color w:val="auto"/>
        </w:rPr>
      </w:pPr>
    </w:p>
    <w:p>
      <w:pPr>
        <w:ind w:left="980" w:right="20" w:hanging="324"/>
        <w:spacing w:after="0" w:line="287" w:lineRule="auto"/>
        <w:tabs>
          <w:tab w:leader="none" w:pos="98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satisfaction of the agreement contained in Section 4(a)(i) or 4(a)(iii) of this Agreement and the accuracy and effectiveness of any document provided by the other party pursuant to Section 4(a)(i) or 4(a)(iii) of this Agreement; and</w:t>
      </w:r>
    </w:p>
    <w:p>
      <w:pPr>
        <w:spacing w:after="0" w:line="152" w:lineRule="exact"/>
        <w:rPr>
          <w:rFonts w:ascii="Arial" w:cs="Arial" w:eastAsia="Arial" w:hAnsi="Arial"/>
          <w:sz w:val="19"/>
          <w:szCs w:val="19"/>
          <w:color w:val="auto"/>
        </w:rPr>
      </w:pPr>
    </w:p>
    <w:p>
      <w:pPr>
        <w:jc w:val="both"/>
        <w:ind w:left="980" w:hanging="324"/>
        <w:spacing w:after="0" w:line="250" w:lineRule="auto"/>
        <w:tabs>
          <w:tab w:leader="none" w:pos="9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satisfaction of the agreement of the other party contained in Section 4(d) of this Agreement, provided that it shall not be a breach of this representation where reliance is placed on clause (ii) and the other party does not deliver a form or document under Section 4(a)(iii) by reason of material prejudice to its legal or commercial position.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79" w:right="239" w:bottom="1440" w:gutter="0" w:footer="0" w:header="0"/>
        </w:sectPr>
      </w:pPr>
    </w:p>
    <w:bookmarkStart w:id="144" w:name="page145"/>
    <w:bookmarkEnd w:id="144"/>
    <w:p>
      <w:pPr>
        <w:ind w:left="500" w:hanging="492"/>
        <w:spacing w:after="0"/>
        <w:tabs>
          <w:tab w:leader="none" w:pos="500" w:val="left"/>
        </w:tabs>
        <w:numPr>
          <w:ilvl w:val="0"/>
          <w:numId w:val="15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Payee Representations. </w:t>
      </w:r>
      <w:r>
        <w:rPr>
          <w:rFonts w:ascii="Arial" w:cs="Arial" w:eastAsia="Arial" w:hAnsi="Arial"/>
          <w:sz w:val="20"/>
          <w:szCs w:val="20"/>
          <w:color w:val="auto"/>
        </w:rPr>
        <w:t>For the purpose of Section 3(f) of this Agreement:</w:t>
      </w:r>
    </w:p>
    <w:p>
      <w:pPr>
        <w:spacing w:after="0" w:line="229" w:lineRule="exact"/>
        <w:rPr>
          <w:rFonts w:ascii="Arial" w:cs="Arial" w:eastAsia="Arial" w:hAnsi="Arial"/>
          <w:sz w:val="20"/>
          <w:szCs w:val="20"/>
          <w:b w:val="1"/>
          <w:bCs w:val="1"/>
          <w:i w:val="1"/>
          <w:iCs w:val="1"/>
          <w:color w:val="auto"/>
        </w:rPr>
      </w:pPr>
    </w:p>
    <w:p>
      <w:pPr>
        <w:ind w:left="2140" w:hanging="390"/>
        <w:spacing w:after="0"/>
        <w:tabs>
          <w:tab w:leader="none" w:pos="2140" w:val="left"/>
        </w:tabs>
        <w:numPr>
          <w:ilvl w:val="2"/>
          <w:numId w:val="154"/>
        </w:numPr>
        <w:rPr>
          <w:rFonts w:ascii="Arial" w:cs="Arial" w:eastAsia="Arial" w:hAnsi="Arial"/>
          <w:sz w:val="20"/>
          <w:szCs w:val="20"/>
          <w:color w:val="auto"/>
        </w:rPr>
      </w:pPr>
      <w:r>
        <w:rPr>
          <w:rFonts w:ascii="Arial" w:cs="Arial" w:eastAsia="Arial" w:hAnsi="Arial"/>
          <w:sz w:val="20"/>
          <w:szCs w:val="20"/>
          <w:color w:val="auto"/>
        </w:rPr>
        <w:t>Party A makes the following representations:</w:t>
      </w:r>
    </w:p>
    <w:p>
      <w:pPr>
        <w:spacing w:after="0" w:line="107" w:lineRule="exact"/>
        <w:rPr>
          <w:rFonts w:ascii="Arial" w:cs="Arial" w:eastAsia="Arial" w:hAnsi="Arial"/>
          <w:sz w:val="20"/>
          <w:szCs w:val="20"/>
          <w:color w:val="auto"/>
        </w:rPr>
      </w:pPr>
    </w:p>
    <w:p>
      <w:pPr>
        <w:jc w:val="both"/>
        <w:ind w:left="1260" w:firstLine="652"/>
        <w:spacing w:after="0" w:line="369" w:lineRule="auto"/>
        <w:tabs>
          <w:tab w:leader="none" w:pos="2179" w:val="left"/>
        </w:tabs>
        <w:numPr>
          <w:ilvl w:val="3"/>
          <w:numId w:val="154"/>
        </w:numPr>
        <w:rPr>
          <w:rFonts w:ascii="Arial" w:cs="Arial" w:eastAsia="Arial" w:hAnsi="Arial"/>
          <w:sz w:val="16"/>
          <w:szCs w:val="16"/>
          <w:color w:val="auto"/>
        </w:rPr>
      </w:pPr>
      <w:r>
        <w:rPr>
          <w:rFonts w:ascii="Arial" w:cs="Arial" w:eastAsia="Arial" w:hAnsi="Arial"/>
          <w:sz w:val="16"/>
          <w:szCs w:val="16"/>
          <w:color w:val="auto"/>
        </w:rPr>
        <w:t>it is duly organized under the laws of the State of Georgia in the United States and is a “U.S. person” (as that term is used in Section 1.1441-4(a)(3)(ii) of the United States Treasury Regulations) for United States federal income tax purposes; and</w:t>
      </w:r>
    </w:p>
    <w:p>
      <w:pPr>
        <w:spacing w:after="0" w:line="1" w:lineRule="exact"/>
        <w:rPr>
          <w:rFonts w:ascii="Arial" w:cs="Arial" w:eastAsia="Arial" w:hAnsi="Arial"/>
          <w:sz w:val="16"/>
          <w:szCs w:val="16"/>
          <w:color w:val="auto"/>
        </w:rPr>
      </w:pPr>
    </w:p>
    <w:p>
      <w:pPr>
        <w:ind w:left="980"/>
        <w:spacing w:after="0" w:line="316" w:lineRule="auto"/>
        <w:tabs>
          <w:tab w:leader="none" w:pos="126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it is entering into this Agreement, including each Transaction, as a “beneficial owner” for payments of income (as such term is used in Section 1.1441-1(c)(6)(i) of the United States Treasury Regulations) for United States federal income tax purposes.</w:t>
      </w:r>
    </w:p>
    <w:p>
      <w:pPr>
        <w:spacing w:after="0" w:line="22" w:lineRule="exact"/>
        <w:rPr>
          <w:rFonts w:ascii="Arial" w:cs="Arial" w:eastAsia="Arial" w:hAnsi="Arial"/>
          <w:sz w:val="18"/>
          <w:szCs w:val="18"/>
          <w:color w:val="auto"/>
        </w:rPr>
      </w:pPr>
    </w:p>
    <w:p>
      <w:pPr>
        <w:ind w:left="2200" w:hanging="450"/>
        <w:spacing w:after="0"/>
        <w:tabs>
          <w:tab w:leader="none" w:pos="2200" w:val="left"/>
        </w:tabs>
        <w:numPr>
          <w:ilvl w:val="2"/>
          <w:numId w:val="155"/>
        </w:numPr>
        <w:rPr>
          <w:rFonts w:ascii="Arial" w:cs="Arial" w:eastAsia="Arial" w:hAnsi="Arial"/>
          <w:sz w:val="20"/>
          <w:szCs w:val="20"/>
          <w:color w:val="auto"/>
        </w:rPr>
      </w:pPr>
      <w:r>
        <w:rPr>
          <w:rFonts w:ascii="Arial" w:cs="Arial" w:eastAsia="Arial" w:hAnsi="Arial"/>
          <w:sz w:val="20"/>
          <w:szCs w:val="20"/>
          <w:color w:val="auto"/>
        </w:rPr>
        <w:t>Party B makes the following representations:</w:t>
      </w:r>
    </w:p>
    <w:p>
      <w:pPr>
        <w:spacing w:after="0" w:line="107" w:lineRule="exact"/>
        <w:rPr>
          <w:rFonts w:ascii="Arial" w:cs="Arial" w:eastAsia="Arial" w:hAnsi="Arial"/>
          <w:sz w:val="20"/>
          <w:szCs w:val="20"/>
          <w:color w:val="auto"/>
        </w:rPr>
      </w:pPr>
    </w:p>
    <w:p>
      <w:pPr>
        <w:jc w:val="both"/>
        <w:ind w:left="1260" w:firstLine="652"/>
        <w:spacing w:after="0" w:line="244" w:lineRule="auto"/>
        <w:tabs>
          <w:tab w:leader="none" w:pos="2186" w:val="left"/>
        </w:tabs>
        <w:numPr>
          <w:ilvl w:val="3"/>
          <w:numId w:val="155"/>
        </w:numPr>
        <w:rPr>
          <w:rFonts w:ascii="Arial" w:cs="Arial" w:eastAsia="Arial" w:hAnsi="Arial"/>
          <w:sz w:val="20"/>
          <w:szCs w:val="20"/>
          <w:color w:val="auto"/>
        </w:rPr>
      </w:pPr>
      <w:r>
        <w:rPr>
          <w:rFonts w:ascii="Arial" w:cs="Arial" w:eastAsia="Arial" w:hAnsi="Arial"/>
          <w:sz w:val="20"/>
          <w:szCs w:val="20"/>
          <w:color w:val="auto"/>
        </w:rPr>
        <w:t>it is duly organized under the laws of the United States, or the laws of one of the states of the United States, or the laws of the District of Columbia, and it is (or, if it is disregarded as an entity separate from its owner within the meaning of Section 301.7701-2(c)(2)(i) of the United States Treasury Regulations, its beneficial owner (“Parent”) is) a “U.S. person” (as that term is used in Section 1.1441-4(a)(3)(ii) of the United States Treasury Regulations) for United States federal income tax purposes; and</w:t>
      </w:r>
    </w:p>
    <w:p>
      <w:pPr>
        <w:spacing w:after="0" w:line="86" w:lineRule="exact"/>
        <w:rPr>
          <w:rFonts w:ascii="Arial" w:cs="Arial" w:eastAsia="Arial" w:hAnsi="Arial"/>
          <w:sz w:val="20"/>
          <w:szCs w:val="20"/>
          <w:color w:val="auto"/>
        </w:rPr>
      </w:pPr>
    </w:p>
    <w:p>
      <w:pPr>
        <w:jc w:val="both"/>
        <w:ind w:left="1260" w:firstLine="652"/>
        <w:spacing w:after="0" w:line="246" w:lineRule="auto"/>
        <w:tabs>
          <w:tab w:leader="none" w:pos="2190" w:val="left"/>
        </w:tabs>
        <w:numPr>
          <w:ilvl w:val="3"/>
          <w:numId w:val="155"/>
        </w:numPr>
        <w:rPr>
          <w:rFonts w:ascii="Arial" w:cs="Arial" w:eastAsia="Arial" w:hAnsi="Arial"/>
          <w:sz w:val="20"/>
          <w:szCs w:val="20"/>
          <w:color w:val="auto"/>
        </w:rPr>
      </w:pPr>
      <w:r>
        <w:rPr>
          <w:rFonts w:ascii="Arial" w:cs="Arial" w:eastAsia="Arial" w:hAnsi="Arial"/>
          <w:sz w:val="20"/>
          <w:szCs w:val="20"/>
          <w:color w:val="auto"/>
        </w:rPr>
        <w:t>with respect to this Agreement, including each Transaction, it is (or, if it is disregarded as an entity separate from its owner within the meaning of Section 301.7701-2(c)(2)(i) of the United States Treasury Regulations, its Parent is) the “beneficial owner” for payments of income (as such term is used in Section 1.1441-1(c)(6)(i) of the United States Treasury Regulations) for United States federal income tax purposes.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3. Agreement to Deliver Documents.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purposes of Section 4(a)(i) and 4(a)(ii) of this Agreement, each party agrees to deliver to the other party the following documents, as applicable:</w:t>
      </w:r>
    </w:p>
    <w:p>
      <w:pPr>
        <w:spacing w:after="0" w:line="69" w:lineRule="exact"/>
        <w:rPr>
          <w:sz w:val="20"/>
          <w:szCs w:val="20"/>
          <w:color w:val="auto"/>
        </w:rPr>
      </w:pPr>
    </w:p>
    <w:p>
      <w:pPr>
        <w:ind w:left="500" w:hanging="492"/>
        <w:spacing w:after="0"/>
        <w:tabs>
          <w:tab w:leader="none" w:pos="5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Tax forms, documents or certificates to be delivered are:</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Party required to deliver document</w:t>
            </w:r>
          </w:p>
        </w:tc>
        <w:tc>
          <w:tcPr>
            <w:tcW w:w="34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Form/Document/Certificate</w:t>
            </w:r>
          </w:p>
        </w:tc>
        <w:tc>
          <w:tcPr>
            <w:tcW w:w="34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Date by which to be delivered</w:t>
            </w:r>
          </w:p>
        </w:tc>
      </w:tr>
      <w:tr>
        <w:trPr>
          <w:trHeight w:val="23"/>
        </w:trPr>
        <w:tc>
          <w:tcPr>
            <w:tcW w:w="3600" w:type="dxa"/>
            <w:vAlign w:val="bottom"/>
            <w:tcBorders>
              <w:left w:val="single" w:sz="8" w:color="00000A"/>
              <w:bottom w:val="single" w:sz="8" w:color="00000A"/>
              <w:right w:val="single" w:sz="8" w:color="00000A"/>
            </w:tcBorders>
          </w:tcPr>
          <w:p>
            <w:pPr>
              <w:spacing w:after="0"/>
              <w:rPr>
                <w:sz w:val="2"/>
                <w:szCs w:val="2"/>
                <w:color w:val="auto"/>
              </w:rPr>
            </w:pPr>
          </w:p>
        </w:tc>
        <w:tc>
          <w:tcPr>
            <w:tcW w:w="348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r>
      <w:tr>
        <w:trPr>
          <w:trHeight w:val="233"/>
        </w:trPr>
        <w:tc>
          <w:tcPr>
            <w:tcW w:w="3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Party A and Party B</w:t>
            </w:r>
          </w:p>
        </w:tc>
        <w:tc>
          <w:tcPr>
            <w:tcW w:w="34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 correct, duly completed, dated and</w:t>
            </w:r>
          </w:p>
        </w:tc>
        <w:tc>
          <w:tcPr>
            <w:tcW w:w="34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(i) Upon execution of the Agreement; (ii)</w:t>
            </w:r>
          </w:p>
        </w:tc>
      </w:tr>
      <w:tr>
        <w:trPr>
          <w:trHeight w:val="230"/>
        </w:trPr>
        <w:tc>
          <w:tcPr>
            <w:tcW w:w="3600" w:type="dxa"/>
            <w:vAlign w:val="bottom"/>
            <w:tcBorders>
              <w:left w:val="single" w:sz="8" w:color="00000A"/>
              <w:right w:val="single" w:sz="8" w:color="00000A"/>
            </w:tcBorders>
          </w:tcPr>
          <w:p>
            <w:pPr>
              <w:spacing w:after="0"/>
              <w:rPr>
                <w:sz w:val="19"/>
                <w:szCs w:val="19"/>
                <w:color w:val="auto"/>
              </w:rPr>
            </w:pPr>
          </w:p>
        </w:tc>
        <w:tc>
          <w:tcPr>
            <w:tcW w:w="34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8"/>
              </w:rPr>
              <w:t>executed current United States Internal</w:t>
            </w:r>
          </w:p>
        </w:tc>
        <w:tc>
          <w:tcPr>
            <w:tcW w:w="34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promptly upon learning that any form</w:t>
            </w:r>
          </w:p>
        </w:tc>
      </w:tr>
      <w:tr>
        <w:trPr>
          <w:trHeight w:val="230"/>
        </w:trPr>
        <w:tc>
          <w:tcPr>
            <w:tcW w:w="3600" w:type="dxa"/>
            <w:vAlign w:val="bottom"/>
            <w:tcBorders>
              <w:left w:val="single" w:sz="8" w:color="00000A"/>
              <w:right w:val="single" w:sz="8" w:color="00000A"/>
            </w:tcBorders>
          </w:tcPr>
          <w:p>
            <w:pPr>
              <w:spacing w:after="0"/>
              <w:rPr>
                <w:sz w:val="19"/>
                <w:szCs w:val="19"/>
                <w:color w:val="auto"/>
              </w:rPr>
            </w:pPr>
          </w:p>
        </w:tc>
        <w:tc>
          <w:tcPr>
            <w:tcW w:w="34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Revenue Service Form W-9 (or successor</w:t>
            </w:r>
          </w:p>
        </w:tc>
        <w:tc>
          <w:tcPr>
            <w:tcW w:w="34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provided pursuant to this section has</w:t>
            </w:r>
          </w:p>
        </w:tc>
      </w:tr>
      <w:tr>
        <w:trPr>
          <w:trHeight w:val="230"/>
        </w:trPr>
        <w:tc>
          <w:tcPr>
            <w:tcW w:w="3600" w:type="dxa"/>
            <w:vAlign w:val="bottom"/>
            <w:tcBorders>
              <w:left w:val="single" w:sz="8" w:color="00000A"/>
              <w:right w:val="single" w:sz="8" w:color="00000A"/>
            </w:tcBorders>
          </w:tcPr>
          <w:p>
            <w:pPr>
              <w:spacing w:after="0"/>
              <w:rPr>
                <w:sz w:val="19"/>
                <w:szCs w:val="19"/>
                <w:color w:val="auto"/>
              </w:rPr>
            </w:pPr>
          </w:p>
        </w:tc>
        <w:tc>
          <w:tcPr>
            <w:tcW w:w="34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form) in form and substance satisfactory</w:t>
            </w:r>
          </w:p>
        </w:tc>
        <w:tc>
          <w:tcPr>
            <w:tcW w:w="34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become obsolete or incorrect; and (iii)</w:t>
            </w:r>
          </w:p>
        </w:tc>
      </w:tr>
      <w:tr>
        <w:trPr>
          <w:trHeight w:val="230"/>
        </w:trPr>
        <w:tc>
          <w:tcPr>
            <w:tcW w:w="3600" w:type="dxa"/>
            <w:vAlign w:val="bottom"/>
            <w:tcBorders>
              <w:left w:val="single" w:sz="8" w:color="00000A"/>
              <w:right w:val="single" w:sz="8" w:color="00000A"/>
            </w:tcBorders>
          </w:tcPr>
          <w:p>
            <w:pPr>
              <w:spacing w:after="0"/>
              <w:rPr>
                <w:sz w:val="19"/>
                <w:szCs w:val="19"/>
                <w:color w:val="auto"/>
              </w:rPr>
            </w:pPr>
          </w:p>
        </w:tc>
        <w:tc>
          <w:tcPr>
            <w:tcW w:w="34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to Party A or Party B, as the case may be.</w:t>
            </w:r>
          </w:p>
        </w:tc>
        <w:tc>
          <w:tcPr>
            <w:tcW w:w="34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promptly upon request of Party A or Party</w:t>
            </w:r>
          </w:p>
        </w:tc>
      </w:tr>
      <w:tr>
        <w:trPr>
          <w:trHeight w:val="250"/>
        </w:trPr>
        <w:tc>
          <w:tcPr>
            <w:tcW w:w="3600" w:type="dxa"/>
            <w:vAlign w:val="bottom"/>
            <w:tcBorders>
              <w:left w:val="single" w:sz="8" w:color="00000A"/>
              <w:right w:val="single" w:sz="8" w:color="00000A"/>
            </w:tcBorders>
          </w:tcPr>
          <w:p>
            <w:pPr>
              <w:spacing w:after="0"/>
              <w:rPr>
                <w:sz w:val="21"/>
                <w:szCs w:val="21"/>
                <w:color w:val="auto"/>
              </w:rPr>
            </w:pPr>
          </w:p>
        </w:tc>
        <w:tc>
          <w:tcPr>
            <w:tcW w:w="3480" w:type="dxa"/>
            <w:vAlign w:val="bottom"/>
            <w:tcBorders>
              <w:right w:val="single" w:sz="8" w:color="00000A"/>
            </w:tcBorders>
          </w:tcPr>
          <w:p>
            <w:pPr>
              <w:spacing w:after="0"/>
              <w:rPr>
                <w:sz w:val="21"/>
                <w:szCs w:val="21"/>
                <w:color w:val="auto"/>
              </w:rPr>
            </w:pPr>
          </w:p>
        </w:tc>
        <w:tc>
          <w:tcPr>
            <w:tcW w:w="34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B, as applicable.</w:t>
            </w:r>
          </w:p>
        </w:tc>
      </w:tr>
      <w:tr>
        <w:trPr>
          <w:trHeight w:val="23"/>
        </w:trPr>
        <w:tc>
          <w:tcPr>
            <w:tcW w:w="3600" w:type="dxa"/>
            <w:vAlign w:val="bottom"/>
            <w:tcBorders>
              <w:left w:val="single" w:sz="8" w:color="00000A"/>
              <w:bottom w:val="single" w:sz="8" w:color="00000A"/>
              <w:right w:val="single" w:sz="8" w:color="00000A"/>
            </w:tcBorders>
          </w:tcPr>
          <w:p>
            <w:pPr>
              <w:spacing w:after="0"/>
              <w:rPr>
                <w:sz w:val="2"/>
                <w:szCs w:val="2"/>
                <w:color w:val="auto"/>
              </w:rPr>
            </w:pPr>
          </w:p>
        </w:tc>
        <w:tc>
          <w:tcPr>
            <w:tcW w:w="3480" w:type="dxa"/>
            <w:vAlign w:val="bottom"/>
            <w:tcBorders>
              <w:bottom w:val="single" w:sz="8" w:color="00000A"/>
              <w:right w:val="single" w:sz="8" w:color="00000A"/>
            </w:tcBorders>
          </w:tcPr>
          <w:p>
            <w:pPr>
              <w:spacing w:after="0"/>
              <w:rPr>
                <w:sz w:val="2"/>
                <w:szCs w:val="2"/>
                <w:color w:val="auto"/>
              </w:rPr>
            </w:pPr>
          </w:p>
        </w:tc>
        <w:tc>
          <w:tcPr>
            <w:tcW w:w="3460" w:type="dxa"/>
            <w:vAlign w:val="bottom"/>
            <w:tcBorders>
              <w:bottom w:val="single" w:sz="8" w:color="00000A"/>
              <w:right w:val="single" w:sz="8" w:color="00000A"/>
            </w:tcBorders>
          </w:tcPr>
          <w:p>
            <w:pPr>
              <w:spacing w:after="0"/>
              <w:rPr>
                <w:sz w:val="2"/>
                <w:szCs w:val="2"/>
                <w:color w:val="auto"/>
              </w:rPr>
            </w:pPr>
          </w:p>
        </w:tc>
      </w:tr>
      <w:tr>
        <w:trPr>
          <w:trHeight w:val="916"/>
        </w:trPr>
        <w:tc>
          <w:tcPr>
            <w:tcW w:w="3600" w:type="dxa"/>
            <w:vAlign w:val="bottom"/>
          </w:tcPr>
          <w:p>
            <w:pPr>
              <w:spacing w:after="0"/>
              <w:rPr>
                <w:sz w:val="20"/>
                <w:szCs w:val="20"/>
                <w:color w:val="auto"/>
              </w:rPr>
            </w:pPr>
            <w:r>
              <w:rPr>
                <w:rFonts w:ascii="Arial" w:cs="Arial" w:eastAsia="Arial" w:hAnsi="Arial"/>
                <w:sz w:val="20"/>
                <w:szCs w:val="20"/>
                <w:color w:val="auto"/>
                <w:w w:val="95"/>
              </w:rPr>
              <w:t>(b)   Other documents to be delivered are:</w:t>
            </w:r>
          </w:p>
        </w:tc>
        <w:tc>
          <w:tcPr>
            <w:tcW w:w="34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71"/>
        </w:trPr>
        <w:tc>
          <w:tcPr>
            <w:tcW w:w="3600" w:type="dxa"/>
            <w:vAlign w:val="bottom"/>
          </w:tcPr>
          <w:p>
            <w:pPr>
              <w:spacing w:after="0"/>
              <w:rPr>
                <w:sz w:val="24"/>
                <w:szCs w:val="24"/>
                <w:color w:val="auto"/>
              </w:rPr>
            </w:pPr>
          </w:p>
        </w:tc>
        <w:tc>
          <w:tcPr>
            <w:tcW w:w="3480" w:type="dxa"/>
            <w:vAlign w:val="bottom"/>
          </w:tcPr>
          <w:p>
            <w:pPr>
              <w:ind w:left="2020"/>
              <w:spacing w:after="0"/>
              <w:rPr>
                <w:sz w:val="20"/>
                <w:szCs w:val="20"/>
                <w:color w:val="auto"/>
              </w:rPr>
            </w:pPr>
            <w:r>
              <w:rPr>
                <w:rFonts w:ascii="Arial" w:cs="Arial" w:eastAsia="Arial" w:hAnsi="Arial"/>
                <w:sz w:val="18"/>
                <w:szCs w:val="18"/>
                <w:color w:val="auto"/>
              </w:rPr>
              <w:t>31</w:t>
            </w:r>
          </w:p>
        </w:tc>
        <w:tc>
          <w:tcPr>
            <w:tcW w:w="3460" w:type="dxa"/>
            <w:vAlign w:val="bottom"/>
          </w:tcPr>
          <w:p>
            <w:pPr>
              <w:spacing w:after="0"/>
              <w:rPr>
                <w:sz w:val="24"/>
                <w:szCs w:val="24"/>
                <w:color w:val="auto"/>
              </w:rPr>
            </w:pPr>
          </w:p>
        </w:tc>
      </w:tr>
    </w:tbl>
    <w:p>
      <w:pPr>
        <w:sectPr>
          <w:pgSz w:w="11900" w:h="16838" w:orient="portrait"/>
          <w:cols w:equalWidth="0" w:num="1">
            <w:col w:w="11420"/>
          </w:cols>
          <w:pgMar w:left="240" w:top="366" w:right="239" w:bottom="1440" w:gutter="0" w:footer="0" w:header="0"/>
        </w:sectPr>
      </w:pPr>
    </w:p>
    <w:bookmarkStart w:id="145" w:name="page146"/>
    <w:bookmarkEnd w:id="1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90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20"/>
                <w:szCs w:val="20"/>
                <w:b w:val="1"/>
                <w:bCs w:val="1"/>
                <w:color w:val="auto"/>
              </w:rPr>
              <w:t>Party  required  to</w:t>
            </w:r>
          </w:p>
        </w:tc>
        <w:tc>
          <w:tcPr>
            <w:tcW w:w="6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w w:val="92"/>
              </w:rPr>
              <w:t>deliver</w:t>
            </w:r>
          </w:p>
        </w:tc>
        <w:tc>
          <w:tcPr>
            <w:tcW w:w="33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Form/Document/Certificate</w:t>
            </w:r>
          </w:p>
        </w:tc>
        <w:tc>
          <w:tcPr>
            <w:tcW w:w="2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Date  by  which  to  be</w:t>
            </w:r>
          </w:p>
        </w:tc>
        <w:tc>
          <w:tcPr>
            <w:tcW w:w="2320" w:type="dxa"/>
            <w:vAlign w:val="bottom"/>
            <w:tcBorders>
              <w:top w:val="single" w:sz="8" w:color="00000A"/>
              <w:right w:val="single" w:sz="8" w:color="00000A"/>
            </w:tcBorders>
            <w:vMerge w:val="restart"/>
          </w:tcPr>
          <w:p>
            <w:pPr>
              <w:ind w:left="20"/>
              <w:spacing w:after="0"/>
              <w:rPr>
                <w:sz w:val="20"/>
                <w:szCs w:val="20"/>
                <w:color w:val="auto"/>
              </w:rPr>
            </w:pPr>
            <w:r>
              <w:rPr>
                <w:rFonts w:ascii="Arial" w:cs="Arial" w:eastAsia="Arial" w:hAnsi="Arial"/>
                <w:sz w:val="20"/>
                <w:szCs w:val="20"/>
                <w:b w:val="1"/>
                <w:bCs w:val="1"/>
                <w:color w:val="auto"/>
                <w:w w:val="98"/>
              </w:rPr>
              <w:t>Covered by Section 3(d)</w:t>
            </w:r>
          </w:p>
        </w:tc>
        <w:tc>
          <w:tcPr>
            <w:tcW w:w="0" w:type="dxa"/>
            <w:vAlign w:val="bottom"/>
          </w:tcPr>
          <w:p>
            <w:pPr>
              <w:spacing w:after="0"/>
              <w:rPr>
                <w:sz w:val="1"/>
                <w:szCs w:val="1"/>
                <w:color w:val="auto"/>
              </w:rPr>
            </w:pPr>
          </w:p>
        </w:tc>
      </w:tr>
      <w:tr>
        <w:trPr>
          <w:trHeight w:val="198"/>
        </w:trPr>
        <w:tc>
          <w:tcPr>
            <w:tcW w:w="1900" w:type="dxa"/>
            <w:vAlign w:val="bottom"/>
            <w:tcBorders>
              <w:left w:val="single" w:sz="8" w:color="00000A"/>
            </w:tcBorders>
          </w:tcPr>
          <w:p>
            <w:pPr>
              <w:ind w:left="40"/>
              <w:spacing w:after="0" w:line="199" w:lineRule="exact"/>
              <w:rPr>
                <w:sz w:val="20"/>
                <w:szCs w:val="20"/>
                <w:color w:val="auto"/>
              </w:rPr>
            </w:pPr>
            <w:r>
              <w:rPr>
                <w:rFonts w:ascii="Arial" w:cs="Arial" w:eastAsia="Arial" w:hAnsi="Arial"/>
                <w:sz w:val="20"/>
                <w:szCs w:val="20"/>
                <w:b w:val="1"/>
                <w:bCs w:val="1"/>
                <w:color w:val="auto"/>
              </w:rPr>
              <w:t>document</w:t>
            </w:r>
          </w:p>
        </w:tc>
        <w:tc>
          <w:tcPr>
            <w:tcW w:w="660" w:type="dxa"/>
            <w:vAlign w:val="bottom"/>
            <w:tcBorders>
              <w:right w:val="single" w:sz="8" w:color="00000A"/>
            </w:tcBorders>
          </w:tcPr>
          <w:p>
            <w:pPr>
              <w:spacing w:after="0"/>
              <w:rPr>
                <w:sz w:val="17"/>
                <w:szCs w:val="17"/>
                <w:color w:val="auto"/>
              </w:rPr>
            </w:pPr>
          </w:p>
        </w:tc>
        <w:tc>
          <w:tcPr>
            <w:tcW w:w="3360" w:type="dxa"/>
            <w:vAlign w:val="bottom"/>
            <w:tcBorders>
              <w:right w:val="single" w:sz="8" w:color="00000A"/>
            </w:tcBorders>
          </w:tcPr>
          <w:p>
            <w:pPr>
              <w:spacing w:after="0"/>
              <w:rPr>
                <w:sz w:val="17"/>
                <w:szCs w:val="17"/>
                <w:color w:val="auto"/>
              </w:rPr>
            </w:pPr>
          </w:p>
        </w:tc>
        <w:tc>
          <w:tcPr>
            <w:tcW w:w="2300" w:type="dxa"/>
            <w:vAlign w:val="bottom"/>
            <w:tcBorders>
              <w:right w:val="single" w:sz="8" w:color="00000A"/>
            </w:tcBorders>
          </w:tcPr>
          <w:p>
            <w:pPr>
              <w:ind w:left="20"/>
              <w:spacing w:after="0" w:line="199" w:lineRule="exact"/>
              <w:rPr>
                <w:sz w:val="20"/>
                <w:szCs w:val="20"/>
                <w:color w:val="auto"/>
              </w:rPr>
            </w:pPr>
            <w:r>
              <w:rPr>
                <w:rFonts w:ascii="Arial" w:cs="Arial" w:eastAsia="Arial" w:hAnsi="Arial"/>
                <w:sz w:val="20"/>
                <w:szCs w:val="20"/>
                <w:b w:val="1"/>
                <w:bCs w:val="1"/>
                <w:color w:val="auto"/>
              </w:rPr>
              <w:t>delivered</w:t>
            </w:r>
          </w:p>
        </w:tc>
        <w:tc>
          <w:tcPr>
            <w:tcW w:w="2320" w:type="dxa"/>
            <w:vAlign w:val="bottom"/>
            <w:tcBorders>
              <w:right w:val="single" w:sz="8" w:color="00000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00" w:type="dxa"/>
            <w:vAlign w:val="bottom"/>
            <w:tcBorders>
              <w:left w:val="single" w:sz="8" w:color="00000A"/>
              <w:bottom w:val="single" w:sz="8" w:color="00000A"/>
            </w:tcBorders>
          </w:tcPr>
          <w:p>
            <w:pPr>
              <w:spacing w:after="0"/>
              <w:rPr>
                <w:sz w:val="22"/>
                <w:szCs w:val="22"/>
                <w:color w:val="auto"/>
              </w:rPr>
            </w:pPr>
          </w:p>
        </w:tc>
        <w:tc>
          <w:tcPr>
            <w:tcW w:w="660" w:type="dxa"/>
            <w:vAlign w:val="bottom"/>
            <w:tcBorders>
              <w:bottom w:val="single" w:sz="8" w:color="00000A"/>
              <w:right w:val="single" w:sz="8" w:color="00000A"/>
            </w:tcBorders>
          </w:tcPr>
          <w:p>
            <w:pPr>
              <w:spacing w:after="0"/>
              <w:rPr>
                <w:sz w:val="22"/>
                <w:szCs w:val="22"/>
                <w:color w:val="auto"/>
              </w:rPr>
            </w:pPr>
          </w:p>
        </w:tc>
        <w:tc>
          <w:tcPr>
            <w:tcW w:w="3360" w:type="dxa"/>
            <w:vAlign w:val="bottom"/>
            <w:tcBorders>
              <w:bottom w:val="single" w:sz="8" w:color="00000A"/>
              <w:right w:val="single" w:sz="8" w:color="00000A"/>
            </w:tcBorders>
          </w:tcPr>
          <w:p>
            <w:pPr>
              <w:spacing w:after="0"/>
              <w:rPr>
                <w:sz w:val="22"/>
                <w:szCs w:val="22"/>
                <w:color w:val="auto"/>
              </w:rPr>
            </w:pPr>
          </w:p>
        </w:tc>
        <w:tc>
          <w:tcPr>
            <w:tcW w:w="2300" w:type="dxa"/>
            <w:vAlign w:val="bottom"/>
            <w:tcBorders>
              <w:bottom w:val="single" w:sz="8" w:color="00000A"/>
              <w:right w:val="single" w:sz="8" w:color="00000A"/>
            </w:tcBorders>
          </w:tcPr>
          <w:p>
            <w:pPr>
              <w:spacing w:after="0"/>
              <w:rPr>
                <w:sz w:val="22"/>
                <w:szCs w:val="22"/>
                <w:color w:val="auto"/>
              </w:rPr>
            </w:pPr>
          </w:p>
        </w:tc>
        <w:tc>
          <w:tcPr>
            <w:tcW w:w="23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Representation</w:t>
            </w:r>
          </w:p>
        </w:tc>
        <w:tc>
          <w:tcPr>
            <w:tcW w:w="0" w:type="dxa"/>
            <w:vAlign w:val="bottom"/>
          </w:tcPr>
          <w:p>
            <w:pPr>
              <w:spacing w:after="0"/>
              <w:rPr>
                <w:sz w:val="1"/>
                <w:szCs w:val="1"/>
                <w:color w:val="auto"/>
              </w:rPr>
            </w:pPr>
          </w:p>
        </w:tc>
      </w:tr>
      <w:tr>
        <w:trPr>
          <w:trHeight w:val="240"/>
        </w:trPr>
        <w:tc>
          <w:tcPr>
            <w:tcW w:w="19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Party B</w:t>
            </w:r>
          </w:p>
        </w:tc>
        <w:tc>
          <w:tcPr>
            <w:tcW w:w="660" w:type="dxa"/>
            <w:vAlign w:val="bottom"/>
            <w:tcBorders>
              <w:right w:val="single" w:sz="8" w:color="00000A"/>
            </w:tcBorders>
          </w:tcPr>
          <w:p>
            <w:pPr>
              <w:spacing w:after="0"/>
              <w:rPr>
                <w:sz w:val="20"/>
                <w:szCs w:val="20"/>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Annual Report of Party B containing</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As soon as available and in</w:t>
            </w:r>
          </w:p>
        </w:tc>
        <w:tc>
          <w:tcPr>
            <w:tcW w:w="23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audited, consolidated financial</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any event within 90 days</w:t>
            </w: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statements certified by independent</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after the end of each fiscal</w:t>
            </w: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certified public accountants and prepared</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year of Party B</w:t>
            </w: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in accordance with generally accepted</w:t>
            </w:r>
          </w:p>
        </w:tc>
        <w:tc>
          <w:tcPr>
            <w:tcW w:w="2300" w:type="dxa"/>
            <w:vAlign w:val="bottom"/>
            <w:tcBorders>
              <w:right w:val="single" w:sz="8" w:color="00000A"/>
            </w:tcBorders>
          </w:tcPr>
          <w:p>
            <w:pPr>
              <w:spacing w:after="0"/>
              <w:rPr>
                <w:sz w:val="19"/>
                <w:szCs w:val="19"/>
                <w:color w:val="auto"/>
              </w:rPr>
            </w:pP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accounting principles in the United</w:t>
            </w:r>
          </w:p>
        </w:tc>
        <w:tc>
          <w:tcPr>
            <w:tcW w:w="2300" w:type="dxa"/>
            <w:vAlign w:val="bottom"/>
            <w:tcBorders>
              <w:right w:val="single" w:sz="8" w:color="00000A"/>
            </w:tcBorders>
          </w:tcPr>
          <w:p>
            <w:pPr>
              <w:spacing w:after="0"/>
              <w:rPr>
                <w:sz w:val="19"/>
                <w:szCs w:val="19"/>
                <w:color w:val="auto"/>
              </w:rPr>
            </w:pP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left w:val="single" w:sz="8" w:color="00000A"/>
            </w:tcBorders>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States</w:t>
            </w:r>
          </w:p>
        </w:tc>
        <w:tc>
          <w:tcPr>
            <w:tcW w:w="2300" w:type="dxa"/>
            <w:vAlign w:val="bottom"/>
            <w:tcBorders>
              <w:right w:val="single" w:sz="8" w:color="00000A"/>
            </w:tcBorders>
          </w:tcPr>
          <w:p>
            <w:pPr>
              <w:spacing w:after="0"/>
              <w:rPr>
                <w:sz w:val="21"/>
                <w:szCs w:val="21"/>
                <w:color w:val="auto"/>
              </w:rPr>
            </w:pPr>
          </w:p>
        </w:tc>
        <w:tc>
          <w:tcPr>
            <w:tcW w:w="23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900" w:type="dxa"/>
            <w:vAlign w:val="bottom"/>
            <w:tcBorders>
              <w:left w:val="single" w:sz="8" w:color="00000A"/>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336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Party A and Party B</w:t>
            </w:r>
          </w:p>
        </w:tc>
        <w:tc>
          <w:tcPr>
            <w:tcW w:w="660" w:type="dxa"/>
            <w:vAlign w:val="bottom"/>
            <w:tcBorders>
              <w:right w:val="single" w:sz="8" w:color="00000A"/>
            </w:tcBorders>
          </w:tcPr>
          <w:p>
            <w:pPr>
              <w:spacing w:after="0"/>
              <w:rPr>
                <w:sz w:val="20"/>
                <w:szCs w:val="20"/>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Certified copies of all corporate or</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Upon execution and</w:t>
            </w:r>
          </w:p>
        </w:tc>
        <w:tc>
          <w:tcPr>
            <w:tcW w:w="23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partnership authorizations, as the case</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delivery of this Agreement</w:t>
            </w: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may be, and any other documents with</w:t>
            </w:r>
          </w:p>
        </w:tc>
        <w:tc>
          <w:tcPr>
            <w:tcW w:w="2300" w:type="dxa"/>
            <w:vAlign w:val="bottom"/>
            <w:tcBorders>
              <w:right w:val="single" w:sz="8" w:color="00000A"/>
            </w:tcBorders>
          </w:tcPr>
          <w:p>
            <w:pPr>
              <w:spacing w:after="0"/>
              <w:rPr>
                <w:sz w:val="19"/>
                <w:szCs w:val="19"/>
                <w:color w:val="auto"/>
              </w:rPr>
            </w:pP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respect to the execution, delivery and</w:t>
            </w:r>
          </w:p>
        </w:tc>
        <w:tc>
          <w:tcPr>
            <w:tcW w:w="2300" w:type="dxa"/>
            <w:vAlign w:val="bottom"/>
            <w:tcBorders>
              <w:right w:val="single" w:sz="8" w:color="00000A"/>
            </w:tcBorders>
          </w:tcPr>
          <w:p>
            <w:pPr>
              <w:spacing w:after="0"/>
              <w:rPr>
                <w:sz w:val="19"/>
                <w:szCs w:val="19"/>
                <w:color w:val="auto"/>
              </w:rPr>
            </w:pP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performance of this Agreement, any</w:t>
            </w:r>
          </w:p>
        </w:tc>
        <w:tc>
          <w:tcPr>
            <w:tcW w:w="2300" w:type="dxa"/>
            <w:vAlign w:val="bottom"/>
            <w:tcBorders>
              <w:right w:val="single" w:sz="8" w:color="00000A"/>
            </w:tcBorders>
          </w:tcPr>
          <w:p>
            <w:pPr>
              <w:spacing w:after="0"/>
              <w:rPr>
                <w:sz w:val="19"/>
                <w:szCs w:val="19"/>
                <w:color w:val="auto"/>
              </w:rPr>
            </w:pP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Credit Support Document and any</w:t>
            </w:r>
          </w:p>
        </w:tc>
        <w:tc>
          <w:tcPr>
            <w:tcW w:w="2300" w:type="dxa"/>
            <w:vAlign w:val="bottom"/>
            <w:tcBorders>
              <w:right w:val="single" w:sz="8" w:color="00000A"/>
            </w:tcBorders>
          </w:tcPr>
          <w:p>
            <w:pPr>
              <w:spacing w:after="0"/>
              <w:rPr>
                <w:sz w:val="19"/>
                <w:szCs w:val="19"/>
                <w:color w:val="auto"/>
              </w:rPr>
            </w:pP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left w:val="single" w:sz="8" w:color="00000A"/>
            </w:tcBorders>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Confirmation</w:t>
            </w:r>
          </w:p>
        </w:tc>
        <w:tc>
          <w:tcPr>
            <w:tcW w:w="2300" w:type="dxa"/>
            <w:vAlign w:val="bottom"/>
            <w:tcBorders>
              <w:right w:val="single" w:sz="8" w:color="00000A"/>
            </w:tcBorders>
          </w:tcPr>
          <w:p>
            <w:pPr>
              <w:spacing w:after="0"/>
              <w:rPr>
                <w:sz w:val="21"/>
                <w:szCs w:val="21"/>
                <w:color w:val="auto"/>
              </w:rPr>
            </w:pPr>
          </w:p>
        </w:tc>
        <w:tc>
          <w:tcPr>
            <w:tcW w:w="23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900" w:type="dxa"/>
            <w:vAlign w:val="bottom"/>
            <w:tcBorders>
              <w:left w:val="single" w:sz="8" w:color="00000A"/>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336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Party A and Party B</w:t>
            </w:r>
          </w:p>
        </w:tc>
        <w:tc>
          <w:tcPr>
            <w:tcW w:w="660" w:type="dxa"/>
            <w:vAlign w:val="bottom"/>
            <w:tcBorders>
              <w:right w:val="single" w:sz="8" w:color="00000A"/>
            </w:tcBorders>
          </w:tcPr>
          <w:p>
            <w:pPr>
              <w:spacing w:after="0"/>
              <w:rPr>
                <w:sz w:val="20"/>
                <w:szCs w:val="20"/>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Certificate of authority and specimen</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Upon execution and</w:t>
            </w:r>
          </w:p>
        </w:tc>
        <w:tc>
          <w:tcPr>
            <w:tcW w:w="23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signatures of individuals executing this</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delivery of this Agreement</w:t>
            </w: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Agreement, any Credit Support</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and, if requested, upon</w:t>
            </w: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Document and any Confirmation</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execution of any</w:t>
            </w: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left w:val="single" w:sz="8" w:color="00000A"/>
            </w:tcBorders>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3360" w:type="dxa"/>
            <w:vAlign w:val="bottom"/>
            <w:tcBorders>
              <w:right w:val="single" w:sz="8" w:color="00000A"/>
            </w:tcBorders>
          </w:tcPr>
          <w:p>
            <w:pPr>
              <w:spacing w:after="0"/>
              <w:rPr>
                <w:sz w:val="21"/>
                <w:szCs w:val="21"/>
                <w:color w:val="auto"/>
              </w:rPr>
            </w:pP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Confirmation</w:t>
            </w:r>
          </w:p>
        </w:tc>
        <w:tc>
          <w:tcPr>
            <w:tcW w:w="23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900" w:type="dxa"/>
            <w:vAlign w:val="bottom"/>
            <w:tcBorders>
              <w:left w:val="single" w:sz="8" w:color="00000A"/>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336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Party A and B</w:t>
            </w:r>
          </w:p>
        </w:tc>
        <w:tc>
          <w:tcPr>
            <w:tcW w:w="660" w:type="dxa"/>
            <w:vAlign w:val="bottom"/>
            <w:tcBorders>
              <w:right w:val="single" w:sz="8" w:color="00000A"/>
            </w:tcBorders>
          </w:tcPr>
          <w:p>
            <w:pPr>
              <w:spacing w:after="0"/>
              <w:rPr>
                <w:sz w:val="20"/>
                <w:szCs w:val="20"/>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Duly executed copy of the Credit</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Upon execution and</w:t>
            </w:r>
          </w:p>
        </w:tc>
        <w:tc>
          <w:tcPr>
            <w:tcW w:w="23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30"/>
        </w:trPr>
        <w:tc>
          <w:tcPr>
            <w:tcW w:w="1900" w:type="dxa"/>
            <w:vAlign w:val="bottom"/>
            <w:tcBorders>
              <w:left w:val="single" w:sz="8" w:color="00000A"/>
            </w:tcBorders>
          </w:tcPr>
          <w:p>
            <w:pPr>
              <w:spacing w:after="0"/>
              <w:rPr>
                <w:sz w:val="19"/>
                <w:szCs w:val="19"/>
                <w:color w:val="auto"/>
              </w:rPr>
            </w:pPr>
          </w:p>
        </w:tc>
        <w:tc>
          <w:tcPr>
            <w:tcW w:w="660" w:type="dxa"/>
            <w:vAlign w:val="bottom"/>
            <w:tcBorders>
              <w:right w:val="single" w:sz="8" w:color="00000A"/>
            </w:tcBorders>
          </w:tcPr>
          <w:p>
            <w:pPr>
              <w:spacing w:after="0"/>
              <w:rPr>
                <w:sz w:val="19"/>
                <w:szCs w:val="19"/>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Support Document referred to in Part</w:t>
            </w:r>
          </w:p>
        </w:tc>
        <w:tc>
          <w:tcPr>
            <w:tcW w:w="23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delivery of this Agreement</w:t>
            </w:r>
          </w:p>
        </w:tc>
        <w:tc>
          <w:tcPr>
            <w:tcW w:w="23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left w:val="single" w:sz="8" w:color="00000A"/>
            </w:tcBorders>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33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4(f) of this Schedule</w:t>
            </w:r>
          </w:p>
        </w:tc>
        <w:tc>
          <w:tcPr>
            <w:tcW w:w="2300" w:type="dxa"/>
            <w:vAlign w:val="bottom"/>
            <w:tcBorders>
              <w:right w:val="single" w:sz="8" w:color="00000A"/>
            </w:tcBorders>
          </w:tcPr>
          <w:p>
            <w:pPr>
              <w:spacing w:after="0"/>
              <w:rPr>
                <w:sz w:val="21"/>
                <w:szCs w:val="21"/>
                <w:color w:val="auto"/>
              </w:rPr>
            </w:pPr>
          </w:p>
        </w:tc>
        <w:tc>
          <w:tcPr>
            <w:tcW w:w="23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900" w:type="dxa"/>
            <w:vAlign w:val="bottom"/>
            <w:tcBorders>
              <w:left w:val="single" w:sz="8" w:color="00000A"/>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3360" w:type="dxa"/>
            <w:vAlign w:val="bottom"/>
            <w:tcBorders>
              <w:bottom w:val="single" w:sz="8" w:color="00000A"/>
              <w:right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900" w:type="dxa"/>
            <w:vAlign w:val="bottom"/>
          </w:tcPr>
          <w:p>
            <w:pPr>
              <w:spacing w:after="0"/>
              <w:rPr>
                <w:sz w:val="20"/>
                <w:szCs w:val="20"/>
                <w:color w:val="auto"/>
              </w:rPr>
            </w:pPr>
            <w:r>
              <w:rPr>
                <w:rFonts w:ascii="Arial" w:cs="Arial" w:eastAsia="Arial" w:hAnsi="Arial"/>
                <w:sz w:val="20"/>
                <w:szCs w:val="20"/>
                <w:b w:val="1"/>
                <w:bCs w:val="1"/>
                <w:color w:val="auto"/>
                <w:w w:val="89"/>
              </w:rPr>
              <w:t>Part 4. Miscellaneous.</w:t>
            </w:r>
          </w:p>
        </w:tc>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00" w:hanging="492"/>
        <w:spacing w:after="0"/>
        <w:tabs>
          <w:tab w:leader="none" w:pos="500" w:val="left"/>
        </w:tabs>
        <w:numPr>
          <w:ilvl w:val="0"/>
          <w:numId w:val="157"/>
        </w:numPr>
        <w:rPr>
          <w:rFonts w:ascii="Arial" w:cs="Arial" w:eastAsia="Arial" w:hAnsi="Arial"/>
          <w:sz w:val="20"/>
          <w:szCs w:val="20"/>
          <w:color w:val="auto"/>
        </w:rPr>
      </w:pPr>
      <w:r>
        <w:rPr>
          <w:rFonts w:ascii="Arial" w:cs="Arial" w:eastAsia="Arial" w:hAnsi="Arial"/>
          <w:sz w:val="20"/>
          <w:szCs w:val="20"/>
          <w:b w:val="1"/>
          <w:bCs w:val="1"/>
          <w:i w:val="1"/>
          <w:iCs w:val="1"/>
          <w:color w:val="auto"/>
        </w:rPr>
        <w:t>Addresses for Notices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purpose of Section 12(a) of this Agreement:</w:t>
      </w:r>
    </w:p>
    <w:p>
      <w:pPr>
        <w:spacing w:after="0" w:line="235" w:lineRule="exact"/>
        <w:rPr>
          <w:rFonts w:ascii="Arial" w:cs="Arial" w:eastAsia="Arial" w:hAnsi="Arial"/>
          <w:sz w:val="20"/>
          <w:szCs w:val="20"/>
          <w:color w:val="auto"/>
        </w:rPr>
      </w:pPr>
    </w:p>
    <w:p>
      <w:pPr>
        <w:ind w:left="880" w:hanging="386"/>
        <w:spacing w:after="0"/>
        <w:tabs>
          <w:tab w:leader="none" w:pos="88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address for notices or communications to Party A is: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SunTrust Bank</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Financial Risk Management, Operations</w:t>
      </w:r>
    </w:p>
    <w:p>
      <w:pPr>
        <w:ind w:left="980"/>
        <w:spacing w:after="0"/>
        <w:rPr>
          <w:sz w:val="20"/>
          <w:szCs w:val="20"/>
          <w:color w:val="auto"/>
        </w:rPr>
      </w:pPr>
      <w:r>
        <w:rPr>
          <w:rFonts w:ascii="Arial" w:cs="Arial" w:eastAsia="Arial" w:hAnsi="Arial"/>
          <w:sz w:val="20"/>
          <w:szCs w:val="20"/>
          <w:color w:val="auto"/>
        </w:rPr>
        <w:t>3333 Peachtree Road, N.E.</w:t>
      </w:r>
    </w:p>
    <w:p>
      <w:pPr>
        <w:ind w:left="980"/>
        <w:spacing w:after="0"/>
        <w:rPr>
          <w:sz w:val="20"/>
          <w:szCs w:val="20"/>
          <w:color w:val="auto"/>
        </w:rPr>
      </w:pPr>
      <w:r>
        <w:rPr>
          <w:rFonts w:ascii="Arial" w:cs="Arial" w:eastAsia="Arial" w:hAnsi="Arial"/>
          <w:sz w:val="20"/>
          <w:szCs w:val="20"/>
          <w:color w:val="auto"/>
        </w:rPr>
        <w:t>11th Floor, Center Code 3913</w:t>
      </w:r>
    </w:p>
    <w:p>
      <w:pPr>
        <w:ind w:left="980"/>
        <w:spacing w:after="0"/>
        <w:rPr>
          <w:sz w:val="20"/>
          <w:szCs w:val="20"/>
          <w:color w:val="auto"/>
        </w:rPr>
      </w:pPr>
      <w:r>
        <w:rPr>
          <w:rFonts w:ascii="Arial" w:cs="Arial" w:eastAsia="Arial" w:hAnsi="Arial"/>
          <w:sz w:val="20"/>
          <w:szCs w:val="20"/>
          <w:color w:val="auto"/>
        </w:rPr>
        <w:t>Atlanta, GA 30326</w:t>
      </w:r>
    </w:p>
    <w:p>
      <w:pPr>
        <w:ind w:left="980"/>
        <w:spacing w:after="0"/>
        <w:rPr>
          <w:sz w:val="20"/>
          <w:szCs w:val="20"/>
          <w:color w:val="auto"/>
        </w:rPr>
      </w:pPr>
      <w:r>
        <w:rPr>
          <w:rFonts w:ascii="Arial" w:cs="Arial" w:eastAsia="Arial" w:hAnsi="Arial"/>
          <w:sz w:val="20"/>
          <w:szCs w:val="20"/>
          <w:color w:val="auto"/>
        </w:rPr>
        <w:t>Tel: 404-926-5821</w:t>
      </w:r>
    </w:p>
    <w:p>
      <w:pPr>
        <w:ind w:left="980"/>
        <w:spacing w:after="0"/>
        <w:rPr>
          <w:sz w:val="20"/>
          <w:szCs w:val="20"/>
          <w:color w:val="auto"/>
        </w:rPr>
      </w:pPr>
      <w:r>
        <w:rPr>
          <w:rFonts w:ascii="Arial" w:cs="Arial" w:eastAsia="Arial" w:hAnsi="Arial"/>
          <w:sz w:val="20"/>
          <w:szCs w:val="20"/>
          <w:color w:val="auto"/>
        </w:rPr>
        <w:t>Fax: 404-926-5826</w:t>
      </w:r>
    </w:p>
    <w:p>
      <w:pPr>
        <w:ind w:left="980"/>
        <w:spacing w:after="0"/>
        <w:rPr>
          <w:sz w:val="20"/>
          <w:szCs w:val="20"/>
          <w:color w:val="auto"/>
        </w:rPr>
      </w:pPr>
      <w:r>
        <w:rPr>
          <w:rFonts w:ascii="Arial" w:cs="Arial" w:eastAsia="Arial" w:hAnsi="Arial"/>
          <w:sz w:val="20"/>
          <w:szCs w:val="20"/>
          <w:color w:val="auto"/>
        </w:rPr>
        <w:t>E-mail: DerivOps@SunTrust.com</w:t>
      </w:r>
    </w:p>
    <w:p>
      <w:pPr>
        <w:spacing w:after="0" w:line="200" w:lineRule="exact"/>
        <w:rPr>
          <w:sz w:val="20"/>
          <w:szCs w:val="20"/>
          <w:color w:val="auto"/>
        </w:rPr>
      </w:pPr>
    </w:p>
    <w:p>
      <w:pPr>
        <w:spacing w:after="0" w:line="243" w:lineRule="exact"/>
        <w:rPr>
          <w:sz w:val="20"/>
          <w:szCs w:val="20"/>
          <w:color w:val="auto"/>
        </w:rPr>
      </w:pPr>
    </w:p>
    <w:p>
      <w:pPr>
        <w:ind w:left="500"/>
        <w:spacing w:after="0"/>
        <w:tabs>
          <w:tab w:leader="none" w:pos="92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6"/>
          <w:szCs w:val="16"/>
          <w:color w:val="auto"/>
        </w:rPr>
        <w:t>The address for notices or communications to Party B is:</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20"/>
          </w:cols>
          <w:pgMar w:left="240" w:top="498" w:right="1139" w:bottom="1440" w:gutter="0" w:footer="0" w:header="0"/>
        </w:sectPr>
      </w:pPr>
    </w:p>
    <w:bookmarkStart w:id="146" w:name="page147"/>
    <w:bookmarkEnd w:id="146"/>
    <w:p>
      <w:pPr>
        <w:ind w:left="972"/>
        <w:spacing w:after="0"/>
        <w:rPr>
          <w:sz w:val="20"/>
          <w:szCs w:val="20"/>
          <w:color w:val="auto"/>
        </w:rPr>
      </w:pPr>
      <w:r>
        <w:rPr>
          <w:rFonts w:ascii="Arial" w:cs="Arial" w:eastAsia="Arial" w:hAnsi="Arial"/>
          <w:sz w:val="20"/>
          <w:szCs w:val="20"/>
          <w:color w:val="auto"/>
        </w:rPr>
        <w:t>Cross Country Healthcare, Inc.</w:t>
      </w:r>
    </w:p>
    <w:p>
      <w:pPr>
        <w:spacing w:after="0" w:line="15" w:lineRule="exact"/>
        <w:rPr>
          <w:sz w:val="20"/>
          <w:szCs w:val="20"/>
          <w:color w:val="auto"/>
        </w:rPr>
      </w:pPr>
    </w:p>
    <w:p>
      <w:pPr>
        <w:ind w:left="972"/>
        <w:spacing w:after="0"/>
        <w:rPr>
          <w:sz w:val="20"/>
          <w:szCs w:val="20"/>
          <w:color w:val="auto"/>
        </w:rPr>
      </w:pPr>
      <w:r>
        <w:rPr>
          <w:rFonts w:ascii="Arial" w:cs="Arial" w:eastAsia="Arial" w:hAnsi="Arial"/>
          <w:sz w:val="20"/>
          <w:szCs w:val="20"/>
          <w:color w:val="auto"/>
        </w:rPr>
        <w:t>5201 Congress Avenue, Suite 100B</w:t>
      </w:r>
    </w:p>
    <w:p>
      <w:pPr>
        <w:ind w:left="972"/>
        <w:spacing w:after="0"/>
        <w:rPr>
          <w:sz w:val="20"/>
          <w:szCs w:val="20"/>
          <w:color w:val="auto"/>
        </w:rPr>
      </w:pPr>
      <w:r>
        <w:rPr>
          <w:rFonts w:ascii="Arial" w:cs="Arial" w:eastAsia="Arial" w:hAnsi="Arial"/>
          <w:sz w:val="20"/>
          <w:szCs w:val="20"/>
          <w:color w:val="auto"/>
        </w:rPr>
        <w:t>Boca Raton, Florida 33487</w:t>
      </w:r>
    </w:p>
    <w:p>
      <w:pPr>
        <w:ind w:left="972"/>
        <w:spacing w:after="0"/>
        <w:rPr>
          <w:sz w:val="20"/>
          <w:szCs w:val="20"/>
          <w:color w:val="auto"/>
        </w:rPr>
      </w:pPr>
      <w:r>
        <w:rPr>
          <w:rFonts w:ascii="Arial" w:cs="Arial" w:eastAsia="Arial" w:hAnsi="Arial"/>
          <w:sz w:val="20"/>
          <w:szCs w:val="20"/>
          <w:color w:val="auto"/>
        </w:rPr>
        <w:t>Attention: Christopher R. Pizzi, CFO</w:t>
      </w:r>
    </w:p>
    <w:p>
      <w:pPr>
        <w:ind w:left="972"/>
        <w:spacing w:after="0"/>
        <w:rPr>
          <w:sz w:val="20"/>
          <w:szCs w:val="20"/>
          <w:color w:val="auto"/>
        </w:rPr>
      </w:pPr>
      <w:r>
        <w:rPr>
          <w:rFonts w:ascii="Arial" w:cs="Arial" w:eastAsia="Arial" w:hAnsi="Arial"/>
          <w:sz w:val="20"/>
          <w:szCs w:val="20"/>
          <w:color w:val="auto"/>
        </w:rPr>
        <w:t>Telephone Number: 561-237-2546</w:t>
      </w:r>
    </w:p>
    <w:p>
      <w:pPr>
        <w:ind w:left="972"/>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cpizzi@crosscountry.com</w:t>
      </w:r>
    </w:p>
    <w:p>
      <w:pPr>
        <w:spacing w:after="0" w:line="213" w:lineRule="exact"/>
        <w:rPr>
          <w:sz w:val="20"/>
          <w:szCs w:val="20"/>
          <w:color w:val="auto"/>
        </w:rPr>
      </w:pPr>
    </w:p>
    <w:p>
      <w:pPr>
        <w:ind w:left="492" w:hanging="492"/>
        <w:spacing w:after="0"/>
        <w:tabs>
          <w:tab w:leader="none" w:pos="492" w:val="left"/>
        </w:tabs>
        <w:numPr>
          <w:ilvl w:val="0"/>
          <w:numId w:val="158"/>
        </w:numPr>
        <w:rPr>
          <w:rFonts w:ascii="Arial" w:cs="Arial" w:eastAsia="Arial" w:hAnsi="Arial"/>
          <w:sz w:val="20"/>
          <w:szCs w:val="20"/>
          <w:color w:val="auto"/>
        </w:rPr>
      </w:pPr>
      <w:r>
        <w:rPr>
          <w:rFonts w:ascii="Arial" w:cs="Arial" w:eastAsia="Arial" w:hAnsi="Arial"/>
          <w:sz w:val="20"/>
          <w:szCs w:val="20"/>
          <w:b w:val="1"/>
          <w:bCs w:val="1"/>
          <w:i w:val="1"/>
          <w:iCs w:val="1"/>
          <w:color w:val="auto"/>
        </w:rPr>
        <w:t>Process Agent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492"/>
        <w:spacing w:after="0"/>
        <w:rPr>
          <w:rFonts w:ascii="Arial" w:cs="Arial" w:eastAsia="Arial" w:hAnsi="Arial"/>
          <w:sz w:val="20"/>
          <w:szCs w:val="20"/>
          <w:color w:val="auto"/>
        </w:rPr>
      </w:pPr>
      <w:r>
        <w:rPr>
          <w:rFonts w:ascii="Arial" w:cs="Arial" w:eastAsia="Arial" w:hAnsi="Arial"/>
          <w:sz w:val="20"/>
          <w:szCs w:val="20"/>
          <w:color w:val="auto"/>
        </w:rPr>
        <w:t>Party A appoints as its Process Agent: not applicable.</w:t>
      </w:r>
    </w:p>
    <w:p>
      <w:pPr>
        <w:spacing w:after="0" w:line="229" w:lineRule="exact"/>
        <w:rPr>
          <w:rFonts w:ascii="Arial" w:cs="Arial" w:eastAsia="Arial" w:hAnsi="Arial"/>
          <w:sz w:val="20"/>
          <w:szCs w:val="20"/>
          <w:color w:val="auto"/>
        </w:rPr>
      </w:pPr>
    </w:p>
    <w:p>
      <w:pPr>
        <w:ind w:left="492"/>
        <w:spacing w:after="0"/>
        <w:rPr>
          <w:rFonts w:ascii="Arial" w:cs="Arial" w:eastAsia="Arial" w:hAnsi="Arial"/>
          <w:sz w:val="20"/>
          <w:szCs w:val="20"/>
          <w:color w:val="auto"/>
        </w:rPr>
      </w:pPr>
      <w:r>
        <w:rPr>
          <w:rFonts w:ascii="Arial" w:cs="Arial" w:eastAsia="Arial" w:hAnsi="Arial"/>
          <w:sz w:val="20"/>
          <w:szCs w:val="20"/>
          <w:color w:val="auto"/>
        </w:rPr>
        <w:t>Party B appoints as its Process Agent: not applicable.</w:t>
      </w:r>
    </w:p>
    <w:p>
      <w:pPr>
        <w:spacing w:after="0" w:line="223" w:lineRule="exact"/>
        <w:rPr>
          <w:rFonts w:ascii="Arial" w:cs="Arial" w:eastAsia="Arial" w:hAnsi="Arial"/>
          <w:sz w:val="20"/>
          <w:szCs w:val="20"/>
          <w:color w:val="auto"/>
        </w:rPr>
      </w:pPr>
    </w:p>
    <w:p>
      <w:pPr>
        <w:ind w:left="492" w:hanging="492"/>
        <w:spacing w:after="0"/>
        <w:tabs>
          <w:tab w:leader="none" w:pos="492" w:val="left"/>
        </w:tabs>
        <w:numPr>
          <w:ilvl w:val="0"/>
          <w:numId w:val="158"/>
        </w:numPr>
        <w:rPr>
          <w:rFonts w:ascii="Arial" w:cs="Arial" w:eastAsia="Arial" w:hAnsi="Arial"/>
          <w:sz w:val="20"/>
          <w:szCs w:val="20"/>
          <w:color w:val="auto"/>
        </w:rPr>
      </w:pPr>
      <w:r>
        <w:rPr>
          <w:rFonts w:ascii="Arial" w:cs="Arial" w:eastAsia="Arial" w:hAnsi="Arial"/>
          <w:sz w:val="20"/>
          <w:szCs w:val="20"/>
          <w:b w:val="1"/>
          <w:bCs w:val="1"/>
          <w:i w:val="1"/>
          <w:iCs w:val="1"/>
          <w:color w:val="auto"/>
        </w:rPr>
        <w:t>Offices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provisions of Section 10(a) of this Agreement will apply to this Agreement.</w:t>
      </w:r>
    </w:p>
    <w:p>
      <w:pPr>
        <w:spacing w:after="0" w:line="235" w:lineRule="exact"/>
        <w:rPr>
          <w:rFonts w:ascii="Arial" w:cs="Arial" w:eastAsia="Arial" w:hAnsi="Arial"/>
          <w:sz w:val="20"/>
          <w:szCs w:val="20"/>
          <w:color w:val="auto"/>
        </w:rPr>
      </w:pPr>
    </w:p>
    <w:p>
      <w:pPr>
        <w:ind w:left="492" w:right="5400" w:hanging="492"/>
        <w:spacing w:after="0" w:line="479" w:lineRule="auto"/>
        <w:tabs>
          <w:tab w:leader="none" w:pos="478" w:val="left"/>
        </w:tabs>
        <w:numPr>
          <w:ilvl w:val="0"/>
          <w:numId w:val="158"/>
        </w:numPr>
        <w:rPr>
          <w:rFonts w:ascii="Arial" w:cs="Arial" w:eastAsia="Arial" w:hAnsi="Arial"/>
          <w:sz w:val="20"/>
          <w:szCs w:val="20"/>
          <w:color w:val="auto"/>
        </w:rPr>
      </w:pPr>
      <w:r>
        <w:rPr>
          <w:rFonts w:ascii="Arial" w:cs="Arial" w:eastAsia="Arial" w:hAnsi="Arial"/>
          <w:sz w:val="20"/>
          <w:szCs w:val="20"/>
          <w:b w:val="1"/>
          <w:bCs w:val="1"/>
          <w:i w:val="1"/>
          <w:iCs w:val="1"/>
          <w:color w:val="auto"/>
        </w:rPr>
        <w:t>Multibranch Party</w:t>
      </w:r>
      <w:r>
        <w:rPr>
          <w:rFonts w:ascii="Arial" w:cs="Arial" w:eastAsia="Arial" w:hAnsi="Arial"/>
          <w:sz w:val="20"/>
          <w:szCs w:val="20"/>
          <w:color w:val="auto"/>
        </w:rPr>
        <w:t>. For purposes of Section 10(b) of this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Party A is not a Multibranch Party.</w:t>
      </w:r>
    </w:p>
    <w:p>
      <w:pPr>
        <w:ind w:left="492"/>
        <w:spacing w:after="0"/>
        <w:rPr>
          <w:rFonts w:ascii="Arial" w:cs="Arial" w:eastAsia="Arial" w:hAnsi="Arial"/>
          <w:sz w:val="20"/>
          <w:szCs w:val="20"/>
          <w:color w:val="auto"/>
        </w:rPr>
      </w:pPr>
      <w:r>
        <w:rPr>
          <w:rFonts w:ascii="Arial" w:cs="Arial" w:eastAsia="Arial" w:hAnsi="Arial"/>
          <w:sz w:val="20"/>
          <w:szCs w:val="20"/>
          <w:color w:val="auto"/>
        </w:rPr>
        <w:t>Party B is not a Multibranch Party.</w:t>
      </w:r>
    </w:p>
    <w:p>
      <w:pPr>
        <w:spacing w:after="0" w:line="223" w:lineRule="exact"/>
        <w:rPr>
          <w:rFonts w:ascii="Arial" w:cs="Arial" w:eastAsia="Arial" w:hAnsi="Arial"/>
          <w:sz w:val="20"/>
          <w:szCs w:val="20"/>
          <w:color w:val="auto"/>
        </w:rPr>
      </w:pPr>
    </w:p>
    <w:p>
      <w:pPr>
        <w:jc w:val="both"/>
        <w:ind w:left="512" w:hanging="512"/>
        <w:spacing w:after="0" w:line="277" w:lineRule="auto"/>
        <w:tabs>
          <w:tab w:leader="none" w:pos="494" w:val="left"/>
        </w:tabs>
        <w:numPr>
          <w:ilvl w:val="0"/>
          <w:numId w:val="158"/>
        </w:numPr>
        <w:rPr>
          <w:rFonts w:ascii="Arial" w:cs="Arial" w:eastAsia="Arial" w:hAnsi="Arial"/>
          <w:sz w:val="18"/>
          <w:szCs w:val="18"/>
          <w:color w:val="auto"/>
        </w:rPr>
      </w:pPr>
      <w:r>
        <w:rPr>
          <w:rFonts w:ascii="Arial" w:cs="Arial" w:eastAsia="Arial" w:hAnsi="Arial"/>
          <w:sz w:val="18"/>
          <w:szCs w:val="18"/>
          <w:b w:val="1"/>
          <w:bCs w:val="1"/>
          <w:i w:val="1"/>
          <w:iCs w:val="1"/>
          <w:color w:val="auto"/>
        </w:rPr>
        <w:t>Calculation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Calculation Agent is Party A, unless otherwise specified in a Confirmation in relation to the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or unless in respect of any Transaction an Event of Default has occurred and is continuing with respect to Party A, in which case Party B may appoint a Leading Dealer, mutually agreed to and such approval not to be unreasonably withheld (provided, however that Party A’s acceptance will be deemed given if Party A fails to respond within five (5) Local Business Days to a written request from Party B to appoint a Leading Dealer), to act as substitute Calculation Agent for so long as such Event of Default is continuing. A “Leading Dealer” means a leading dealer in the relevant market that is not an Affiliate of either of the parties.</w:t>
      </w:r>
    </w:p>
    <w:p>
      <w:pPr>
        <w:spacing w:after="0" w:line="179" w:lineRule="exact"/>
        <w:rPr>
          <w:rFonts w:ascii="Arial" w:cs="Arial" w:eastAsia="Arial" w:hAnsi="Arial"/>
          <w:sz w:val="18"/>
          <w:szCs w:val="18"/>
          <w:color w:val="auto"/>
        </w:rPr>
      </w:pPr>
    </w:p>
    <w:p>
      <w:pPr>
        <w:ind w:left="492" w:hanging="492"/>
        <w:spacing w:after="0"/>
        <w:tabs>
          <w:tab w:leader="none" w:pos="492" w:val="left"/>
        </w:tabs>
        <w:numPr>
          <w:ilvl w:val="0"/>
          <w:numId w:val="158"/>
        </w:numPr>
        <w:rPr>
          <w:rFonts w:ascii="Arial" w:cs="Arial" w:eastAsia="Arial" w:hAnsi="Arial"/>
          <w:sz w:val="20"/>
          <w:szCs w:val="20"/>
          <w:color w:val="auto"/>
        </w:rPr>
      </w:pPr>
      <w:r>
        <w:rPr>
          <w:rFonts w:ascii="Arial" w:cs="Arial" w:eastAsia="Arial" w:hAnsi="Arial"/>
          <w:sz w:val="20"/>
          <w:szCs w:val="20"/>
          <w:b w:val="1"/>
          <w:bCs w:val="1"/>
          <w:i w:val="1"/>
          <w:iCs w:val="1"/>
          <w:color w:val="auto"/>
        </w:rPr>
        <w:t>Credit Support Document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492"/>
        <w:spacing w:after="0"/>
        <w:rPr>
          <w:rFonts w:ascii="Arial" w:cs="Arial" w:eastAsia="Arial" w:hAnsi="Arial"/>
          <w:sz w:val="20"/>
          <w:szCs w:val="20"/>
          <w:color w:val="auto"/>
        </w:rPr>
      </w:pPr>
      <w:r>
        <w:rPr>
          <w:rFonts w:ascii="Arial" w:cs="Arial" w:eastAsia="Arial" w:hAnsi="Arial"/>
          <w:sz w:val="20"/>
          <w:szCs w:val="20"/>
          <w:color w:val="auto"/>
        </w:rPr>
        <w:t>Credit Support Document means in relation to Party A: none.</w:t>
      </w:r>
    </w:p>
    <w:p>
      <w:pPr>
        <w:spacing w:after="0" w:line="229" w:lineRule="exact"/>
        <w:rPr>
          <w:rFonts w:ascii="Arial" w:cs="Arial" w:eastAsia="Arial" w:hAnsi="Arial"/>
          <w:sz w:val="20"/>
          <w:szCs w:val="20"/>
          <w:color w:val="auto"/>
        </w:rPr>
      </w:pPr>
    </w:p>
    <w:p>
      <w:pPr>
        <w:jc w:val="both"/>
        <w:ind w:left="492"/>
        <w:spacing w:after="0" w:line="246" w:lineRule="auto"/>
        <w:rPr>
          <w:rFonts w:ascii="Arial" w:cs="Arial" w:eastAsia="Arial" w:hAnsi="Arial"/>
          <w:sz w:val="20"/>
          <w:szCs w:val="20"/>
          <w:color w:val="auto"/>
        </w:rPr>
      </w:pPr>
      <w:r>
        <w:rPr>
          <w:rFonts w:ascii="Arial" w:cs="Arial" w:eastAsia="Arial" w:hAnsi="Arial"/>
          <w:sz w:val="20"/>
          <w:szCs w:val="20"/>
          <w:color w:val="auto"/>
        </w:rPr>
        <w:t>Credit Support Document means in relation to Party B: any guaranty, letter of credit, credit agreement, security agreement, mortgage, deed of trust, pledge agreement or other credit enhancement device issued to guarantee, secure or otherwise support the timely performance of Party B’s obligations under this Agreement, including, without limitation, any amendments, supplements or replacements thereto.</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492" w:hanging="492"/>
        <w:spacing w:after="0"/>
        <w:tabs>
          <w:tab w:leader="none" w:pos="492" w:val="left"/>
        </w:tabs>
        <w:numPr>
          <w:ilvl w:val="0"/>
          <w:numId w:val="158"/>
        </w:numPr>
        <w:rPr>
          <w:rFonts w:ascii="Arial" w:cs="Arial" w:eastAsia="Arial" w:hAnsi="Arial"/>
          <w:sz w:val="20"/>
          <w:szCs w:val="20"/>
          <w:color w:val="auto"/>
        </w:rPr>
      </w:pPr>
      <w:r>
        <w:rPr>
          <w:rFonts w:ascii="Arial" w:cs="Arial" w:eastAsia="Arial" w:hAnsi="Arial"/>
          <w:sz w:val="20"/>
          <w:szCs w:val="20"/>
          <w:b w:val="1"/>
          <w:bCs w:val="1"/>
          <w:i w:val="1"/>
          <w:iCs w:val="1"/>
          <w:color w:val="auto"/>
        </w:rPr>
        <w:t>Credit Support Provider</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492"/>
        <w:spacing w:after="0"/>
        <w:rPr>
          <w:rFonts w:ascii="Arial" w:cs="Arial" w:eastAsia="Arial" w:hAnsi="Arial"/>
          <w:sz w:val="20"/>
          <w:szCs w:val="20"/>
          <w:color w:val="auto"/>
        </w:rPr>
      </w:pPr>
      <w:r>
        <w:rPr>
          <w:rFonts w:ascii="Arial" w:cs="Arial" w:eastAsia="Arial" w:hAnsi="Arial"/>
          <w:sz w:val="20"/>
          <w:szCs w:val="20"/>
          <w:color w:val="auto"/>
        </w:rPr>
        <w:t>Credit Support Provider means in relation to Party A: none.</w:t>
      </w:r>
    </w:p>
    <w:p>
      <w:pPr>
        <w:spacing w:after="0" w:line="229" w:lineRule="exact"/>
        <w:rPr>
          <w:rFonts w:ascii="Arial" w:cs="Arial" w:eastAsia="Arial" w:hAnsi="Arial"/>
          <w:sz w:val="20"/>
          <w:szCs w:val="20"/>
          <w:color w:val="auto"/>
        </w:rPr>
      </w:pPr>
    </w:p>
    <w:p>
      <w:pPr>
        <w:ind w:left="492"/>
        <w:spacing w:after="0" w:line="287" w:lineRule="auto"/>
        <w:rPr>
          <w:rFonts w:ascii="Arial" w:cs="Arial" w:eastAsia="Arial" w:hAnsi="Arial"/>
          <w:sz w:val="20"/>
          <w:szCs w:val="20"/>
          <w:color w:val="auto"/>
        </w:rPr>
      </w:pPr>
      <w:r>
        <w:rPr>
          <w:rFonts w:ascii="Arial" w:cs="Arial" w:eastAsia="Arial" w:hAnsi="Arial"/>
          <w:sz w:val="19"/>
          <w:szCs w:val="19"/>
          <w:color w:val="auto"/>
        </w:rPr>
        <w:t>Credit Support Provider means in relation to Party B: any party, as of any particular time, whose undertakings or assets under a Credit Support Document guarantee, support or secure the timely performance of Party B’s obligations under this Agreement.</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12"/>
          </w:cols>
          <w:pgMar w:left="248" w:top="366" w:right="239" w:bottom="1440" w:gutter="0" w:footer="0" w:header="0"/>
        </w:sectPr>
      </w:pPr>
    </w:p>
    <w:bookmarkStart w:id="147" w:name="page148"/>
    <w:bookmarkEnd w:id="147"/>
    <w:p>
      <w:pPr>
        <w:ind w:left="520" w:hanging="512"/>
        <w:spacing w:after="0" w:line="293" w:lineRule="auto"/>
        <w:tabs>
          <w:tab w:leader="none" w:pos="502" w:val="left"/>
        </w:tabs>
        <w:numPr>
          <w:ilvl w:val="0"/>
          <w:numId w:val="159"/>
        </w:numPr>
        <w:rPr>
          <w:rFonts w:ascii="Arial" w:cs="Arial" w:eastAsia="Arial" w:hAnsi="Arial"/>
          <w:sz w:val="19"/>
          <w:szCs w:val="19"/>
          <w:color w:val="auto"/>
        </w:rPr>
      </w:pPr>
      <w:r>
        <w:rPr>
          <w:rFonts w:ascii="Arial" w:cs="Arial" w:eastAsia="Arial" w:hAnsi="Arial"/>
          <w:sz w:val="19"/>
          <w:szCs w:val="19"/>
          <w:b w:val="1"/>
          <w:bCs w:val="1"/>
          <w:i w:val="1"/>
          <w:iCs w:val="1"/>
          <w:color w:val="auto"/>
        </w:rPr>
        <w:t>Governing Law</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will be governed by and construed in accordance with the laws of the State of New York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reference to choice of law doctrine, but giving effect to Sections 5-1401 and 5-1402 of the New York General Obligations Law.</w:t>
      </w:r>
    </w:p>
    <w:p>
      <w:pPr>
        <w:spacing w:after="0" w:line="155" w:lineRule="exact"/>
        <w:rPr>
          <w:rFonts w:ascii="Arial" w:cs="Arial" w:eastAsia="Arial" w:hAnsi="Arial"/>
          <w:sz w:val="19"/>
          <w:szCs w:val="19"/>
          <w:color w:val="auto"/>
        </w:rPr>
      </w:pPr>
    </w:p>
    <w:p>
      <w:pPr>
        <w:jc w:val="both"/>
        <w:ind w:left="500" w:hanging="492"/>
        <w:spacing w:after="0" w:line="248" w:lineRule="auto"/>
        <w:tabs>
          <w:tab w:leader="none" w:pos="500" w:val="left"/>
        </w:tabs>
        <w:numPr>
          <w:ilvl w:val="0"/>
          <w:numId w:val="159"/>
        </w:numPr>
        <w:rPr>
          <w:rFonts w:ascii="Arial" w:cs="Arial" w:eastAsia="Arial" w:hAnsi="Arial"/>
          <w:sz w:val="20"/>
          <w:szCs w:val="20"/>
          <w:color w:val="auto"/>
        </w:rPr>
      </w:pPr>
      <w:r>
        <w:rPr>
          <w:rFonts w:ascii="Arial" w:cs="Arial" w:eastAsia="Arial" w:hAnsi="Arial"/>
          <w:sz w:val="20"/>
          <w:szCs w:val="20"/>
          <w:b w:val="1"/>
          <w:bCs w:val="1"/>
          <w:i w:val="1"/>
          <w:iCs w:val="1"/>
          <w:color w:val="auto"/>
        </w:rPr>
        <w:t>Netting of Payments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“Multiple Transaction Payment Netting” will not apply for the purpose of Section 2(c) of this Agreement. Both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parties may agree at least one Local Business Day in advance of one or more Scheduled Settlement Dates that, with regard to payments due on such date(s), Multiple Transaction Payment Netting will apply. Unless otherwise so agreed, Multiple Transaction Payment Netting will not apply for purposes of Section 2(c) of this Agreement.</w:t>
      </w:r>
    </w:p>
    <w:p>
      <w:pPr>
        <w:spacing w:after="0" w:line="203" w:lineRule="exact"/>
        <w:rPr>
          <w:rFonts w:ascii="Arial" w:cs="Arial" w:eastAsia="Arial" w:hAnsi="Arial"/>
          <w:sz w:val="20"/>
          <w:szCs w:val="20"/>
          <w:color w:val="auto"/>
        </w:rPr>
      </w:pPr>
    </w:p>
    <w:p>
      <w:pPr>
        <w:ind w:left="380" w:hanging="372"/>
        <w:spacing w:after="0"/>
        <w:tabs>
          <w:tab w:leader="none" w:pos="380" w:val="left"/>
        </w:tabs>
        <w:numPr>
          <w:ilvl w:val="0"/>
          <w:numId w:val="15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Affiliate </w:t>
      </w:r>
      <w:r>
        <w:rPr>
          <w:rFonts w:ascii="Arial" w:cs="Arial" w:eastAsia="Arial" w:hAnsi="Arial"/>
          <w:sz w:val="20"/>
          <w:szCs w:val="20"/>
          <w:color w:val="auto"/>
        </w:rPr>
        <w:t>will have the meaning specified in Section 14 of this Agreement.</w:t>
      </w:r>
    </w:p>
    <w:p>
      <w:pPr>
        <w:spacing w:after="0" w:line="229" w:lineRule="exact"/>
        <w:rPr>
          <w:rFonts w:ascii="Arial" w:cs="Arial" w:eastAsia="Arial" w:hAnsi="Arial"/>
          <w:sz w:val="20"/>
          <w:szCs w:val="20"/>
          <w:color w:val="auto"/>
        </w:rPr>
      </w:pPr>
    </w:p>
    <w:p>
      <w:pPr>
        <w:ind w:left="440" w:hanging="432"/>
        <w:spacing w:after="0"/>
        <w:tabs>
          <w:tab w:leader="none" w:pos="440" w:val="left"/>
        </w:tabs>
        <w:numPr>
          <w:ilvl w:val="0"/>
          <w:numId w:val="159"/>
        </w:numPr>
        <w:rPr>
          <w:rFonts w:ascii="Arial" w:cs="Arial" w:eastAsia="Arial" w:hAnsi="Arial"/>
          <w:sz w:val="20"/>
          <w:szCs w:val="20"/>
          <w:color w:val="auto"/>
        </w:rPr>
      </w:pPr>
      <w:r>
        <w:rPr>
          <w:rFonts w:ascii="Arial" w:cs="Arial" w:eastAsia="Arial" w:hAnsi="Arial"/>
          <w:sz w:val="20"/>
          <w:szCs w:val="20"/>
          <w:b w:val="1"/>
          <w:bCs w:val="1"/>
          <w:i w:val="1"/>
          <w:iCs w:val="1"/>
          <w:color w:val="auto"/>
        </w:rPr>
        <w:t>Absence of Litigation</w:t>
      </w:r>
      <w:r>
        <w:rPr>
          <w:rFonts w:ascii="Arial" w:cs="Arial" w:eastAsia="Arial" w:hAnsi="Arial"/>
          <w:sz w:val="20"/>
          <w:szCs w:val="20"/>
          <w:color w:val="auto"/>
        </w:rPr>
        <w:t>. For the purpose of Section 3(c):</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Specified Entity</w:t>
      </w:r>
      <w:r>
        <w:rPr>
          <w:rFonts w:ascii="Arial" w:cs="Arial" w:eastAsia="Arial" w:hAnsi="Arial"/>
          <w:sz w:val="20"/>
          <w:szCs w:val="20"/>
          <w:color w:val="auto"/>
        </w:rPr>
        <w:t>” means in relation to Party A: none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Specified Entity</w:t>
      </w:r>
      <w:r>
        <w:rPr>
          <w:rFonts w:ascii="Arial" w:cs="Arial" w:eastAsia="Arial" w:hAnsi="Arial"/>
          <w:sz w:val="20"/>
          <w:szCs w:val="20"/>
          <w:b w:val="1"/>
          <w:bCs w:val="1"/>
          <w:color w:val="auto"/>
        </w:rPr>
        <w:t xml:space="preserve">” </w:t>
      </w:r>
      <w:r>
        <w:rPr>
          <w:rFonts w:ascii="Arial" w:cs="Arial" w:eastAsia="Arial" w:hAnsi="Arial"/>
          <w:sz w:val="20"/>
          <w:szCs w:val="20"/>
          <w:color w:val="auto"/>
        </w:rPr>
        <w:t>means in relation to Party B: any affiliated Credit Support Provider</w:t>
      </w:r>
    </w:p>
    <w:p>
      <w:pPr>
        <w:spacing w:after="0" w:line="229" w:lineRule="exact"/>
        <w:rPr>
          <w:sz w:val="20"/>
          <w:szCs w:val="20"/>
          <w:color w:val="auto"/>
        </w:rPr>
      </w:pPr>
    </w:p>
    <w:p>
      <w:pPr>
        <w:ind w:left="400" w:hanging="392"/>
        <w:spacing w:after="0"/>
        <w:tabs>
          <w:tab w:leader="none" w:pos="400" w:val="left"/>
        </w:tabs>
        <w:numPr>
          <w:ilvl w:val="0"/>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No Agency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provisions of Section 3(g) will apply to this Agreement.</w:t>
      </w:r>
    </w:p>
    <w:p>
      <w:pPr>
        <w:spacing w:after="0" w:line="235" w:lineRule="exact"/>
        <w:rPr>
          <w:rFonts w:ascii="Arial" w:cs="Arial" w:eastAsia="Arial" w:hAnsi="Arial"/>
          <w:sz w:val="20"/>
          <w:szCs w:val="20"/>
          <w:color w:val="auto"/>
        </w:rPr>
      </w:pPr>
    </w:p>
    <w:p>
      <w:pPr>
        <w:ind w:left="500" w:hanging="492"/>
        <w:spacing w:after="0" w:line="260" w:lineRule="auto"/>
        <w:tabs>
          <w:tab w:leader="none" w:pos="500" w:val="left"/>
        </w:tabs>
        <w:numPr>
          <w:ilvl w:val="0"/>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Additional Representation </w:t>
      </w:r>
      <w:r>
        <w:rPr>
          <w:rFonts w:ascii="Arial" w:cs="Arial" w:eastAsia="Arial" w:hAnsi="Arial"/>
          <w:sz w:val="20"/>
          <w:szCs w:val="20"/>
          <w:color w:val="auto"/>
        </w:rPr>
        <w:t>will apply. For the purpose of Section 3 of this Agreement, each of the following will constitute an Additional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Representation:</w:t>
      </w:r>
    </w:p>
    <w:p>
      <w:pPr>
        <w:spacing w:after="0" w:line="184" w:lineRule="exact"/>
        <w:rPr>
          <w:rFonts w:ascii="Arial" w:cs="Arial" w:eastAsia="Arial" w:hAnsi="Arial"/>
          <w:sz w:val="20"/>
          <w:szCs w:val="20"/>
          <w:color w:val="auto"/>
        </w:rPr>
      </w:pPr>
    </w:p>
    <w:p>
      <w:pPr>
        <w:jc w:val="both"/>
        <w:ind w:left="1140" w:hanging="322"/>
        <w:spacing w:after="0" w:line="253" w:lineRule="auto"/>
        <w:tabs>
          <w:tab w:leader="none" w:pos="1140" w:val="left"/>
        </w:tabs>
        <w:numPr>
          <w:ilvl w:val="1"/>
          <w:numId w:val="160"/>
        </w:numPr>
        <w:rPr>
          <w:rFonts w:ascii="Arial" w:cs="Arial" w:eastAsia="Arial" w:hAnsi="Arial"/>
          <w:sz w:val="20"/>
          <w:szCs w:val="20"/>
          <w:color w:val="auto"/>
        </w:rPr>
      </w:pPr>
      <w:r>
        <w:rPr>
          <w:rFonts w:ascii="Arial" w:cs="Arial" w:eastAsia="Arial" w:hAnsi="Arial"/>
          <w:sz w:val="20"/>
          <w:szCs w:val="20"/>
          <w:b w:val="1"/>
          <w:bCs w:val="1"/>
          <w:color w:val="auto"/>
        </w:rPr>
        <w:t>Relationship Between the Parties</w:t>
      </w:r>
      <w:r>
        <w:rPr>
          <w:rFonts w:ascii="Arial" w:cs="Arial" w:eastAsia="Arial" w:hAnsi="Arial"/>
          <w:sz w:val="20"/>
          <w:szCs w:val="20"/>
          <w:color w:val="auto"/>
        </w:rPr>
        <w:t>. Each party will be deemed to represent to the other party on the date on which it enters into a</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(absent a written agreement between the parties that expressly imposes affirmative obligations to the contrary for that Transaction):</w:t>
      </w:r>
    </w:p>
    <w:p>
      <w:pPr>
        <w:spacing w:after="0" w:line="183" w:lineRule="exact"/>
        <w:rPr>
          <w:rFonts w:ascii="Arial" w:cs="Arial" w:eastAsia="Arial" w:hAnsi="Arial"/>
          <w:sz w:val="20"/>
          <w:szCs w:val="20"/>
          <w:color w:val="auto"/>
        </w:rPr>
      </w:pPr>
    </w:p>
    <w:p>
      <w:pPr>
        <w:jc w:val="both"/>
        <w:ind w:left="1140" w:firstLine="2"/>
        <w:spacing w:after="0" w:line="243" w:lineRule="auto"/>
        <w:tabs>
          <w:tab w:leader="none" w:pos="1626" w:val="left"/>
        </w:tabs>
        <w:numPr>
          <w:ilvl w:val="2"/>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Non-Reliance</w:t>
      </w:r>
      <w:r>
        <w:rPr>
          <w:rFonts w:ascii="Arial" w:cs="Arial" w:eastAsia="Arial" w:hAnsi="Arial"/>
          <w:sz w:val="20"/>
          <w:szCs w:val="20"/>
          <w:color w:val="auto"/>
        </w:rPr>
        <w:t>. It is acting for its own account and it has made its own independent decisions to enter into that Transaction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as to whether that Transaction 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will not be considered investment advice or a recommendation to enter into that Transaction. No communication (written or oral) received from the other party will be deemed to be an assurance or guarantee as to the expected results of that Transaction.</w:t>
      </w:r>
    </w:p>
    <w:p>
      <w:pPr>
        <w:spacing w:after="0" w:line="206" w:lineRule="exact"/>
        <w:rPr>
          <w:rFonts w:ascii="Arial" w:cs="Arial" w:eastAsia="Arial" w:hAnsi="Arial"/>
          <w:sz w:val="20"/>
          <w:szCs w:val="20"/>
          <w:color w:val="auto"/>
        </w:rPr>
      </w:pPr>
    </w:p>
    <w:p>
      <w:pPr>
        <w:jc w:val="both"/>
        <w:ind w:left="1140" w:firstLine="2"/>
        <w:spacing w:after="0" w:line="250" w:lineRule="auto"/>
        <w:tabs>
          <w:tab w:leader="none" w:pos="1642" w:val="left"/>
        </w:tabs>
        <w:numPr>
          <w:ilvl w:val="2"/>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Assessment and Understanding</w:t>
      </w:r>
      <w:r>
        <w:rPr>
          <w:rFonts w:ascii="Arial" w:cs="Arial" w:eastAsia="Arial" w:hAnsi="Arial"/>
          <w:sz w:val="20"/>
          <w:szCs w:val="20"/>
          <w:color w:val="auto"/>
        </w:rPr>
        <w:t>. It is capable of assessing the merits of and understanding (on its own behalf or through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independent professional advice), and understands and accepts, the terms, conditions and risks of that Transaction. It is also capable of assuming, and assumes, the risks of that Transaction.</w:t>
      </w:r>
    </w:p>
    <w:p>
      <w:pPr>
        <w:spacing w:after="0" w:line="199" w:lineRule="exact"/>
        <w:rPr>
          <w:rFonts w:ascii="Arial" w:cs="Arial" w:eastAsia="Arial" w:hAnsi="Arial"/>
          <w:sz w:val="20"/>
          <w:szCs w:val="20"/>
          <w:color w:val="auto"/>
        </w:rPr>
      </w:pPr>
    </w:p>
    <w:p>
      <w:pPr>
        <w:ind w:left="1140" w:firstLine="2"/>
        <w:spacing w:after="0" w:line="260" w:lineRule="auto"/>
        <w:tabs>
          <w:tab w:leader="none" w:pos="1723" w:val="left"/>
        </w:tabs>
        <w:numPr>
          <w:ilvl w:val="2"/>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Status of Parties</w:t>
      </w:r>
      <w:r>
        <w:rPr>
          <w:rFonts w:ascii="Arial" w:cs="Arial" w:eastAsia="Arial" w:hAnsi="Arial"/>
          <w:sz w:val="20"/>
          <w:szCs w:val="20"/>
          <w:color w:val="auto"/>
        </w:rPr>
        <w:t>. THE OTHER PARTY IS NOT ACTING AS A FIDUCIARY FOR OR AN ADVISER TO IT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 OF THAT TRANSACTION.</w:t>
      </w:r>
    </w:p>
    <w:p>
      <w:pPr>
        <w:spacing w:after="0" w:line="184" w:lineRule="exact"/>
        <w:rPr>
          <w:rFonts w:ascii="Arial" w:cs="Arial" w:eastAsia="Arial" w:hAnsi="Arial"/>
          <w:sz w:val="20"/>
          <w:szCs w:val="20"/>
          <w:color w:val="auto"/>
        </w:rPr>
      </w:pPr>
    </w:p>
    <w:p>
      <w:pPr>
        <w:jc w:val="both"/>
        <w:ind w:left="1260" w:firstLine="490"/>
        <w:spacing w:after="0" w:line="248" w:lineRule="auto"/>
        <w:tabs>
          <w:tab w:leader="none" w:pos="2334" w:val="left"/>
        </w:tabs>
        <w:numPr>
          <w:ilvl w:val="3"/>
          <w:numId w:val="160"/>
        </w:numPr>
        <w:rPr>
          <w:rFonts w:ascii="Arial" w:cs="Arial" w:eastAsia="Arial" w:hAnsi="Arial"/>
          <w:sz w:val="20"/>
          <w:szCs w:val="20"/>
          <w:color w:val="auto"/>
        </w:rPr>
      </w:pPr>
      <w:r>
        <w:rPr>
          <w:rFonts w:ascii="Arial" w:cs="Arial" w:eastAsia="Arial" w:hAnsi="Arial"/>
          <w:sz w:val="20"/>
          <w:szCs w:val="20"/>
          <w:b w:val="1"/>
          <w:bCs w:val="1"/>
          <w:color w:val="auto"/>
        </w:rPr>
        <w:t>Eligible Contract Participant</w:t>
      </w:r>
      <w:r>
        <w:rPr>
          <w:rFonts w:ascii="Arial" w:cs="Arial" w:eastAsia="Arial" w:hAnsi="Arial"/>
          <w:sz w:val="20"/>
          <w:szCs w:val="20"/>
          <w:color w:val="auto"/>
        </w:rPr>
        <w:t>. Each party represents and warrants to the other party as of the date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(which representations will be deemed to be repeated by each party on each date on which a Transaction is entered into) that it is an “eligible contract participant” as defined in Section 1a(18) of the Commodity Exchange Act, as amended (the “</w:t>
      </w:r>
      <w:r>
        <w:rPr>
          <w:rFonts w:ascii="Arial" w:cs="Arial" w:eastAsia="Arial" w:hAnsi="Arial"/>
          <w:sz w:val="20"/>
          <w:szCs w:val="20"/>
          <w:b w:val="1"/>
          <w:bCs w:val="1"/>
          <w:i w:val="1"/>
          <w:iCs w:val="1"/>
          <w:color w:val="auto"/>
        </w:rPr>
        <w:t>CEA</w:t>
      </w:r>
      <w:r>
        <w:rPr>
          <w:rFonts w:ascii="Arial" w:cs="Arial" w:eastAsia="Arial" w:hAnsi="Arial"/>
          <w:sz w:val="20"/>
          <w:szCs w:val="20"/>
          <w:color w:val="auto"/>
        </w:rPr>
        <w:t>”) or the regulations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0" w:right="239" w:bottom="1440" w:gutter="0" w:footer="0" w:header="0"/>
        </w:sectPr>
      </w:pPr>
    </w:p>
    <w:bookmarkStart w:id="148" w:name="page149"/>
    <w:bookmarkEnd w:id="148"/>
    <w:p>
      <w:pPr>
        <w:ind w:left="1260"/>
        <w:spacing w:after="0"/>
        <w:rPr>
          <w:sz w:val="20"/>
          <w:szCs w:val="20"/>
          <w:color w:val="auto"/>
        </w:rPr>
      </w:pPr>
      <w:r>
        <w:rPr>
          <w:rFonts w:ascii="Arial" w:cs="Arial" w:eastAsia="Arial" w:hAnsi="Arial"/>
          <w:sz w:val="20"/>
          <w:szCs w:val="20"/>
          <w:color w:val="auto"/>
        </w:rPr>
        <w:t>thereunder (an “</w:t>
      </w:r>
      <w:r>
        <w:rPr>
          <w:rFonts w:ascii="Arial" w:cs="Arial" w:eastAsia="Arial" w:hAnsi="Arial"/>
          <w:sz w:val="20"/>
          <w:szCs w:val="20"/>
          <w:b w:val="1"/>
          <w:bCs w:val="1"/>
          <w:i w:val="1"/>
          <w:iCs w:val="1"/>
          <w:color w:val="auto"/>
        </w:rPr>
        <w:t>ECP</w:t>
      </w:r>
      <w:r>
        <w:rPr>
          <w:rFonts w:ascii="Arial" w:cs="Arial" w:eastAsia="Arial" w:hAnsi="Arial"/>
          <w:sz w:val="20"/>
          <w:szCs w:val="20"/>
          <w:color w:val="auto"/>
        </w:rPr>
        <w:t>”) and any guarantor of such party’s obligations under this Agreement is an ECP.</w:t>
      </w:r>
    </w:p>
    <w:p>
      <w:pPr>
        <w:spacing w:after="0" w:line="102" w:lineRule="exact"/>
        <w:rPr>
          <w:sz w:val="20"/>
          <w:szCs w:val="20"/>
          <w:color w:val="auto"/>
        </w:rPr>
      </w:pPr>
    </w:p>
    <w:p>
      <w:pPr>
        <w:jc w:val="both"/>
        <w:ind w:left="1260" w:firstLine="490"/>
        <w:spacing w:after="0" w:line="243" w:lineRule="auto"/>
        <w:tabs>
          <w:tab w:leader="none" w:pos="2241" w:val="left"/>
        </w:tabs>
        <w:numPr>
          <w:ilvl w:val="0"/>
          <w:numId w:val="161"/>
        </w:numPr>
        <w:rPr>
          <w:rFonts w:ascii="Arial" w:cs="Arial" w:eastAsia="Arial" w:hAnsi="Arial"/>
          <w:sz w:val="20"/>
          <w:szCs w:val="20"/>
          <w:color w:val="auto"/>
        </w:rPr>
      </w:pPr>
      <w:r>
        <w:rPr>
          <w:rFonts w:ascii="Arial" w:cs="Arial" w:eastAsia="Arial" w:hAnsi="Arial"/>
          <w:sz w:val="20"/>
          <w:szCs w:val="20"/>
          <w:b w:val="1"/>
          <w:bCs w:val="1"/>
          <w:color w:val="auto"/>
        </w:rPr>
        <w:t>ERISA</w:t>
      </w:r>
      <w:r>
        <w:rPr>
          <w:rFonts w:ascii="Arial" w:cs="Arial" w:eastAsia="Arial" w:hAnsi="Arial"/>
          <w:sz w:val="20"/>
          <w:szCs w:val="20"/>
          <w:color w:val="auto"/>
        </w:rPr>
        <w:t>. Party B represents and warrants to Party A as of the date of this Agreement (which representations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be repeated by such party on each date on which a Transaction is entered into) that it is not (i) an “employee benefit plan” that is subject to the fiduciary responsibility provisions of the Employee Retirement Income Security Act of 1974, as amended (“</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(ii) a “plan” within the meaning of Section 4975 of the Internal Revenue Code of 1986, as amended (the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(iii) a governmental plan or other governmental entity that is subject to federal, state or local law that is substantially similar to the provisions of Section 406 of ERISA or Section 4975 of the Code, or (iv) a person or entity the underlying assets of which are “plan assets” within the meaning of Section 3(42) of ERISA, Department of Labor Reg., 29 CFR § 2510.3-101 or otherwise.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5. Other Provisions</w:t>
      </w:r>
    </w:p>
    <w:p>
      <w:pPr>
        <w:spacing w:after="0" w:line="235" w:lineRule="exact"/>
        <w:rPr>
          <w:sz w:val="20"/>
          <w:szCs w:val="20"/>
          <w:color w:val="auto"/>
        </w:rPr>
      </w:pPr>
    </w:p>
    <w:p>
      <w:pPr>
        <w:jc w:val="both"/>
        <w:ind w:left="660" w:hanging="652"/>
        <w:spacing w:after="0" w:line="282"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2002 Master Agreement Protocol. </w:t>
      </w:r>
      <w:r>
        <w:rPr>
          <w:rFonts w:ascii="Arial" w:cs="Arial" w:eastAsia="Arial" w:hAnsi="Arial"/>
          <w:sz w:val="18"/>
          <w:szCs w:val="18"/>
          <w:color w:val="auto"/>
        </w:rPr>
        <w:t>The parties agree that the definitions and provisions of the ISDA 2002 Master Agreement Protocol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published by the International Swaps and Derivatives Association, Inc. on July 15, 2003 (the “</w:t>
      </w:r>
      <w:r>
        <w:rPr>
          <w:rFonts w:ascii="Arial" w:cs="Arial" w:eastAsia="Arial" w:hAnsi="Arial"/>
          <w:sz w:val="18"/>
          <w:szCs w:val="18"/>
          <w:b w:val="1"/>
          <w:bCs w:val="1"/>
          <w:i w:val="1"/>
          <w:iCs w:val="1"/>
          <w:color w:val="auto"/>
        </w:rPr>
        <w:t>Protocol</w:t>
      </w:r>
      <w:r>
        <w:rPr>
          <w:rFonts w:ascii="Arial" w:cs="Arial" w:eastAsia="Arial" w:hAnsi="Arial"/>
          <w:sz w:val="18"/>
          <w:szCs w:val="18"/>
          <w:color w:val="auto"/>
        </w:rPr>
        <w:t>”) are incorporated into and apply to this Agreement as if set out in full herein, for the purpose of indicating agreement by the parties to the amendments set out in Annexes 1 to 18 of the Protocol. References in the Protocol to a 2002 Master shall be deemed to be references to this Agreement.</w:t>
      </w:r>
    </w:p>
    <w:p>
      <w:pPr>
        <w:spacing w:after="0" w:line="169"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Escrow Payments. </w:t>
      </w:r>
      <w:r>
        <w:rPr>
          <w:rFonts w:ascii="Arial" w:cs="Arial" w:eastAsia="Arial" w:hAnsi="Arial"/>
          <w:sz w:val="18"/>
          <w:szCs w:val="18"/>
          <w:color w:val="auto"/>
        </w:rPr>
        <w:t>If by reason of the time difference between the cities in which payments are to be made, it is not possible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 payments to be made on any date on which both parties are required to make payments hereunder, either party may at its option and in its sole discretion notify the other party that payments on that date are to be made in escrow. In this case the deposit of the payment due earlier on that date shall be made by 2:00 p.m. (local time at the place for the earlier payment) on that date with an escrow agent selected by the party giving the notice, accompanied by irrevocable payment instructions (i) to release the deposited payment to the intended recipient upon receipt by the escrow agent of the required deposit of the corresponding payment from the other party on the same date accompanied by the irrevocable payment instructions to the same effect or (ii) if the required deposit of the corresponding payment is not made on the same date, to return the payment deposited to the party that paid it into escrow. The party that elects to have payments made in escrow shall pay the costs of the escrow arrangements and shall cause those arrangements to provide that the intended recipient of the payment due to be deposited first shall be entitled to interest on that deposited payment for each day in the period of its deposit at the rate offered by the escrow agent for that day for overnight deposits in the relevant currency in the office where it holds that deposited payment (at 11:00 a.m. local time on that day) if that payment is not released by 5:00 p.m. on the date it is deposited for any reason other than the intended recipients’ failure to make the escrow deposit it is required to make hereunder in a timely fashion.</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162"/>
        </w:numPr>
        <w:rPr>
          <w:rFonts w:ascii="Arial" w:cs="Arial" w:eastAsia="Arial" w:hAnsi="Arial"/>
          <w:sz w:val="19"/>
          <w:szCs w:val="19"/>
          <w:color w:val="auto"/>
        </w:rPr>
      </w:pPr>
      <w:r>
        <w:rPr>
          <w:rFonts w:ascii="Arial" w:cs="Arial" w:eastAsia="Arial" w:hAnsi="Arial"/>
          <w:sz w:val="19"/>
          <w:szCs w:val="19"/>
          <w:b w:val="1"/>
          <w:bCs w:val="1"/>
          <w:i w:val="1"/>
          <w:iCs w:val="1"/>
          <w:color w:val="auto"/>
        </w:rPr>
        <w:t>Set Off</w:t>
      </w:r>
      <w:r>
        <w:rPr>
          <w:rFonts w:ascii="Arial" w:cs="Arial" w:eastAsia="Arial" w:hAnsi="Arial"/>
          <w:sz w:val="19"/>
          <w:szCs w:val="19"/>
          <w:color w:val="auto"/>
        </w:rPr>
        <w:t>. Section 6 (f) of the Agreement is amended by deleting the first paragraph thereof and replacing it with the following:</w:t>
      </w:r>
    </w:p>
    <w:p>
      <w:pPr>
        <w:spacing w:after="0" w:line="241"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b w:val="1"/>
          <w:bCs w:val="1"/>
          <w:i w:val="1"/>
          <w:iCs w:val="1"/>
          <w:color w:val="auto"/>
        </w:rPr>
        <w:t>Set-Off.</w:t>
      </w:r>
      <w:r>
        <w:rPr>
          <w:rFonts w:ascii="Arial" w:cs="Arial" w:eastAsia="Arial" w:hAnsi="Arial"/>
          <w:sz w:val="19"/>
          <w:szCs w:val="19"/>
          <w:color w:val="auto"/>
        </w:rPr>
        <w:t xml:space="preserve"> Any amount payable hereunder (“Early Termination Amount”), in circumstances where an Event of Default has occurred with respect to the Defaulting Party or a Termination Event has occurred pursuant to Section 5(b)(v) (Credit Event Upon Merger) or Section 5(b)(vi) (Additional Termination Event) with respect to the Affected Party (in either case “</w:t>
      </w:r>
      <w:r>
        <w:rPr>
          <w:rFonts w:ascii="Arial" w:cs="Arial" w:eastAsia="Arial" w:hAnsi="Arial"/>
          <w:sz w:val="19"/>
          <w:szCs w:val="19"/>
          <w:b w:val="1"/>
          <w:bCs w:val="1"/>
          <w:i w:val="1"/>
          <w:iCs w:val="1"/>
          <w:color w:val="auto"/>
        </w:rPr>
        <w:t>Y</w:t>
      </w:r>
      <w:r>
        <w:rPr>
          <w:rFonts w:ascii="Arial" w:cs="Arial" w:eastAsia="Arial" w:hAnsi="Arial"/>
          <w:sz w:val="19"/>
          <w:szCs w:val="19"/>
          <w:color w:val="auto"/>
        </w:rPr>
        <w:t>”), will, at the option of the Non-defaulting party or the party that is not the Affected Party (in either case, “</w:t>
      </w:r>
      <w:r>
        <w:rPr>
          <w:rFonts w:ascii="Arial" w:cs="Arial" w:eastAsia="Arial" w:hAnsi="Arial"/>
          <w:sz w:val="19"/>
          <w:szCs w:val="19"/>
          <w:b w:val="1"/>
          <w:bCs w:val="1"/>
          <w:i w:val="1"/>
          <w:iCs w:val="1"/>
          <w:color w:val="auto"/>
        </w:rPr>
        <w:t>X</w:t>
      </w:r>
      <w:r>
        <w:rPr>
          <w:rFonts w:ascii="Arial" w:cs="Arial" w:eastAsia="Arial" w:hAnsi="Arial"/>
          <w:sz w:val="19"/>
          <w:szCs w:val="19"/>
          <w:color w:val="auto"/>
        </w:rPr>
        <w:t>”), and without prior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6" w:right="239" w:bottom="1440" w:gutter="0" w:footer="0" w:header="0"/>
        </w:sectPr>
      </w:pPr>
    </w:p>
    <w:bookmarkStart w:id="149" w:name="page150"/>
    <w:bookmarkEnd w:id="149"/>
    <w:p>
      <w:pPr>
        <w:jc w:val="both"/>
        <w:ind w:left="660"/>
        <w:spacing w:after="0" w:line="260" w:lineRule="auto"/>
        <w:rPr>
          <w:sz w:val="20"/>
          <w:szCs w:val="20"/>
          <w:color w:val="auto"/>
        </w:rPr>
      </w:pPr>
      <w:r>
        <w:rPr>
          <w:rFonts w:ascii="Arial" w:cs="Arial" w:eastAsia="Arial" w:hAnsi="Arial"/>
          <w:sz w:val="19"/>
          <w:szCs w:val="19"/>
          <w:color w:val="auto"/>
        </w:rPr>
        <w:t>notice to Y, be reduced by its set off against any other amounts (“Other Amounts”) payable by Y to X (where the Early Termination Amount is payable by X to Y) or by X to Y (where the Early Termination Amount is payable by Y to X) (whether or not arising under this Agreement, whether matured or unmatured, whether or not contingent and irrespective of the currency, place of payment or booking office of the sum or obligation). To the extent that any Other Amounts are so set off, those Other Amounts will be discharged promptly and in all respects. X will give notice to Y of any set off effected under this Section 6(f).”</w:t>
      </w:r>
    </w:p>
    <w:p>
      <w:pPr>
        <w:spacing w:after="0" w:line="188" w:lineRule="exact"/>
        <w:rPr>
          <w:sz w:val="20"/>
          <w:szCs w:val="20"/>
          <w:color w:val="auto"/>
        </w:rPr>
      </w:pPr>
    </w:p>
    <w:p>
      <w:pPr>
        <w:ind w:left="660" w:hanging="652"/>
        <w:spacing w:after="0" w:line="267" w:lineRule="auto"/>
        <w:tabs>
          <w:tab w:leader="none" w:pos="66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 xml:space="preserve">Change of Account. </w:t>
      </w:r>
      <w:r>
        <w:rPr>
          <w:rFonts w:ascii="Arial" w:cs="Arial" w:eastAsia="Arial" w:hAnsi="Arial"/>
          <w:sz w:val="20"/>
          <w:szCs w:val="20"/>
          <w:color w:val="auto"/>
        </w:rPr>
        <w:t>Section 2(b) of this Agreement is hereby amended by the addition of the following after the word “delivery” in</w:t>
      </w:r>
      <w:r>
        <w:rPr>
          <w:rFonts w:ascii="Arial" w:cs="Arial" w:eastAsia="Arial" w:hAnsi="Arial"/>
          <w:sz w:val="20"/>
          <w:szCs w:val="20"/>
          <w:b w:val="1"/>
          <w:bCs w:val="1"/>
          <w:color w:val="auto"/>
        </w:rPr>
        <w:t xml:space="preserve"> </w:t>
      </w:r>
      <w:r>
        <w:rPr>
          <w:rFonts w:ascii="Arial" w:cs="Arial" w:eastAsia="Arial" w:hAnsi="Arial"/>
          <w:sz w:val="20"/>
          <w:szCs w:val="20"/>
          <w:color w:val="auto"/>
        </w:rPr>
        <w:t>the first line thereof: “to another account in the same legal and tax jurisdiction as the original account.”</w:t>
      </w:r>
    </w:p>
    <w:p>
      <w:pPr>
        <w:spacing w:after="0" w:line="177" w:lineRule="exact"/>
        <w:rPr>
          <w:rFonts w:ascii="Arial" w:cs="Arial" w:eastAsia="Arial" w:hAnsi="Arial"/>
          <w:sz w:val="20"/>
          <w:szCs w:val="20"/>
          <w:color w:val="auto"/>
        </w:rPr>
      </w:pPr>
    </w:p>
    <w:p>
      <w:pPr>
        <w:jc w:val="both"/>
        <w:ind w:left="660" w:hanging="652"/>
        <w:spacing w:after="0" w:line="253" w:lineRule="auto"/>
        <w:tabs>
          <w:tab w:leader="none" w:pos="66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Waiver of Jury Trial</w:t>
      </w:r>
      <w:r>
        <w:rPr>
          <w:rFonts w:ascii="Arial" w:cs="Arial" w:eastAsia="Arial" w:hAnsi="Arial"/>
          <w:sz w:val="20"/>
          <w:szCs w:val="20"/>
          <w:color w:val="auto"/>
        </w:rPr>
        <w:t>. Each party hereby irrevocably waives any and all right to trial by jury in any suit, action or proceeding arising</w:t>
      </w:r>
      <w:r>
        <w:rPr>
          <w:rFonts w:ascii="Arial" w:cs="Arial" w:eastAsia="Arial" w:hAnsi="Arial"/>
          <w:sz w:val="20"/>
          <w:szCs w:val="20"/>
          <w:b w:val="1"/>
          <w:bCs w:val="1"/>
          <w:color w:val="auto"/>
        </w:rPr>
        <w:t xml:space="preserve"> </w:t>
      </w:r>
      <w:r>
        <w:rPr>
          <w:rFonts w:ascii="Arial" w:cs="Arial" w:eastAsia="Arial" w:hAnsi="Arial"/>
          <w:sz w:val="20"/>
          <w:szCs w:val="20"/>
          <w:color w:val="auto"/>
        </w:rPr>
        <w:t>out of or relating to this Agreement or any Transaction and acknowledges that this waiver is a material inducement to the other party’s entering into this Agreement.</w:t>
      </w:r>
    </w:p>
    <w:p>
      <w:pPr>
        <w:spacing w:after="0" w:line="191" w:lineRule="exact"/>
        <w:rPr>
          <w:rFonts w:ascii="Arial" w:cs="Arial" w:eastAsia="Arial" w:hAnsi="Arial"/>
          <w:sz w:val="20"/>
          <w:szCs w:val="20"/>
          <w:color w:val="auto"/>
        </w:rPr>
      </w:pPr>
    </w:p>
    <w:p>
      <w:pPr>
        <w:jc w:val="both"/>
        <w:ind w:left="660" w:hanging="652"/>
        <w:spacing w:after="0" w:line="248" w:lineRule="auto"/>
        <w:tabs>
          <w:tab w:leader="none" w:pos="66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Execution in Counterparts</w:t>
      </w:r>
      <w:r>
        <w:rPr>
          <w:rFonts w:ascii="Arial" w:cs="Arial" w:eastAsia="Arial" w:hAnsi="Arial"/>
          <w:sz w:val="20"/>
          <w:szCs w:val="20"/>
          <w:color w:val="auto"/>
        </w:rPr>
        <w:t>. This Agreement may be executed in any number of counterparts, each of which shall be an original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same effect as if the signatures thereto and hereto were upon the same instrument. Delivery of an executed counterpart by facsimile or by email delivery of a “.pdf” or “.tiff” data file shall be valid and binding on the parties with the same effect as if original signatures had been exchanged.</w:t>
      </w:r>
    </w:p>
    <w:p>
      <w:pPr>
        <w:spacing w:after="0" w:line="197" w:lineRule="exact"/>
        <w:rPr>
          <w:rFonts w:ascii="Arial" w:cs="Arial" w:eastAsia="Arial" w:hAnsi="Arial"/>
          <w:sz w:val="20"/>
          <w:szCs w:val="20"/>
          <w:color w:val="auto"/>
        </w:rPr>
      </w:pPr>
    </w:p>
    <w:p>
      <w:pPr>
        <w:jc w:val="both"/>
        <w:ind w:left="660" w:hanging="652"/>
        <w:spacing w:after="0" w:line="277"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Amendment and Restatement</w:t>
      </w:r>
      <w:r>
        <w:rPr>
          <w:rFonts w:ascii="Arial" w:cs="Arial" w:eastAsia="Arial" w:hAnsi="Arial"/>
          <w:sz w:val="18"/>
          <w:szCs w:val="18"/>
          <w:color w:val="auto"/>
        </w:rPr>
        <w:t>. The Master Agreement (including the Schedule) between SunTrust Bank and Cross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Inc. dated as of September 29, 2008 (the “Prior Agreement”) is hereby amended and restated in its entirety in the form of this Agreement (including this Schedule). Any transaction (however described or defined) existing under the Prior Agreement shall be, and shall be deemed to be, a Transaction governed by this Agreement, and any confirmation (however described or defined) under the Prior Agreement for any such transaction shall be a Confirmation under this Agreement, but otherwise, any Transaction under the Prior Agreement extant at the time of entry into this Agreement (including this Schedule) shall continue in full force and effect.</w:t>
      </w:r>
    </w:p>
    <w:p>
      <w:pPr>
        <w:spacing w:after="0" w:line="173" w:lineRule="exact"/>
        <w:rPr>
          <w:rFonts w:ascii="Arial" w:cs="Arial" w:eastAsia="Arial" w:hAnsi="Arial"/>
          <w:sz w:val="18"/>
          <w:szCs w:val="18"/>
          <w:color w:val="auto"/>
        </w:rPr>
      </w:pPr>
    </w:p>
    <w:p>
      <w:pPr>
        <w:ind w:left="660" w:hanging="652"/>
        <w:spacing w:after="0"/>
        <w:tabs>
          <w:tab w:leader="none" w:pos="66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[RESERVED]</w:t>
      </w:r>
    </w:p>
    <w:p>
      <w:pPr>
        <w:spacing w:after="0" w:line="229" w:lineRule="exact"/>
        <w:rPr>
          <w:rFonts w:ascii="Arial" w:cs="Arial" w:eastAsia="Arial" w:hAnsi="Arial"/>
          <w:sz w:val="20"/>
          <w:szCs w:val="20"/>
          <w:color w:val="auto"/>
        </w:rPr>
      </w:pPr>
    </w:p>
    <w:p>
      <w:pPr>
        <w:ind w:left="660" w:right="660" w:hanging="652"/>
        <w:spacing w:after="0" w:line="267" w:lineRule="auto"/>
        <w:tabs>
          <w:tab w:leader="none" w:pos="66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Accuracy of Specified Information</w:t>
      </w:r>
      <w:r>
        <w:rPr>
          <w:rFonts w:ascii="Arial" w:cs="Arial" w:eastAsia="Arial" w:hAnsi="Arial"/>
          <w:sz w:val="20"/>
          <w:szCs w:val="20"/>
          <w:color w:val="auto"/>
        </w:rPr>
        <w:t>. Section 3(d) of this Agreement is hereby amended by adding the following after the word</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and before the full stop:</w:t>
      </w:r>
    </w:p>
    <w:p>
      <w:pPr>
        <w:spacing w:after="0" w:line="183" w:lineRule="exact"/>
        <w:rPr>
          <w:rFonts w:ascii="Arial" w:cs="Arial" w:eastAsia="Arial" w:hAnsi="Arial"/>
          <w:sz w:val="20"/>
          <w:szCs w:val="20"/>
          <w:color w:val="auto"/>
        </w:rPr>
      </w:pPr>
    </w:p>
    <w:p>
      <w:pPr>
        <w:ind w:left="660"/>
        <w:spacing w:after="0" w:line="250" w:lineRule="auto"/>
        <w:rPr>
          <w:rFonts w:ascii="Arial" w:cs="Arial" w:eastAsia="Arial" w:hAnsi="Arial"/>
          <w:sz w:val="20"/>
          <w:szCs w:val="20"/>
          <w:color w:val="auto"/>
        </w:rPr>
      </w:pPr>
      <w:r>
        <w:rPr>
          <w:rFonts w:ascii="Arial" w:cs="Arial" w:eastAsia="Arial" w:hAnsi="Arial"/>
          <w:sz w:val="20"/>
          <w:szCs w:val="20"/>
          <w:color w:val="auto"/>
        </w:rPr>
        <w:t>“or, in the case of audited or unaudited financial statements, is a fair presentation of the financial condition of the relevant party in accordance with generally accepted accounting principles as of the dates of such statements subject, as applicable, to audit and year-end adjustments”.</w:t>
      </w:r>
    </w:p>
    <w:p>
      <w:pPr>
        <w:spacing w:after="0" w:line="193" w:lineRule="exact"/>
        <w:rPr>
          <w:rFonts w:ascii="Arial" w:cs="Arial" w:eastAsia="Arial" w:hAnsi="Arial"/>
          <w:sz w:val="20"/>
          <w:szCs w:val="20"/>
          <w:color w:val="auto"/>
        </w:rPr>
      </w:pPr>
    </w:p>
    <w:p>
      <w:pPr>
        <w:ind w:left="660" w:right="720" w:hanging="652"/>
        <w:spacing w:after="0" w:line="267" w:lineRule="auto"/>
        <w:tabs>
          <w:tab w:leader="none" w:pos="660"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 xml:space="preserve">Transfer. </w:t>
      </w:r>
      <w:r>
        <w:rPr>
          <w:rFonts w:ascii="Arial" w:cs="Arial" w:eastAsia="Arial" w:hAnsi="Arial"/>
          <w:sz w:val="20"/>
          <w:szCs w:val="20"/>
          <w:color w:val="auto"/>
        </w:rPr>
        <w:t>Section 7 is hereby amended by inserting the following phrase "which consent shall not be unreasonably withheld or</w:t>
      </w:r>
      <w:r>
        <w:rPr>
          <w:rFonts w:ascii="Arial" w:cs="Arial" w:eastAsia="Arial" w:hAnsi="Arial"/>
          <w:sz w:val="20"/>
          <w:szCs w:val="20"/>
          <w:b w:val="1"/>
          <w:bCs w:val="1"/>
          <w:color w:val="auto"/>
        </w:rPr>
        <w:t xml:space="preserve"> </w:t>
      </w:r>
      <w:r>
        <w:rPr>
          <w:rFonts w:ascii="Arial" w:cs="Arial" w:eastAsia="Arial" w:hAnsi="Arial"/>
          <w:sz w:val="20"/>
          <w:szCs w:val="20"/>
          <w:color w:val="auto"/>
        </w:rPr>
        <w:t>delayed" in the third line thereof after the word "party" and before the word "except".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6. FX Transactions and Currency Option Transactions</w:t>
      </w:r>
    </w:p>
    <w:p>
      <w:pPr>
        <w:spacing w:after="0" w:line="229" w:lineRule="exact"/>
        <w:rPr>
          <w:sz w:val="20"/>
          <w:szCs w:val="20"/>
          <w:color w:val="auto"/>
        </w:rPr>
      </w:pPr>
    </w:p>
    <w:p>
      <w:pPr>
        <w:ind w:left="660" w:hanging="4"/>
        <w:spacing w:after="0" w:line="267" w:lineRule="auto"/>
        <w:tabs>
          <w:tab w:leader="none" w:pos="1267" w:val="left"/>
        </w:tabs>
        <w:numPr>
          <w:ilvl w:val="0"/>
          <w:numId w:val="164"/>
        </w:numPr>
        <w:rPr>
          <w:rFonts w:ascii="Arial" w:cs="Arial" w:eastAsia="Arial" w:hAnsi="Arial"/>
          <w:sz w:val="20"/>
          <w:szCs w:val="20"/>
          <w:color w:val="auto"/>
        </w:rPr>
      </w:pPr>
      <w:r>
        <w:rPr>
          <w:rFonts w:ascii="Arial" w:cs="Arial" w:eastAsia="Arial" w:hAnsi="Arial"/>
          <w:sz w:val="20"/>
          <w:szCs w:val="20"/>
          <w:b w:val="1"/>
          <w:bCs w:val="1"/>
          <w:color w:val="auto"/>
        </w:rPr>
        <w:t xml:space="preserve">Incorporation of Definitions. </w:t>
      </w:r>
      <w:r>
        <w:rPr>
          <w:rFonts w:ascii="Arial" w:cs="Arial" w:eastAsia="Arial" w:hAnsi="Arial"/>
          <w:sz w:val="20"/>
          <w:szCs w:val="20"/>
          <w:color w:val="auto"/>
        </w:rPr>
        <w:t>The 1998 FX and Currency Option Definitions (the “FX Definitions”), published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International Swaps and Derivatives Association, Inc., the Emerging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6" w:right="239" w:bottom="1440" w:gutter="0" w:footer="0" w:header="0"/>
        </w:sectPr>
      </w:pPr>
    </w:p>
    <w:bookmarkStart w:id="150" w:name="page151"/>
    <w:bookmarkEnd w:id="150"/>
    <w:p>
      <w:pPr>
        <w:jc w:val="both"/>
        <w:ind w:left="4"/>
        <w:spacing w:after="0" w:line="250" w:lineRule="auto"/>
        <w:rPr>
          <w:sz w:val="20"/>
          <w:szCs w:val="20"/>
          <w:color w:val="auto"/>
        </w:rPr>
      </w:pPr>
      <w:r>
        <w:rPr>
          <w:rFonts w:ascii="Arial" w:cs="Arial" w:eastAsia="Arial" w:hAnsi="Arial"/>
          <w:sz w:val="20"/>
          <w:szCs w:val="20"/>
          <w:color w:val="auto"/>
        </w:rPr>
        <w:t>Markets Traders Association and The Foreign Exchange Committee, are hereby incorporated by reference with respect to FX Transactions (as defined in the FX Definitions) and Currency Option Transactions (as defined in the FX Definitions). Terms defined in the FX Definitions shall have the same meanings in this Part 6.</w:t>
      </w:r>
    </w:p>
    <w:p>
      <w:pPr>
        <w:spacing w:after="0" w:line="194" w:lineRule="exact"/>
        <w:rPr>
          <w:sz w:val="20"/>
          <w:szCs w:val="20"/>
          <w:color w:val="auto"/>
        </w:rPr>
      </w:pPr>
    </w:p>
    <w:p>
      <w:pPr>
        <w:jc w:val="both"/>
        <w:ind w:left="4" w:hanging="4"/>
        <w:spacing w:after="0" w:line="245" w:lineRule="auto"/>
        <w:tabs>
          <w:tab w:leader="none" w:pos="514"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Scope</w:t>
      </w:r>
      <w:r>
        <w:rPr>
          <w:rFonts w:ascii="Arial" w:cs="Arial" w:eastAsia="Arial" w:hAnsi="Arial"/>
          <w:sz w:val="20"/>
          <w:szCs w:val="20"/>
          <w:color w:val="auto"/>
        </w:rPr>
        <w:t>. Unless otherwise agreed in writing by the parties, each FX Transaction and Currency Option Transaction entered into</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before, on or after the date of this Agreement shall be a Transaction under this Agreement and shall be part of, subject to and governed by this Agreement even if the Confirmation in respect thereof does not state that such FX Transaction or Currency Option Transaction is subject to or governed by this Agreement or does not otherwise reference this Agreement For the avoidance of doubt, this Agreement shall supersede and replace in their entirety any SunTrust Terms and Conditions for Foreign Exchange Transactions in effect between the parties.</w:t>
      </w:r>
    </w:p>
    <w:p>
      <w:pPr>
        <w:spacing w:after="0" w:line="198" w:lineRule="exact"/>
        <w:rPr>
          <w:rFonts w:ascii="Arial" w:cs="Arial" w:eastAsia="Arial" w:hAnsi="Arial"/>
          <w:sz w:val="20"/>
          <w:szCs w:val="20"/>
          <w:color w:val="auto"/>
        </w:rPr>
      </w:pPr>
    </w:p>
    <w:p>
      <w:pPr>
        <w:ind w:left="424" w:hanging="424"/>
        <w:spacing w:after="0"/>
        <w:tabs>
          <w:tab w:leader="none" w:pos="424" w:val="left"/>
        </w:tabs>
        <w:numPr>
          <w:ilvl w:val="0"/>
          <w:numId w:val="165"/>
        </w:numPr>
        <w:rPr>
          <w:rFonts w:ascii="Arial" w:cs="Arial" w:eastAsia="Arial" w:hAnsi="Arial"/>
          <w:sz w:val="20"/>
          <w:szCs w:val="20"/>
          <w:color w:val="auto"/>
        </w:rPr>
      </w:pPr>
      <w:r>
        <w:rPr>
          <w:rFonts w:ascii="Arial" w:cs="Arial" w:eastAsia="Arial" w:hAnsi="Arial"/>
          <w:sz w:val="20"/>
          <w:szCs w:val="20"/>
          <w:b w:val="1"/>
          <w:bCs w:val="1"/>
          <w:color w:val="auto"/>
        </w:rPr>
        <w:t>Amendments to FX Definitions</w:t>
      </w:r>
      <w:r>
        <w:rPr>
          <w:rFonts w:ascii="Arial" w:cs="Arial" w:eastAsia="Arial" w:hAnsi="Arial"/>
          <w:sz w:val="20"/>
          <w:szCs w:val="20"/>
          <w:color w:val="auto"/>
        </w:rPr>
        <w:t>. The following amendments are to be made to the FX Definitions:</w:t>
      </w:r>
    </w:p>
    <w:p>
      <w:pPr>
        <w:spacing w:after="0" w:line="235" w:lineRule="exact"/>
        <w:rPr>
          <w:rFonts w:ascii="Arial" w:cs="Arial" w:eastAsia="Arial" w:hAnsi="Arial"/>
          <w:sz w:val="20"/>
          <w:szCs w:val="20"/>
          <w:color w:val="auto"/>
        </w:rPr>
      </w:pPr>
    </w:p>
    <w:p>
      <w:pPr>
        <w:ind w:left="884" w:hanging="235"/>
        <w:spacing w:after="0"/>
        <w:tabs>
          <w:tab w:leader="none" w:pos="884" w:val="left"/>
        </w:tabs>
        <w:numPr>
          <w:ilvl w:val="1"/>
          <w:numId w:val="165"/>
        </w:numPr>
        <w:rPr>
          <w:rFonts w:ascii="Arial" w:cs="Arial" w:eastAsia="Arial" w:hAnsi="Arial"/>
          <w:sz w:val="20"/>
          <w:szCs w:val="20"/>
          <w:color w:val="auto"/>
        </w:rPr>
      </w:pPr>
      <w:r>
        <w:rPr>
          <w:rFonts w:ascii="Arial" w:cs="Arial" w:eastAsia="Arial" w:hAnsi="Arial"/>
          <w:sz w:val="20"/>
          <w:szCs w:val="20"/>
          <w:color w:val="auto"/>
        </w:rPr>
        <w:t>Section 3.4 of the FX Definitions is hereby amended by adding the following subsection (c):</w:t>
      </w:r>
    </w:p>
    <w:p>
      <w:pPr>
        <w:spacing w:after="0" w:line="223" w:lineRule="exact"/>
        <w:rPr>
          <w:rFonts w:ascii="Arial" w:cs="Arial" w:eastAsia="Arial" w:hAnsi="Arial"/>
          <w:sz w:val="20"/>
          <w:szCs w:val="20"/>
          <w:color w:val="auto"/>
        </w:rPr>
      </w:pPr>
    </w:p>
    <w:p>
      <w:pPr>
        <w:ind w:left="3744" w:hanging="502"/>
        <w:spacing w:after="0"/>
        <w:tabs>
          <w:tab w:leader="none" w:pos="3744" w:val="left"/>
        </w:tabs>
        <w:numPr>
          <w:ilvl w:val="2"/>
          <w:numId w:val="165"/>
        </w:numPr>
        <w:rPr>
          <w:rFonts w:ascii="Arial" w:cs="Arial" w:eastAsia="Arial" w:hAnsi="Arial"/>
          <w:sz w:val="18"/>
          <w:szCs w:val="18"/>
          <w:color w:val="auto"/>
        </w:rPr>
      </w:pPr>
      <w:r>
        <w:rPr>
          <w:rFonts w:ascii="Arial" w:cs="Arial" w:eastAsia="Arial" w:hAnsi="Arial"/>
          <w:sz w:val="18"/>
          <w:szCs w:val="18"/>
          <w:b w:val="1"/>
          <w:bCs w:val="1"/>
          <w:color w:val="auto"/>
        </w:rPr>
        <w:t>Premium Payment</w:t>
      </w:r>
      <w:r>
        <w:rPr>
          <w:rFonts w:ascii="Arial" w:cs="Arial" w:eastAsia="Arial" w:hAnsi="Arial"/>
          <w:sz w:val="18"/>
          <w:szCs w:val="18"/>
          <w:color w:val="auto"/>
        </w:rPr>
        <w:t>. If a Premium is not received on the Premium Payment Date, the</w:t>
      </w:r>
    </w:p>
    <w:p>
      <w:pPr>
        <w:spacing w:after="0" w:line="44" w:lineRule="exact"/>
        <w:rPr>
          <w:rFonts w:ascii="Arial" w:cs="Arial" w:eastAsia="Arial" w:hAnsi="Arial"/>
          <w:sz w:val="18"/>
          <w:szCs w:val="18"/>
          <w:color w:val="auto"/>
        </w:rPr>
      </w:pPr>
    </w:p>
    <w:p>
      <w:pPr>
        <w:jc w:val="both"/>
        <w:ind w:left="1304"/>
        <w:spacing w:after="0"/>
        <w:rPr>
          <w:rFonts w:ascii="Arial" w:cs="Arial" w:eastAsia="Arial" w:hAnsi="Arial"/>
          <w:sz w:val="18"/>
          <w:szCs w:val="18"/>
          <w:color w:val="auto"/>
        </w:rPr>
      </w:pPr>
      <w:r>
        <w:rPr>
          <w:rFonts w:ascii="Arial" w:cs="Arial" w:eastAsia="Arial" w:hAnsi="Arial"/>
          <w:sz w:val="20"/>
          <w:szCs w:val="20"/>
          <w:color w:val="auto"/>
        </w:rPr>
        <w:t>Seller may elect: (i) to accept a late payment of such Premium; or (ii) to give written notice of such non-payment and, if such payment shall not be received within three Local Business Days of such notice, treat the related Currency Option Transaction as void; or (iii) to give written notice of such non-payment and, if such payment shall not be received within three Local Business Days of such notice, treat such non-payment as an Event of Default under Section 5(a)(i) of this Agreement. If the Seller elects to act under either clause (i) or (ii) of the preceding sentence, the Buyer shall pay interest on such Premium in the same currency as such Premium at the then prevailing market rate to the date that is the earlier to occur of the actual payment date of the Premium and the lapse of three Local Business Days after such written notice.</w:t>
      </w:r>
    </w:p>
    <w:p>
      <w:pPr>
        <w:spacing w:after="0" w:line="210" w:lineRule="exact"/>
        <w:rPr>
          <w:sz w:val="20"/>
          <w:szCs w:val="20"/>
          <w:color w:val="auto"/>
        </w:rPr>
      </w:pPr>
    </w:p>
    <w:p>
      <w:pPr>
        <w:ind w:left="944" w:hanging="295"/>
        <w:spacing w:after="0"/>
        <w:tabs>
          <w:tab w:leader="none" w:pos="944"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Section 3.7 of the FX Definitions is hereby amended by adding the following subsection (d):</w:t>
      </w:r>
    </w:p>
    <w:p>
      <w:pPr>
        <w:spacing w:after="0" w:line="223" w:lineRule="exact"/>
        <w:rPr>
          <w:rFonts w:ascii="Arial" w:cs="Arial" w:eastAsia="Arial" w:hAnsi="Arial"/>
          <w:sz w:val="20"/>
          <w:szCs w:val="20"/>
          <w:color w:val="auto"/>
        </w:rPr>
      </w:pPr>
    </w:p>
    <w:p>
      <w:pPr>
        <w:jc w:val="both"/>
        <w:ind w:left="1304" w:firstLine="1289"/>
        <w:spacing w:after="0" w:line="285" w:lineRule="auto"/>
        <w:tabs>
          <w:tab w:leader="none" w:pos="3110" w:val="left"/>
        </w:tabs>
        <w:numPr>
          <w:ilvl w:val="1"/>
          <w:numId w:val="166"/>
        </w:numPr>
        <w:rPr>
          <w:rFonts w:ascii="Arial" w:cs="Arial" w:eastAsia="Arial" w:hAnsi="Arial"/>
          <w:sz w:val="18"/>
          <w:szCs w:val="18"/>
          <w:color w:val="auto"/>
        </w:rPr>
      </w:pPr>
      <w:r>
        <w:rPr>
          <w:rFonts w:ascii="Arial" w:cs="Arial" w:eastAsia="Arial" w:hAnsi="Arial"/>
          <w:sz w:val="18"/>
          <w:szCs w:val="18"/>
          <w:b w:val="1"/>
          <w:bCs w:val="1"/>
          <w:color w:val="auto"/>
        </w:rPr>
        <w:t>Event of Default</w:t>
      </w:r>
      <w:r>
        <w:rPr>
          <w:rFonts w:ascii="Arial" w:cs="Arial" w:eastAsia="Arial" w:hAnsi="Arial"/>
          <w:sz w:val="18"/>
          <w:szCs w:val="18"/>
          <w:color w:val="auto"/>
        </w:rPr>
        <w:t>. If an Event of Default or a Potential Event of Default has occurred and is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and an Early Termination Date has not been designated by the Non-Defaulting Party (the “Default Period”), the Non-Defaulting Party may, by written notice, specify that any or all Currency Option Transactions with an Exercise Date in the Default Period shall be settled in accordance with Section 3.7(b) of the FX Definitions.</w:t>
      </w:r>
    </w:p>
    <w:p>
      <w:pPr>
        <w:spacing w:after="0" w:line="40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(iii) The FX Definitions are hereby amended by adding the following Section 3.9:</w:t>
      </w:r>
    </w:p>
    <w:p>
      <w:pPr>
        <w:spacing w:after="0" w:line="229" w:lineRule="exact"/>
        <w:rPr>
          <w:sz w:val="20"/>
          <w:szCs w:val="20"/>
          <w:color w:val="auto"/>
        </w:rPr>
      </w:pPr>
    </w:p>
    <w:p>
      <w:pPr>
        <w:jc w:val="both"/>
        <w:ind w:left="1304" w:right="20"/>
        <w:spacing w:after="0" w:line="250" w:lineRule="auto"/>
        <w:rPr>
          <w:sz w:val="20"/>
          <w:szCs w:val="20"/>
          <w:color w:val="auto"/>
        </w:rPr>
      </w:pPr>
      <w:r>
        <w:rPr>
          <w:rFonts w:ascii="Arial" w:cs="Arial" w:eastAsia="Arial" w:hAnsi="Arial"/>
          <w:sz w:val="20"/>
          <w:szCs w:val="20"/>
          <w:color w:val="auto"/>
        </w:rPr>
        <w:t>Section 3.9 Discharge and Termination of Currency Option Transactions. Unless otherwise agreed, any Call or any Put written by a party will automatically be terminated and discharged, in whole or in part, as applicable, against a Call or Put, respectively,</w:t>
      </w:r>
    </w:p>
    <w:p>
      <w:pPr>
        <w:spacing w:after="0" w:line="20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64"/>
          </w:cols>
          <w:pgMar w:left="896" w:top="366" w:right="239" w:bottom="1440" w:gutter="0" w:footer="0" w:header="0"/>
        </w:sectPr>
      </w:pPr>
    </w:p>
    <w:bookmarkStart w:id="151" w:name="page152"/>
    <w:bookmarkEnd w:id="151"/>
    <w:p>
      <w:pPr>
        <w:jc w:val="both"/>
        <w:ind w:left="1960"/>
        <w:spacing w:after="0" w:line="250" w:lineRule="auto"/>
        <w:rPr>
          <w:sz w:val="20"/>
          <w:szCs w:val="20"/>
          <w:color w:val="auto"/>
        </w:rPr>
      </w:pPr>
      <w:r>
        <w:rPr>
          <w:rFonts w:ascii="Arial" w:cs="Arial" w:eastAsia="Arial" w:hAnsi="Arial"/>
          <w:sz w:val="20"/>
          <w:szCs w:val="20"/>
          <w:color w:val="auto"/>
        </w:rPr>
        <w:t>written by the other party, such termination and discharge to occur automatically upon the payment in full of the last Premium payable in respect of such Currency Option Transactions; provided that such termination and discharge may only occur in respect of Currency Option Transactions:</w:t>
      </w:r>
    </w:p>
    <w:p>
      <w:pPr>
        <w:spacing w:after="0" w:line="200" w:lineRule="exact"/>
        <w:rPr>
          <w:sz w:val="20"/>
          <w:szCs w:val="20"/>
          <w:color w:val="auto"/>
        </w:rPr>
      </w:pPr>
    </w:p>
    <w:p>
      <w:pPr>
        <w:ind w:left="2180" w:hanging="227"/>
        <w:spacing w:after="0"/>
        <w:tabs>
          <w:tab w:leader="none" w:pos="21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being with respect to the same Put Currency and the same Call Currency;</w:t>
      </w:r>
    </w:p>
    <w:p>
      <w:pPr>
        <w:spacing w:after="0" w:line="15" w:lineRule="exact"/>
        <w:rPr>
          <w:rFonts w:ascii="Arial" w:cs="Arial" w:eastAsia="Arial" w:hAnsi="Arial"/>
          <w:sz w:val="20"/>
          <w:szCs w:val="20"/>
          <w:color w:val="auto"/>
        </w:rPr>
      </w:pPr>
    </w:p>
    <w:p>
      <w:pPr>
        <w:ind w:left="2240" w:hanging="287"/>
        <w:spacing w:after="0"/>
        <w:tabs>
          <w:tab w:leader="none" w:pos="22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having the same Expiration Date and Expiration Time;</w:t>
      </w:r>
    </w:p>
    <w:p>
      <w:pPr>
        <w:ind w:left="2300" w:hanging="347"/>
        <w:spacing w:after="0"/>
        <w:tabs>
          <w:tab w:leader="none" w:pos="23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being the same style (i.e., either both being American or both being European);</w:t>
      </w:r>
    </w:p>
    <w:p>
      <w:pPr>
        <w:ind w:left="2280" w:hanging="327"/>
        <w:spacing w:after="0"/>
        <w:tabs>
          <w:tab w:leader="none" w:pos="22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having the same Strike Price;</w:t>
      </w:r>
    </w:p>
    <w:p>
      <w:pPr>
        <w:ind w:left="2240" w:hanging="287"/>
        <w:spacing w:after="0"/>
        <w:tabs>
          <w:tab w:leader="none" w:pos="22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neither of which shall have been exercised by delivery of a Notice of Exercise;</w:t>
      </w:r>
    </w:p>
    <w:p>
      <w:pPr>
        <w:ind w:left="2280" w:hanging="327"/>
        <w:spacing w:after="0"/>
        <w:tabs>
          <w:tab w:leader="none" w:pos="22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being transacted by the same pair of Offices of Buyer and Seller;</w:t>
      </w:r>
    </w:p>
    <w:p>
      <w:pPr>
        <w:spacing w:after="0" w:line="213" w:lineRule="exact"/>
        <w:rPr>
          <w:sz w:val="20"/>
          <w:szCs w:val="20"/>
          <w:color w:val="auto"/>
        </w:rPr>
      </w:pPr>
    </w:p>
    <w:p>
      <w:pPr>
        <w:jc w:val="both"/>
        <w:ind w:left="1960"/>
        <w:spacing w:after="0" w:line="260" w:lineRule="auto"/>
        <w:rPr>
          <w:sz w:val="20"/>
          <w:szCs w:val="20"/>
          <w:color w:val="auto"/>
        </w:rPr>
      </w:pPr>
      <w:r>
        <w:rPr>
          <w:rFonts w:ascii="Arial" w:cs="Arial" w:eastAsia="Arial" w:hAnsi="Arial"/>
          <w:sz w:val="19"/>
          <w:szCs w:val="19"/>
          <w:color w:val="auto"/>
        </w:rPr>
        <w:t>and upon the occurrence of such termination and discharge, neither party shall have any further obligation to the other party in respect of the relevant Currency Option Transactions so terminated and discharged. In the case of a partial termination and discharge (i.e., where the Currency Option Transactions are for different amounts of the Currency Pair), the remaining portion of the Currency Option Transaction which is partially discharged and terminated shall continue to be a Currency Option Transaction for all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executed this document on the respective dates specified below with effect from the date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on the first page of this document.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440" w:type="dxa"/>
            <w:vAlign w:val="bottom"/>
            <w:gridSpan w:val="3"/>
          </w:tcPr>
          <w:p>
            <w:pPr>
              <w:spacing w:after="0"/>
              <w:rPr>
                <w:sz w:val="20"/>
                <w:szCs w:val="20"/>
                <w:color w:val="auto"/>
              </w:rPr>
            </w:pPr>
            <w:r>
              <w:rPr>
                <w:rFonts w:ascii="Arial" w:cs="Arial" w:eastAsia="Arial" w:hAnsi="Arial"/>
                <w:sz w:val="20"/>
                <w:szCs w:val="20"/>
                <w:b w:val="1"/>
                <w:bCs w:val="1"/>
                <w:color w:val="auto"/>
              </w:rPr>
              <w:t>SUNTRUST BANK</w:t>
            </w:r>
          </w:p>
        </w:tc>
        <w:tc>
          <w:tcPr>
            <w:tcW w:w="5440" w:type="dxa"/>
            <w:vAlign w:val="bottom"/>
            <w:gridSpan w:val="3"/>
          </w:tcPr>
          <w:p>
            <w:pPr>
              <w:ind w:left="1780"/>
              <w:spacing w:after="0"/>
              <w:rPr>
                <w:sz w:val="20"/>
                <w:szCs w:val="20"/>
                <w:color w:val="auto"/>
              </w:rPr>
            </w:pPr>
            <w:r>
              <w:rPr>
                <w:rFonts w:ascii="Arial" w:cs="Arial" w:eastAsia="Arial" w:hAnsi="Arial"/>
                <w:sz w:val="20"/>
                <w:szCs w:val="20"/>
                <w:b w:val="1"/>
                <w:bCs w:val="1"/>
                <w:color w:val="auto"/>
                <w:w w:val="98"/>
              </w:rPr>
              <w:t>CROSS COUNTRY HEALTHCARE, INC.</w:t>
            </w:r>
          </w:p>
        </w:tc>
      </w:tr>
      <w:tr>
        <w:trPr>
          <w:trHeight w:val="644"/>
        </w:trPr>
        <w:tc>
          <w:tcPr>
            <w:tcW w:w="3440" w:type="dxa"/>
            <w:vAlign w:val="bottom"/>
            <w:gridSpan w:val="3"/>
          </w:tcPr>
          <w:p>
            <w:pPr>
              <w:spacing w:after="0"/>
              <w:rPr>
                <w:sz w:val="20"/>
                <w:szCs w:val="20"/>
                <w:color w:val="auto"/>
              </w:rPr>
            </w:pPr>
            <w:r>
              <w:rPr>
                <w:rFonts w:ascii="Arial" w:cs="Arial" w:eastAsia="Arial" w:hAnsi="Arial"/>
                <w:sz w:val="20"/>
                <w:szCs w:val="20"/>
                <w:color w:val="auto"/>
              </w:rPr>
              <w:t>By: /s/ Edgar Joya</w:t>
            </w:r>
          </w:p>
        </w:tc>
        <w:tc>
          <w:tcPr>
            <w:tcW w:w="5440" w:type="dxa"/>
            <w:vAlign w:val="bottom"/>
            <w:gridSpan w:val="3"/>
          </w:tcPr>
          <w:p>
            <w:pPr>
              <w:ind w:left="1780"/>
              <w:spacing w:after="0"/>
              <w:rPr>
                <w:sz w:val="20"/>
                <w:szCs w:val="20"/>
                <w:color w:val="auto"/>
              </w:rPr>
            </w:pPr>
            <w:r>
              <w:rPr>
                <w:rFonts w:ascii="Arial" w:cs="Arial" w:eastAsia="Arial" w:hAnsi="Arial"/>
                <w:sz w:val="20"/>
                <w:szCs w:val="20"/>
                <w:color w:val="auto"/>
              </w:rPr>
              <w:t>By: /s/ Christopher R. Pizzi</w:t>
            </w:r>
          </w:p>
        </w:tc>
      </w:tr>
      <w:tr>
        <w:trPr>
          <w:trHeight w:val="20"/>
        </w:trPr>
        <w:tc>
          <w:tcPr>
            <w:tcW w:w="34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3"/>
        </w:trPr>
        <w:tc>
          <w:tcPr>
            <w:tcW w:w="3440" w:type="dxa"/>
            <w:vAlign w:val="bottom"/>
            <w:gridSpan w:val="3"/>
          </w:tcPr>
          <w:p>
            <w:pPr>
              <w:spacing w:after="0"/>
              <w:rPr>
                <w:sz w:val="20"/>
                <w:szCs w:val="20"/>
                <w:color w:val="auto"/>
              </w:rPr>
            </w:pPr>
            <w:r>
              <w:rPr>
                <w:rFonts w:ascii="Arial" w:cs="Arial" w:eastAsia="Arial" w:hAnsi="Arial"/>
                <w:sz w:val="20"/>
                <w:szCs w:val="20"/>
                <w:color w:val="auto"/>
              </w:rPr>
              <w:t>Name: Edgar Joya</w:t>
            </w:r>
          </w:p>
        </w:tc>
        <w:tc>
          <w:tcPr>
            <w:tcW w:w="5440" w:type="dxa"/>
            <w:vAlign w:val="bottom"/>
            <w:gridSpan w:val="3"/>
          </w:tcPr>
          <w:p>
            <w:pPr>
              <w:ind w:left="1780"/>
              <w:spacing w:after="0"/>
              <w:rPr>
                <w:sz w:val="20"/>
                <w:szCs w:val="20"/>
                <w:color w:val="auto"/>
              </w:rPr>
            </w:pPr>
            <w:r>
              <w:rPr>
                <w:rFonts w:ascii="Arial" w:cs="Arial" w:eastAsia="Arial" w:hAnsi="Arial"/>
                <w:sz w:val="20"/>
                <w:szCs w:val="20"/>
                <w:color w:val="auto"/>
              </w:rPr>
              <w:t>Name: Christopher R. Pizzi</w:t>
            </w:r>
          </w:p>
        </w:tc>
      </w:tr>
      <w:tr>
        <w:trPr>
          <w:trHeight w:val="250"/>
        </w:trPr>
        <w:tc>
          <w:tcPr>
            <w:tcW w:w="3440" w:type="dxa"/>
            <w:vAlign w:val="bottom"/>
            <w:gridSpan w:val="3"/>
          </w:tcPr>
          <w:p>
            <w:pPr>
              <w:spacing w:after="0"/>
              <w:rPr>
                <w:sz w:val="20"/>
                <w:szCs w:val="20"/>
                <w:color w:val="auto"/>
              </w:rPr>
            </w:pPr>
            <w:r>
              <w:rPr>
                <w:rFonts w:ascii="Arial" w:cs="Arial" w:eastAsia="Arial" w:hAnsi="Arial"/>
                <w:sz w:val="20"/>
                <w:szCs w:val="20"/>
                <w:color w:val="auto"/>
              </w:rPr>
              <w:t>Title: Vice President</w:t>
            </w:r>
          </w:p>
        </w:tc>
        <w:tc>
          <w:tcPr>
            <w:tcW w:w="5440" w:type="dxa"/>
            <w:vAlign w:val="bottom"/>
            <w:gridSpan w:val="3"/>
          </w:tcPr>
          <w:p>
            <w:pPr>
              <w:ind w:left="1780"/>
              <w:spacing w:after="0"/>
              <w:rPr>
                <w:sz w:val="20"/>
                <w:szCs w:val="20"/>
                <w:color w:val="auto"/>
              </w:rPr>
            </w:pPr>
            <w:r>
              <w:rPr>
                <w:rFonts w:ascii="Arial" w:cs="Arial" w:eastAsia="Arial" w:hAnsi="Arial"/>
                <w:sz w:val="20"/>
                <w:szCs w:val="20"/>
                <w:color w:val="auto"/>
              </w:rPr>
              <w:t>Title: Chief Financial Officer</w:t>
            </w:r>
          </w:p>
        </w:tc>
      </w:tr>
      <w:tr>
        <w:trPr>
          <w:trHeight w:val="712"/>
        </w:trPr>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960" w:type="dxa"/>
            <w:vAlign w:val="bottom"/>
            <w:gridSpan w:val="2"/>
          </w:tcPr>
          <w:p>
            <w:pPr>
              <w:ind w:left="2140"/>
              <w:spacing w:after="0"/>
              <w:rPr>
                <w:sz w:val="20"/>
                <w:szCs w:val="20"/>
                <w:color w:val="auto"/>
              </w:rPr>
            </w:pPr>
            <w:r>
              <w:rPr>
                <w:rFonts w:ascii="Arial" w:cs="Arial" w:eastAsia="Arial" w:hAnsi="Arial"/>
                <w:sz w:val="18"/>
                <w:szCs w:val="18"/>
                <w:color w:val="auto"/>
              </w:rPr>
              <w:t>38</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66"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240" w:type="dxa"/>
            <w:vAlign w:val="bottom"/>
            <w:gridSpan w:val="3"/>
          </w:tcPr>
          <w:p>
            <w:pPr>
              <w:ind w:left="520"/>
              <w:spacing w:after="0"/>
              <w:rPr>
                <w:sz w:val="20"/>
                <w:szCs w:val="20"/>
                <w:color w:val="auto"/>
              </w:rPr>
            </w:pPr>
            <w:r>
              <w:rPr>
                <w:rFonts w:ascii="Arial" w:cs="Arial" w:eastAsia="Arial" w:hAnsi="Arial"/>
                <w:sz w:val="18"/>
                <w:szCs w:val="18"/>
                <w:b w:val="1"/>
                <w:bCs w:val="1"/>
                <w:color w:val="auto"/>
              </w:rPr>
              <w:t>LIST OF SUBSIDIARIES</w:t>
            </w:r>
          </w:p>
        </w:tc>
      </w:tr>
      <w:tr>
        <w:trPr>
          <w:trHeight w:val="594"/>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color w:val="auto"/>
              </w:rPr>
              <w:t>Subsidiary</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Place of Incorporation</w:t>
            </w:r>
          </w:p>
        </w:tc>
      </w:tr>
      <w:tr>
        <w:trPr>
          <w:trHeight w:val="27"/>
        </w:trPr>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Advantage On Call,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Advantage RN,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Advantage RN Local Staffing,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Assignment America,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Cejka Search, Inc.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Credent Verification and Licensing Services,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Cross Country Holdco (Cyprus) Limited</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Cyprus</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Cross Country Infotech, Pvt. Ltd.</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Cross Country Staffing, Inc.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Cross Country Support Services,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Intelistaf of Oklahoma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Local Staff,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MDA Holdings, Inc.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Medical Doctor Associates,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Mediscan Diagnostic Services,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Mediscan Nursing Services,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Mediscan II,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OWS,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Travel Staff,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176"/>
        </w:trPr>
        <w:tc>
          <w:tcPr>
            <w:tcW w:w="1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37"/>
        </w:trPr>
        <w:tc>
          <w:tcPr>
            <w:tcW w:w="4180" w:type="dxa"/>
            <w:vAlign w:val="bottom"/>
            <w:gridSpan w:val="3"/>
          </w:tcPr>
          <w:p>
            <w:pPr>
              <w:ind w:left="500"/>
              <w:spacing w:after="0"/>
              <w:rPr>
                <w:sz w:val="20"/>
                <w:szCs w:val="20"/>
                <w:color w:val="auto"/>
              </w:rPr>
            </w:pPr>
            <w:r>
              <w:rPr>
                <w:rFonts w:ascii="Arial" w:cs="Arial" w:eastAsia="Arial" w:hAnsi="Arial"/>
                <w:sz w:val="18"/>
                <w:szCs w:val="18"/>
                <w:color w:val="auto"/>
              </w:rPr>
              <w:t>*   Majority-owned joint venture</w:t>
            </w:r>
          </w:p>
        </w:tc>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333-145484, 333-188519, 333-196639, and 333-218557 on Form S-8 and 333-200827 on Form S-1 of our reports dated March 2, 2018, relating to the consolidated financial statements and financial statement schedule of Cross Country Healthcare, Inc. and subsidiaries, and the effectiveness of Cross Country Healthcare, Inc. and subsidiaries' internal control over financial reporting, appearing in this Annual Report on Form 10-K of Cross Country Healthcare, Inc. for the year ended December 31, 2017.</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9"/>
          <w:szCs w:val="19"/>
          <w:color w:val="auto"/>
        </w:rPr>
        <w:t>DELOITTE &amp; TOUCHE LLP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2018</w:t>
      </w:r>
    </w:p>
    <w:p>
      <w:pPr>
        <w:sectPr>
          <w:pgSz w:w="11900" w:h="16838" w:orient="portrait"/>
          <w:cols w:equalWidth="0" w:num="1">
            <w:col w:w="11420"/>
          </w:cols>
          <w:pgMar w:left="240" w:top="58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2018</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Pizzi, certify that:</w:t>
      </w:r>
    </w:p>
    <w:p>
      <w:pPr>
        <w:spacing w:after="0" w:line="333"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2018</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SVP &amp; 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720" w:firstLine="648"/>
        <w:spacing w:after="0" w:line="291" w:lineRule="auto"/>
        <w:rPr>
          <w:sz w:val="20"/>
          <w:szCs w:val="20"/>
          <w:color w:val="auto"/>
        </w:rPr>
      </w:pPr>
      <w:r>
        <w:rPr>
          <w:rFonts w:ascii="Arial" w:cs="Arial" w:eastAsia="Arial" w:hAnsi="Arial"/>
          <w:sz w:val="16"/>
          <w:szCs w:val="16"/>
          <w:color w:val="auto"/>
        </w:rPr>
        <w:t>In connection with the accompanying Annual Report on Form 10-K of Cross Country Healthcare, Inc. (the Company) for the year ended December 31, 2017,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2018</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5">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Annual Report on Form 10-K of Cross Country Healthcare, Inc. (the "Company") for the year ended December 31, 2017, (the "Periodic Report"), I, Christopher R. Pizzi,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2018</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6">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SVP &amp; 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Accounting and Financial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o"/>
      <w:numFmt w:val="bullet"/>
      <w:start w:val="1"/>
    </w:lvl>
  </w:abstractNum>
  <w:abstractNum w:abstractNumId="2">
    <w:nsid w:val="94211F2"/>
    <w:multiLevelType w:val="hybridMultilevel"/>
    <w:lvl w:ilvl="0">
      <w:lvlJc w:val="left"/>
      <w:lvlText w:val="(%1)"/>
      <w:numFmt w:val="lowerRoman"/>
      <w:start w:val="1"/>
    </w:lvl>
  </w:abstractNum>
  <w:abstractNum w:abstractNumId="3">
    <w:nsid w:val="885E1B"/>
    <w:multiLevelType w:val="hybridMultilevel"/>
    <w:lvl w:ilvl="0">
      <w:lvlJc w:val="left"/>
      <w:lvlText w:val="l"/>
      <w:numFmt w:val="bullet"/>
      <w:start w:val="1"/>
    </w:lvl>
  </w:abstractNum>
  <w:abstractNum w:abstractNumId="4">
    <w:nsid w:val="76272110"/>
    <w:multiLevelType w:val="hybridMultilevel"/>
    <w:lvl w:ilvl="0">
      <w:lvlJc w:val="left"/>
      <w:lvlText w:val="(%1)"/>
      <w:numFmt w:val="lowerRoman"/>
      <w:start w:val="7"/>
    </w:lvl>
  </w:abstractNum>
  <w:abstractNum w:abstractNumId="5">
    <w:nsid w:val="4C04A8AF"/>
    <w:multiLevelType w:val="hybridMultilevel"/>
    <w:lvl w:ilvl="0">
      <w:lvlJc w:val="left"/>
      <w:lvlText w:val="(%1)"/>
      <w:numFmt w:val="lowerRoman"/>
      <w:start w:val="4"/>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1)"/>
      <w:numFmt w:val="lowerLetter"/>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1)"/>
      <w:numFmt w:val="decimal"/>
      <w:start w:val="1"/>
    </w:lvl>
  </w:abstractNum>
  <w:abstractNum w:abstractNumId="14">
    <w:nsid w:val="39EE015C"/>
    <w:multiLevelType w:val="hybridMultilevel"/>
    <w:lvl w:ilvl="0">
      <w:lvlJc w:val="left"/>
      <w:lvlText w:val="(%1)"/>
      <w:numFmt w:val="lowerLetter"/>
      <w:start w:val="1"/>
    </w:lvl>
    <w:lvl w:ilvl="1">
      <w:lvlJc w:val="left"/>
      <w:lvlText w:val="(%2)"/>
      <w:numFmt w:val="decimal"/>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1)"/>
      <w:numFmt w:val="lowerLetter"/>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1)"/>
      <w:numFmt w:val="lowerLetter"/>
      <w:start w:val="1"/>
    </w:lvl>
    <w:lvl w:ilvl="1">
      <w:lvlJc w:val="left"/>
      <w:lvlText w:val="(%2)"/>
      <w:numFmt w:val="lowerLetter"/>
      <w:start w:val="2"/>
    </w:lvl>
  </w:abstractNum>
  <w:abstractNum w:abstractNumId="20">
    <w:nsid w:val="7F01579B"/>
    <w:multiLevelType w:val="hybridMultilevel"/>
    <w:lvl w:ilvl="0">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1)"/>
      <w:numFmt w:val="lowerLetter"/>
      <w:start w:val="1"/>
    </w:lvl>
  </w:abstractNum>
  <w:abstractNum w:abstractNumId="23">
    <w:nsid w:val="5FB8370B"/>
    <w:multiLevelType w:val="hybridMultilevel"/>
    <w:lvl w:ilvl="0">
      <w:lvlJc w:val="left"/>
      <w:lvlText w:val="%1"/>
      <w:numFmt w:val="upperLetter"/>
      <w:start w:val="50"/>
    </w:lvl>
  </w:abstractNum>
  <w:abstractNum w:abstractNumId="24">
    <w:nsid w:val="50801EE1"/>
    <w:multiLevelType w:val="hybridMultilevel"/>
    <w:lvl w:ilvl="0">
      <w:lvlJc w:val="left"/>
      <w:lvlText w:val="%1"/>
      <w:numFmt w:val="upperLetter"/>
      <w:start w:val="50"/>
    </w:lvl>
  </w:abstractNum>
  <w:abstractNum w:abstractNumId="25">
    <w:nsid w:val="488AC1A"/>
    <w:multiLevelType w:val="hybridMultilevel"/>
    <w:lvl w:ilvl="0">
      <w:lvlJc w:val="left"/>
      <w:lvlText w:val="%1"/>
      <w:numFmt w:val="upperLetter"/>
      <w:start w:val="50"/>
    </w:lvl>
    <w:lvl w:ilvl="1">
      <w:lvlJc w:val="left"/>
      <w:lvlText w:val="%2"/>
      <w:numFmt w:val="upperLetter"/>
      <w:start w:val="1"/>
    </w:lvl>
  </w:abstractNum>
  <w:abstractNum w:abstractNumId="26">
    <w:nsid w:val="5FB8011C"/>
    <w:multiLevelType w:val="hybridMultilevel"/>
    <w:lvl w:ilvl="0">
      <w:lvlJc w:val="left"/>
      <w:lvlText w:val="%1"/>
      <w:numFmt w:val="upperLetter"/>
      <w:start w:val="50"/>
    </w:lvl>
  </w:abstractNum>
  <w:abstractNum w:abstractNumId="27">
    <w:nsid w:val="6AA78F7F"/>
    <w:multiLevelType w:val="hybridMultilevel"/>
    <w:lvl w:ilvl="0">
      <w:lvlJc w:val="left"/>
      <w:lvlText w:val="%1"/>
      <w:numFmt w:val="upperLetter"/>
      <w:start w:val="50"/>
    </w:lvl>
  </w:abstractNum>
  <w:abstractNum w:abstractNumId="28">
    <w:nsid w:val="7672BD23"/>
    <w:multiLevelType w:val="hybridMultilevel"/>
    <w:lvl w:ilvl="0">
      <w:lvlJc w:val="left"/>
      <w:lvlText w:val="%1"/>
      <w:numFmt w:val="upperLetter"/>
      <w:start w:val="50"/>
    </w:lvl>
  </w:abstractNum>
  <w:abstractNum w:abstractNumId="29">
    <w:nsid w:val="6FC75AF8"/>
    <w:multiLevelType w:val="hybridMultilevel"/>
    <w:lvl w:ilvl="0">
      <w:lvlJc w:val="left"/>
      <w:lvlText w:val="%1"/>
      <w:numFmt w:val="upperLetter"/>
      <w:start w:val="50"/>
    </w:lvl>
  </w:abstractNum>
  <w:abstractNum w:abstractNumId="30">
    <w:nsid w:val="6A5F7029"/>
    <w:multiLevelType w:val="hybridMultilevel"/>
    <w:lvl w:ilvl="0">
      <w:lvlJc w:val="left"/>
      <w:lvlText w:val="%1"/>
      <w:numFmt w:val="upperLetter"/>
      <w:start w:val="50"/>
    </w:lvl>
  </w:abstractNum>
  <w:abstractNum w:abstractNumId="31">
    <w:nsid w:val="7D5E18F8"/>
    <w:multiLevelType w:val="hybridMultilevel"/>
    <w:lvl w:ilvl="0">
      <w:lvlJc w:val="left"/>
      <w:lvlText w:val="%1"/>
      <w:numFmt w:val="upperLetter"/>
      <w:start w:val="50"/>
    </w:lvl>
  </w:abstractNum>
  <w:abstractNum w:abstractNumId="32">
    <w:nsid w:val="5F3534A4"/>
    <w:multiLevelType w:val="hybridMultilevel"/>
    <w:lvl w:ilvl="0">
      <w:lvlJc w:val="left"/>
      <w:lvlText w:val="%1"/>
      <w:numFmt w:val="upperLetter"/>
      <w:start w:val="50"/>
    </w:lvl>
  </w:abstractNum>
  <w:abstractNum w:abstractNumId="33">
    <w:nsid w:val="73A1821B"/>
    <w:multiLevelType w:val="hybridMultilevel"/>
    <w:lvl w:ilvl="0">
      <w:lvlJc w:val="left"/>
      <w:lvlText w:val="%1"/>
      <w:numFmt w:val="upperLetter"/>
      <w:start w:val="50"/>
    </w:lvl>
  </w:abstractNum>
  <w:abstractNum w:abstractNumId="34">
    <w:nsid w:val="7DE67713"/>
    <w:multiLevelType w:val="hybridMultilevel"/>
    <w:lvl w:ilvl="0">
      <w:lvlJc w:val="left"/>
      <w:lvlText w:val="%1"/>
      <w:numFmt w:val="upperLetter"/>
      <w:start w:val="50"/>
    </w:lvl>
  </w:abstractNum>
  <w:abstractNum w:abstractNumId="35">
    <w:nsid w:val="555C55B5"/>
    <w:multiLevelType w:val="hybridMultilevel"/>
    <w:lvl w:ilvl="0">
      <w:lvlJc w:val="left"/>
      <w:lvlText w:val="%1"/>
      <w:numFmt w:val="upperLetter"/>
      <w:start w:val="50"/>
    </w:lvl>
  </w:abstractNum>
  <w:abstractNum w:abstractNumId="36">
    <w:nsid w:val="3FA62ACA"/>
    <w:multiLevelType w:val="hybridMultilevel"/>
    <w:lvl w:ilvl="0">
      <w:lvlJc w:val="left"/>
      <w:lvlText w:val="%1"/>
      <w:numFmt w:val="upperLetter"/>
      <w:start w:val="50"/>
    </w:lvl>
  </w:abstractNum>
  <w:abstractNum w:abstractNumId="37">
    <w:nsid w:val="14FCE74E"/>
    <w:multiLevelType w:val="hybridMultilevel"/>
    <w:lvl w:ilvl="0">
      <w:lvlJc w:val="left"/>
      <w:lvlText w:val="%1"/>
      <w:numFmt w:val="upperLetter"/>
      <w:start w:val="50"/>
    </w:lvl>
  </w:abstractNum>
  <w:abstractNum w:abstractNumId="38">
    <w:nsid w:val="6A3DD3E8"/>
    <w:multiLevelType w:val="hybridMultilevel"/>
    <w:lvl w:ilvl="0">
      <w:lvlJc w:val="left"/>
      <w:lvlText w:val="%1"/>
      <w:numFmt w:val="upperLetter"/>
      <w:start w:val="50"/>
    </w:lvl>
  </w:abstractNum>
  <w:abstractNum w:abstractNumId="39">
    <w:nsid w:val="71C91298"/>
    <w:multiLevelType w:val="hybridMultilevel"/>
    <w:lvl w:ilvl="0">
      <w:lvlJc w:val="left"/>
      <w:lvlText w:val="%1"/>
      <w:numFmt w:val="upperLetter"/>
      <w:start w:val="50"/>
    </w:lvl>
  </w:abstractNum>
  <w:abstractNum w:abstractNumId="40">
    <w:nsid w:val="9DAF632"/>
    <w:multiLevelType w:val="hybridMultilevel"/>
    <w:lvl w:ilvl="0">
      <w:lvlJc w:val="left"/>
      <w:lvlText w:val="%1"/>
      <w:numFmt w:val="upperLetter"/>
      <w:start w:val="50"/>
    </w:lvl>
  </w:abstractNum>
  <w:abstractNum w:abstractNumId="41">
    <w:nsid w:val="53299938"/>
    <w:multiLevelType w:val="hybridMultilevel"/>
    <w:lvl w:ilvl="0">
      <w:lvlJc w:val="left"/>
      <w:lvlText w:val="%1"/>
      <w:numFmt w:val="upperLetter"/>
      <w:start w:val="50"/>
    </w:lvl>
  </w:abstractNum>
  <w:abstractNum w:abstractNumId="42">
    <w:nsid w:val="1FBFE8E0"/>
    <w:multiLevelType w:val="hybridMultilevel"/>
    <w:lvl w:ilvl="0">
      <w:lvlJc w:val="left"/>
      <w:lvlText w:val="%1"/>
      <w:numFmt w:val="upperLetter"/>
      <w:start w:val="50"/>
    </w:lvl>
  </w:abstractNum>
  <w:abstractNum w:abstractNumId="43">
    <w:nsid w:val="5092CA79"/>
    <w:multiLevelType w:val="hybridMultilevel"/>
    <w:lvl w:ilvl="0">
      <w:lvlJc w:val="left"/>
      <w:lvlText w:val="%1"/>
      <w:numFmt w:val="upperLetter"/>
      <w:start w:val="50"/>
    </w:lvl>
  </w:abstractNum>
  <w:abstractNum w:abstractNumId="44">
    <w:nsid w:val="1D545C4D"/>
    <w:multiLevelType w:val="hybridMultilevel"/>
    <w:lvl w:ilvl="0">
      <w:lvlJc w:val="left"/>
      <w:lvlText w:val="%1"/>
      <w:numFmt w:val="upperLetter"/>
      <w:start w:val="50"/>
    </w:lvl>
  </w:abstractNum>
  <w:abstractNum w:abstractNumId="45">
    <w:nsid w:val="59ADEA3D"/>
    <w:multiLevelType w:val="hybridMultilevel"/>
    <w:lvl w:ilvl="0">
      <w:lvlJc w:val="left"/>
      <w:lvlText w:val="%1."/>
      <w:numFmt w:val="decimal"/>
      <w:start w:val="6"/>
    </w:lvl>
  </w:abstractNum>
  <w:abstractNum w:abstractNumId="46">
    <w:nsid w:val="288F1A34"/>
    <w:multiLevelType w:val="hybridMultilevel"/>
    <w:lvl w:ilvl="0">
      <w:lvlJc w:val="left"/>
      <w:lvlText w:val="%1"/>
      <w:numFmt w:val="upperLetter"/>
      <w:start w:val="50"/>
    </w:lvl>
  </w:abstractNum>
  <w:abstractNum w:abstractNumId="47">
    <w:nsid w:val="2A155DBC"/>
    <w:multiLevelType w:val="hybridMultilevel"/>
    <w:lvl w:ilvl="0">
      <w:lvlJc w:val="left"/>
      <w:lvlText w:val="%1"/>
      <w:numFmt w:val="upperLetter"/>
      <w:start w:val="50"/>
    </w:lvl>
  </w:abstractNum>
  <w:abstractNum w:abstractNumId="48">
    <w:nsid w:val="1D9F6E5F"/>
    <w:multiLevelType w:val="hybridMultilevel"/>
    <w:lvl w:ilvl="0">
      <w:lvlJc w:val="left"/>
      <w:lvlText w:val="(%1)"/>
      <w:numFmt w:val="lowerLetter"/>
      <w:start w:val="1"/>
    </w:lvl>
  </w:abstractNum>
  <w:abstractNum w:abstractNumId="49">
    <w:nsid w:val="97E1B4E"/>
    <w:multiLevelType w:val="hybridMultilevel"/>
    <w:lvl w:ilvl="0">
      <w:lvlJc w:val="left"/>
      <w:lvlText w:val="%1"/>
      <w:numFmt w:val="upperLetter"/>
      <w:start w:val="50"/>
    </w:lvl>
  </w:abstractNum>
  <w:abstractNum w:abstractNumId="50">
    <w:nsid w:val="51088277"/>
    <w:multiLevelType w:val="hybridMultilevel"/>
    <w:lvl w:ilvl="0">
      <w:lvlJc w:val="left"/>
      <w:lvlText w:val="%1"/>
      <w:numFmt w:val="lowerLetter"/>
      <w:start w:val="1"/>
    </w:lvl>
    <w:lvl w:ilvl="1">
      <w:lvlJc w:val="left"/>
      <w:lvlText w:val="%2"/>
      <w:numFmt w:val="upperLetter"/>
      <w:start w:val="50"/>
    </w:lvl>
  </w:abstractNum>
  <w:abstractNum w:abstractNumId="51">
    <w:nsid w:val="1CA0C5FA"/>
    <w:multiLevelType w:val="hybridMultilevel"/>
    <w:lvl w:ilvl="0">
      <w:lvlJc w:val="left"/>
      <w:lvlText w:val="(%1)"/>
      <w:numFmt w:val="lowerLetter"/>
      <w:start w:val="2"/>
    </w:lvl>
    <w:lvl w:ilvl="1">
      <w:lvlJc w:val="left"/>
      <w:lvlText w:val="%2"/>
      <w:numFmt w:val="upperLetter"/>
      <w:start w:val="1"/>
    </w:lvl>
  </w:abstractNum>
  <w:abstractNum w:abstractNumId="52">
    <w:nsid w:val="53584BCB"/>
    <w:multiLevelType w:val="hybridMultilevel"/>
    <w:lvl w:ilvl="0">
      <w:lvlJc w:val="left"/>
      <w:lvlText w:val="%1"/>
      <w:numFmt w:val="lowerLetter"/>
      <w:start w:val="1"/>
    </w:lvl>
    <w:lvl w:ilvl="1">
      <w:lvlJc w:val="left"/>
      <w:lvlText w:val="%2"/>
      <w:numFmt w:val="upperLetter"/>
      <w:start w:val="50"/>
    </w:lvl>
  </w:abstractNum>
  <w:abstractNum w:abstractNumId="53">
    <w:nsid w:val="415E286C"/>
    <w:multiLevelType w:val="hybridMultilevel"/>
    <w:lvl w:ilvl="0">
      <w:lvlJc w:val="left"/>
      <w:lvlText w:val="(%1)"/>
      <w:numFmt w:val="lowerLetter"/>
      <w:start w:val="3"/>
    </w:lvl>
    <w:lvl w:ilvl="1">
      <w:lvlJc w:val="left"/>
      <w:lvlText w:val="%2"/>
      <w:numFmt w:val="upperLetter"/>
      <w:start w:val="1"/>
    </w:lvl>
  </w:abstractNum>
  <w:abstractNum w:abstractNumId="54">
    <w:nsid w:val="7C58FD05"/>
    <w:multiLevelType w:val="hybridMultilevel"/>
    <w:lvl w:ilvl="0">
      <w:lvlJc w:val="left"/>
      <w:lvlText w:val="%1"/>
      <w:numFmt w:val="lowerLetter"/>
      <w:start w:val="1"/>
    </w:lvl>
    <w:lvl w:ilvl="1">
      <w:lvlJc w:val="left"/>
      <w:lvlText w:val="%2"/>
      <w:numFmt w:val="upperLetter"/>
      <w:start w:val="50"/>
    </w:lvl>
  </w:abstractNum>
  <w:abstractNum w:abstractNumId="55">
    <w:nsid w:val="23D86AAC"/>
    <w:multiLevelType w:val="hybridMultilevel"/>
    <w:lvl w:ilvl="0">
      <w:lvlJc w:val="left"/>
      <w:lvlText w:val="(%1)"/>
      <w:numFmt w:val="lowerLetter"/>
      <w:start w:val="4"/>
    </w:lvl>
    <w:lvl w:ilvl="1">
      <w:lvlJc w:val="left"/>
      <w:lvlText w:val="%2"/>
      <w:numFmt w:val="upperLetter"/>
      <w:start w:val="50"/>
    </w:lvl>
  </w:abstractNum>
  <w:abstractNum w:abstractNumId="56">
    <w:nsid w:val="45E6D486"/>
    <w:multiLevelType w:val="hybridMultilevel"/>
    <w:lvl w:ilvl="0">
      <w:lvlJc w:val="left"/>
      <w:lvlText w:val="(%1)"/>
      <w:numFmt w:val="lowerLetter"/>
      <w:start w:val="6"/>
    </w:lvl>
    <w:lvl w:ilvl="1">
      <w:lvlJc w:val="left"/>
      <w:lvlText w:val="%2"/>
      <w:numFmt w:val="upperLetter"/>
      <w:start w:val="1"/>
    </w:lvl>
  </w:abstractNum>
  <w:abstractNum w:abstractNumId="57">
    <w:nsid w:val="5C10FE21"/>
    <w:multiLevelType w:val="hybridMultilevel"/>
    <w:lvl w:ilvl="0">
      <w:lvlJc w:val="left"/>
      <w:lvlText w:val="(%1)"/>
      <w:numFmt w:val="lowerLetter"/>
      <w:start w:val="7"/>
    </w:lvl>
    <w:lvl w:ilvl="1">
      <w:lvlJc w:val="left"/>
      <w:lvlText w:val="%2"/>
      <w:numFmt w:val="upperLetter"/>
      <w:start w:val="1"/>
    </w:lvl>
  </w:abstractNum>
  <w:abstractNum w:abstractNumId="58">
    <w:nsid w:val="E7FFA2B"/>
    <w:multiLevelType w:val="hybridMultilevel"/>
    <w:lvl w:ilvl="0">
      <w:lvlJc w:val="left"/>
      <w:lvlText w:val="%1"/>
      <w:numFmt w:val="upperLetter"/>
      <w:start w:val="50"/>
    </w:lvl>
  </w:abstractNum>
  <w:abstractNum w:abstractNumId="59">
    <w:nsid w:val="3C5991AA"/>
    <w:multiLevelType w:val="hybridMultilevel"/>
    <w:lvl w:ilvl="0">
      <w:lvlJc w:val="left"/>
      <w:lvlText w:val="%1"/>
      <w:numFmt w:val="upperLetter"/>
      <w:start w:val="50"/>
    </w:lvl>
  </w:abstractNum>
  <w:abstractNum w:abstractNumId="60">
    <w:nsid w:val="4BD8591A"/>
    <w:multiLevelType w:val="hybridMultilevel"/>
    <w:lvl w:ilvl="0">
      <w:lvlJc w:val="left"/>
      <w:lvlText w:val="%1."/>
      <w:numFmt w:val="decimal"/>
      <w:start w:val="14"/>
    </w:lvl>
  </w:abstractNum>
  <w:abstractNum w:abstractNumId="61">
    <w:nsid w:val="78DF6A55"/>
    <w:multiLevelType w:val="hybridMultilevel"/>
    <w:lvl w:ilvl="0">
      <w:lvlJc w:val="left"/>
      <w:lvlText w:val="%1."/>
      <w:numFmt w:val="decimal"/>
      <w:start w:val="1"/>
    </w:lvl>
  </w:abstractNum>
  <w:abstractNum w:abstractNumId="62">
    <w:nsid w:val="39B7AAA2"/>
    <w:multiLevelType w:val="hybridMultilevel"/>
    <w:lvl w:ilvl="0">
      <w:lvlJc w:val="left"/>
      <w:lvlText w:val="(%1)"/>
      <w:numFmt w:val="lowerLetter"/>
      <w:start w:val="1"/>
    </w:lvl>
  </w:abstractNum>
  <w:abstractNum w:abstractNumId="63">
    <w:nsid w:val="2B0D8DBE"/>
    <w:multiLevelType w:val="hybridMultilevel"/>
    <w:lvl w:ilvl="0">
      <w:lvlJc w:val="left"/>
      <w:lvlText w:val="(%1)"/>
      <w:numFmt w:val="lowerLetter"/>
      <w:start w:val="4"/>
    </w:lvl>
  </w:abstractNum>
  <w:abstractNum w:abstractNumId="64">
    <w:nsid w:val="6C80EC70"/>
    <w:multiLevelType w:val="hybridMultilevel"/>
    <w:lvl w:ilvl="0">
      <w:lvlJc w:val="left"/>
      <w:lvlText w:val="%1."/>
      <w:numFmt w:val="decimal"/>
      <w:start w:val="4"/>
    </w:lvl>
  </w:abstractNum>
  <w:abstractNum w:abstractNumId="65">
    <w:nsid w:val="379E21B5"/>
    <w:multiLevelType w:val="hybridMultilevel"/>
    <w:lvl w:ilvl="0">
      <w:lvlJc w:val="left"/>
      <w:lvlText w:val="%1."/>
      <w:numFmt w:val="decimal"/>
      <w:start w:val="1"/>
    </w:lvl>
  </w:abstractNum>
  <w:abstractNum w:abstractNumId="66">
    <w:nsid w:val="69E373"/>
    <w:multiLevelType w:val="hybridMultilevel"/>
    <w:lvl w:ilvl="0">
      <w:lvlJc w:val="left"/>
      <w:lvlText w:val="(%1)"/>
      <w:numFmt w:val="lowerLetter"/>
      <w:start w:val="1"/>
    </w:lvl>
  </w:abstractNum>
  <w:abstractNum w:abstractNumId="67">
    <w:nsid w:val="2C27173B"/>
    <w:multiLevelType w:val="hybridMultilevel"/>
    <w:lvl w:ilvl="0">
      <w:lvlJc w:val="left"/>
      <w:lvlText w:val="%1."/>
      <w:numFmt w:val="decimal"/>
      <w:start w:val="2"/>
    </w:lvl>
  </w:abstractNum>
  <w:abstractNum w:abstractNumId="68">
    <w:nsid w:val="4C9B0904"/>
    <w:multiLevelType w:val="hybridMultilevel"/>
    <w:lvl w:ilvl="0">
      <w:lvlJc w:val="left"/>
      <w:lvlText w:val="(%1)"/>
      <w:numFmt w:val="lowerLetter"/>
      <w:start w:val="1"/>
    </w:lvl>
    <w:lvl w:ilvl="1">
      <w:lvlJc w:val="left"/>
      <w:lvlText w:val="(%2)"/>
      <w:numFmt w:val="lowerRoman"/>
      <w:start w:val="1"/>
    </w:lvl>
  </w:abstractNum>
  <w:abstractNum w:abstractNumId="69">
    <w:nsid w:val="6AA7B75C"/>
    <w:multiLevelType w:val="hybridMultilevel"/>
    <w:lvl w:ilvl="0">
      <w:lvlJc w:val="left"/>
      <w:lvlText w:val="%1"/>
      <w:numFmt w:val="lowerLetter"/>
      <w:start w:val="1"/>
    </w:lvl>
    <w:lvl w:ilvl="1">
      <w:lvlJc w:val="left"/>
      <w:lvlText w:val="(%2)"/>
      <w:numFmt w:val="lowerLetter"/>
      <w:start w:val="61"/>
    </w:lvl>
  </w:abstractNum>
  <w:abstractNum w:abstractNumId="70">
    <w:nsid w:val="1DF029D3"/>
    <w:multiLevelType w:val="hybridMultilevel"/>
    <w:lvl w:ilvl="0">
      <w:lvlJc w:val="left"/>
      <w:lvlText w:val="(%1)"/>
      <w:numFmt w:val="lowerLetter"/>
      <w:start w:val="2"/>
    </w:lvl>
    <w:lvl w:ilvl="1">
      <w:lvlJc w:val="left"/>
      <w:lvlText w:val="(%2)"/>
      <w:numFmt w:val="lowerLetter"/>
      <w:start w:val="9"/>
    </w:lvl>
  </w:abstractNum>
  <w:abstractNum w:abstractNumId="71">
    <w:nsid w:val="5675FF36"/>
    <w:multiLevelType w:val="hybridMultilevel"/>
    <w:lvl w:ilvl="0">
      <w:lvlJc w:val="left"/>
      <w:lvlText w:val="(%1)"/>
      <w:numFmt w:val="lowerRoman"/>
      <w:start w:val="2"/>
    </w:lvl>
  </w:abstractNum>
  <w:abstractNum w:abstractNumId="72">
    <w:nsid w:val="3DD15094"/>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73">
    <w:nsid w:val="3DB012B3"/>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74">
    <w:nsid w:val="2708C9AF"/>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75">
    <w:nsid w:val="5B25ACE2"/>
    <w:multiLevelType w:val="hybridMultilevel"/>
    <w:lvl w:ilvl="0">
      <w:lvlJc w:val="left"/>
      <w:lvlText w:val="%1."/>
      <w:numFmt w:val="decimal"/>
      <w:start w:val="3"/>
    </w:lvl>
  </w:abstractNum>
  <w:abstractNum w:abstractNumId="76">
    <w:nsid w:val="175DFCF0"/>
    <w:multiLevelType w:val="hybridMultilevel"/>
    <w:lvl w:ilvl="0">
      <w:lvlJc w:val="left"/>
      <w:lvlText w:val="(%1)"/>
      <w:numFmt w:val="lowerLetter"/>
      <w:start w:val="1"/>
    </w:lvl>
    <w:lvl w:ilvl="1">
      <w:lvlJc w:val="left"/>
      <w:lvlText w:val="(%2)"/>
      <w:numFmt w:val="lowerRoman"/>
      <w:start w:val="1"/>
    </w:lvl>
  </w:abstractNum>
  <w:abstractNum w:abstractNumId="77">
    <w:nsid w:val="4F97E3E4"/>
    <w:multiLevelType w:val="hybridMultilevel"/>
    <w:lvl w:ilvl="0">
      <w:lvlJc w:val="left"/>
      <w:lvlText w:val="%1"/>
      <w:numFmt w:val="lowerLetter"/>
      <w:start w:val="1"/>
    </w:lvl>
    <w:lvl w:ilvl="1">
      <w:lvlJc w:val="left"/>
      <w:lvlText w:val="(%2)"/>
      <w:numFmt w:val="lowerRoman"/>
      <w:start w:val="4"/>
    </w:lvl>
  </w:abstractNum>
  <w:abstractNum w:abstractNumId="78">
    <w:nsid w:val="53B0A9E"/>
    <w:multiLevelType w:val="hybridMultilevel"/>
    <w:lvl w:ilvl="0">
      <w:lvlJc w:val="left"/>
      <w:lvlText w:val="(%1)"/>
      <w:numFmt w:val="lowerLetter"/>
      <w:start w:val="2"/>
    </w:lvl>
    <w:lvl w:ilvl="1">
      <w:lvlJc w:val="left"/>
      <w:lvlText w:val="%2"/>
      <w:numFmt w:val="lowerRoman"/>
      <w:start w:val="1"/>
    </w:lvl>
  </w:abstractNum>
  <w:abstractNum w:abstractNumId="79">
    <w:nsid w:val="34FD6B4F"/>
    <w:multiLevelType w:val="hybridMultilevel"/>
    <w:lvl w:ilvl="0">
      <w:lvlJc w:val="left"/>
      <w:lvlText w:val="%1."/>
      <w:numFmt w:val="decimal"/>
      <w:start w:val="4"/>
    </w:lvl>
  </w:abstractNum>
  <w:abstractNum w:abstractNumId="80">
    <w:nsid w:val="5915FF32"/>
    <w:multiLevelType w:val="hybridMultilevel"/>
    <w:lvl w:ilvl="0">
      <w:lvlJc w:val="left"/>
      <w:lvlText w:val="(%1)"/>
      <w:numFmt w:val="lowerLetter"/>
      <w:start w:val="1"/>
    </w:lvl>
    <w:lvl w:ilvl="1">
      <w:lvlJc w:val="left"/>
      <w:lvlText w:val="(%2)"/>
      <w:numFmt w:val="lowerRoman"/>
      <w:start w:val="1"/>
    </w:lvl>
  </w:abstractNum>
  <w:abstractNum w:abstractNumId="81">
    <w:nsid w:val="56438D15"/>
    <w:multiLevelType w:val="hybridMultilevel"/>
    <w:lvl w:ilvl="0">
      <w:lvlJc w:val="left"/>
      <w:lvlText w:val="(%1)"/>
      <w:numFmt w:val="lowerLetter"/>
      <w:start w:val="2"/>
    </w:lvl>
  </w:abstractNum>
  <w:abstractNum w:abstractNumId="82">
    <w:nsid w:val="519E3149"/>
    <w:multiLevelType w:val="hybridMultilevel"/>
    <w:lvl w:ilvl="0">
      <w:lvlJc w:val="left"/>
      <w:lvlText w:val="%1."/>
      <w:numFmt w:val="decimal"/>
      <w:start w:val="5"/>
    </w:lvl>
  </w:abstractNum>
  <w:abstractNum w:abstractNumId="83">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4">
    <w:nsid w:val="17A1B582"/>
    <w:multiLevelType w:val="hybridMultilevel"/>
    <w:lvl w:ilvl="0">
      <w:lvlJc w:val="left"/>
      <w:lvlText w:val="(%1)"/>
      <w:numFmt w:val="lowerRoman"/>
      <w:start w:val="3"/>
    </w:lvl>
    <w:lvl w:ilvl="1">
      <w:lvlJc w:val="left"/>
      <w:lvlText w:val="(%2)"/>
      <w:numFmt w:val="decimal"/>
      <w:start w:val="1"/>
    </w:lvl>
  </w:abstractNum>
  <w:abstractNum w:abstractNumId="85">
    <w:nsid w:val="4DF72E4E"/>
    <w:multiLevelType w:val="hybridMultilevel"/>
    <w:lvl w:ilvl="0">
      <w:lvlJc w:val="left"/>
      <w:lvlText w:val="(%1)"/>
      <w:numFmt w:val="lowerLetter"/>
      <w:start w:val="12"/>
    </w:lvl>
  </w:abstractNum>
  <w:abstractNum w:abstractNumId="86">
    <w:nsid w:val="5046B5A9"/>
    <w:multiLevelType w:val="hybridMultilevel"/>
    <w:lvl w:ilvl="0">
      <w:lvlJc w:val="left"/>
      <w:lvlText w:val="%1"/>
      <w:numFmt w:val="lowerRoman"/>
      <w:start w:val="1"/>
    </w:lvl>
    <w:lvl w:ilvl="1">
      <w:lvlJc w:val="left"/>
      <w:lvlText w:val="(%2)"/>
      <w:numFmt w:val="decimal"/>
      <w:start w:val="2"/>
    </w:lvl>
  </w:abstractNum>
  <w:abstractNum w:abstractNumId="87">
    <w:nsid w:val="5D888A08"/>
    <w:multiLevelType w:val="hybridMultilevel"/>
    <w:lvl w:ilvl="0">
      <w:lvlJc w:val="left"/>
      <w:lvlText w:val="(%1)"/>
      <w:numFmt w:val="lowerRoman"/>
      <w:start w:val="6"/>
    </w:lvl>
    <w:lvl w:ilvl="1">
      <w:lvlJc w:val="left"/>
      <w:lvlText w:val="%2"/>
      <w:numFmt w:val="decimal"/>
      <w:start w:val="1"/>
    </w:lvl>
  </w:abstractNum>
  <w:abstractNum w:abstractNumId="88">
    <w:nsid w:val="2A082C70"/>
    <w:multiLevelType w:val="hybridMultilevel"/>
    <w:lvl w:ilvl="0">
      <w:lvlJc w:val="left"/>
      <w:lvlText w:val="(%1)"/>
      <w:numFmt w:val="lowerLetter"/>
      <w:start w:val="12"/>
    </w:lvl>
  </w:abstractNum>
  <w:abstractNum w:abstractNumId="89">
    <w:nsid w:val="5EC6AFD4"/>
    <w:multiLevelType w:val="hybridMultilevel"/>
    <w:lvl w:ilvl="0">
      <w:lvlJc w:val="left"/>
      <w:lvlText w:val="%1"/>
      <w:numFmt w:val="lowerRoman"/>
      <w:start w:val="1"/>
    </w:lvl>
    <w:lvl w:ilvl="1">
      <w:lvlJc w:val="left"/>
      <w:lvlText w:val="(%2)"/>
      <w:numFmt w:val="decimal"/>
      <w:start w:val="2"/>
    </w:lvl>
  </w:abstractNum>
  <w:abstractNum w:abstractNumId="90">
    <w:nsid w:val="19E21BB2"/>
    <w:multiLevelType w:val="hybridMultilevel"/>
    <w:lvl w:ilvl="0">
      <w:lvlJc w:val="left"/>
      <w:lvlText w:val="(%1)"/>
      <w:numFmt w:val="lowerRoman"/>
      <w:start w:val="7"/>
    </w:lvl>
    <w:lvl w:ilvl="1">
      <w:lvlJc w:val="left"/>
      <w:lvlText w:val="%2"/>
      <w:numFmt w:val="decimal"/>
      <w:start w:val="1"/>
    </w:lvl>
  </w:abstractNum>
  <w:abstractNum w:abstractNumId="91">
    <w:nsid w:val="75E0858A"/>
    <w:multiLevelType w:val="hybridMultilevel"/>
    <w:lvl w:ilvl="0">
      <w:lvlJc w:val="left"/>
      <w:lvlText w:val="%1"/>
      <w:numFmt w:val="lowerRoman"/>
      <w:start w:val="1"/>
    </w:lvl>
    <w:lvl w:ilvl="1">
      <w:lvlJc w:val="left"/>
      <w:lvlText w:val="(%2)"/>
      <w:numFmt w:val="lowerLetter"/>
      <w:start w:val="12"/>
    </w:lvl>
  </w:abstractNum>
  <w:abstractNum w:abstractNumId="92">
    <w:nsid w:val="57A61A29"/>
    <w:multiLevelType w:val="hybridMultilevel"/>
    <w:lvl w:ilvl="0">
      <w:lvlJc w:val="left"/>
      <w:lvlText w:val="(%1)"/>
      <w:numFmt w:val="lowerRoman"/>
      <w:start w:val="8"/>
    </w:lvl>
    <w:lvl w:ilvl="1">
      <w:lvlJc w:val="left"/>
      <w:lvlText w:val="%2"/>
      <w:numFmt w:val="lowerLetter"/>
      <w:start w:val="1"/>
    </w:lvl>
  </w:abstractNum>
  <w:abstractNum w:abstractNumId="93">
    <w:nsid w:val="5399C654"/>
    <w:multiLevelType w:val="hybridMultilevel"/>
    <w:lvl w:ilvl="0">
      <w:lvlJc w:val="left"/>
      <w:lvlText w:val="(%1)"/>
      <w:numFmt w:val="lowerLetter"/>
      <w:start w:val="12"/>
    </w:lvl>
  </w:abstractNum>
  <w:abstractNum w:abstractNumId="94">
    <w:nsid w:val="20EE1348"/>
    <w:multiLevelType w:val="hybridMultilevel"/>
    <w:lvl w:ilvl="0">
      <w:lvlJc w:val="left"/>
      <w:lvlText w:val="(%1)"/>
      <w:numFmt w:val="decimal"/>
      <w:start w:val="2"/>
    </w:lvl>
  </w:abstractNum>
  <w:abstractNum w:abstractNumId="95">
    <w:nsid w:val="4427069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decimal"/>
      <w:start w:val="1"/>
    </w:lvl>
  </w:abstractNum>
  <w:abstractNum w:abstractNumId="96">
    <w:nsid w:val="B37E80A"/>
    <w:multiLevelType w:val="hybridMultilevel"/>
    <w:lvl w:ilvl="0">
      <w:lvlJc w:val="left"/>
      <w:lvlText w:val="(%1)"/>
      <w:numFmt w:val="lowerRoman"/>
      <w:start w:val="3"/>
    </w:lvl>
    <w:lvl w:ilvl="1">
      <w:lvlJc w:val="left"/>
      <w:lvlText w:val="(%2)"/>
      <w:numFmt w:val="lowerRoman"/>
      <w:start w:val="5"/>
    </w:lvl>
    <w:lvl w:ilvl="2">
      <w:lvlJc w:val="left"/>
      <w:lvlText w:val="(%3)"/>
      <w:numFmt w:val="decimal"/>
      <w:start w:val="1"/>
    </w:lvl>
    <w:lvl w:ilvl="3">
      <w:lvlJc w:val="left"/>
      <w:lvlText w:val="(%4)"/>
      <w:numFmt w:val="decimal"/>
      <w:start w:val="2"/>
    </w:lvl>
  </w:abstractNum>
  <w:abstractNum w:abstractNumId="97">
    <w:nsid w:val="2157F6BC"/>
    <w:multiLevelType w:val="hybridMultilevel"/>
    <w:lvl w:ilvl="0">
      <w:lvlJc w:val="left"/>
      <w:lvlText w:val="(%1)"/>
      <w:numFmt w:val="lowerLetter"/>
      <w:start w:val="3"/>
    </w:lvl>
    <w:lvl w:ilvl="1">
      <w:lvlJc w:val="left"/>
      <w:lvlText w:val="(%2)"/>
      <w:numFmt w:val="lowerRoman"/>
      <w:start w:val="1"/>
    </w:lvl>
  </w:abstractNum>
  <w:abstractNum w:abstractNumId="98">
    <w:nsid w:val="704E1DD5"/>
    <w:multiLevelType w:val="hybridMultilevel"/>
    <w:lvl w:ilvl="0">
      <w:lvlJc w:val="left"/>
      <w:lvlText w:val="%1."/>
      <w:numFmt w:val="decimal"/>
      <w:start w:val="6"/>
    </w:lvl>
  </w:abstractNum>
  <w:abstractNum w:abstractNumId="99">
    <w:nsid w:val="57D2F10E"/>
    <w:multiLevelType w:val="hybridMultilevel"/>
    <w:lvl w:ilvl="0">
      <w:lvlJc w:val="left"/>
      <w:lvlText w:val="(%1)"/>
      <w:numFmt w:val="lowerLetter"/>
      <w:start w:val="1"/>
    </w:lvl>
  </w:abstractNum>
  <w:abstractNum w:abstractNumId="100">
    <w:nsid w:val="BFFAE18"/>
    <w:multiLevelType w:val="hybridMultilevel"/>
    <w:lvl w:ilvl="0">
      <w:lvlJc w:val="left"/>
      <w:lvlText w:val="(%1)"/>
      <w:numFmt w:val="lowerLetter"/>
      <w:start w:val="2"/>
    </w:lvl>
    <w:lvl w:ilvl="1">
      <w:lvlJc w:val="left"/>
      <w:lvlText w:val="(%2)"/>
      <w:numFmt w:val="lowerRoman"/>
      <w:start w:val="1"/>
    </w:lvl>
  </w:abstractNum>
  <w:abstractNum w:abstractNumId="101">
    <w:nsid w:val="E3E47A8"/>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02">
    <w:nsid w:val="2E48F044"/>
    <w:multiLevelType w:val="hybridMultilevel"/>
    <w:lvl w:ilvl="0">
      <w:lvlJc w:val="left"/>
      <w:lvlText w:val="(%1)"/>
      <w:numFmt w:val="decimal"/>
      <w:start w:val="2"/>
    </w:lvl>
  </w:abstractNum>
  <w:abstractNum w:abstractNumId="103">
    <w:nsid w:val="49D0FE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4">
    <w:nsid w:val="4BEE5A5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5">
    <w:nsid w:val="5551B9F3"/>
    <w:multiLevelType w:val="hybridMultilevel"/>
    <w:lvl w:ilvl="0">
      <w:lvlJc w:val="left"/>
      <w:lvlText w:val="(%1)"/>
      <w:numFmt w:val="decimal"/>
      <w:start w:val="2"/>
    </w:lvl>
  </w:abstractNum>
  <w:abstractNum w:abstractNumId="106">
    <w:nsid w:val="24F6AB8E"/>
    <w:multiLevelType w:val="hybridMultilevel"/>
    <w:lvl w:ilvl="0">
      <w:lvlJc w:val="left"/>
      <w:lvlText w:val="(%1)"/>
      <w:numFmt w:val="lowerRoman"/>
      <w:start w:val="2"/>
    </w:lvl>
  </w:abstractNum>
  <w:abstractNum w:abstractNumId="107">
    <w:nsid w:val="634C574C"/>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8">
    <w:nsid w:val="24E99DD7"/>
    <w:multiLevelType w:val="hybridMultilevel"/>
    <w:lvl w:ilvl="0">
      <w:lvlJc w:val="left"/>
      <w:lvlText w:val="%1"/>
      <w:numFmt w:val="lowerLetter"/>
      <w:start w:val="1"/>
    </w:lvl>
    <w:lvl w:ilvl="1">
      <w:lvlJc w:val="left"/>
      <w:lvlText w:val="(%2)"/>
      <w:numFmt w:val="lowerLetter"/>
      <w:start w:val="22"/>
    </w:lvl>
  </w:abstractNum>
  <w:abstractNum w:abstractNumId="109">
    <w:nsid w:val="2A31B62D"/>
    <w:multiLevelType w:val="hybridMultilevel"/>
    <w:lvl w:ilvl="0">
      <w:lvlJc w:val="left"/>
      <w:lvlText w:val="(%1)"/>
      <w:numFmt w:val="lowerLetter"/>
      <w:start w:val="6"/>
    </w:lvl>
    <w:lvl w:ilvl="1">
      <w:lvlJc w:val="left"/>
      <w:lvlText w:val="%2"/>
      <w:numFmt w:val="lowerLetter"/>
      <w:start w:val="1"/>
    </w:lvl>
  </w:abstractNum>
  <w:abstractNum w:abstractNumId="110">
    <w:nsid w:val="1849C29B"/>
    <w:multiLevelType w:val="hybridMultilevel"/>
    <w:lvl w:ilvl="0">
      <w:lvlJc w:val="left"/>
      <w:lvlText w:val="%1."/>
      <w:numFmt w:val="decimal"/>
      <w:start w:val="7"/>
    </w:lvl>
  </w:abstractNum>
  <w:abstractNum w:abstractNumId="111">
    <w:nsid w:val="7DFF9D09"/>
    <w:multiLevelType w:val="hybridMultilevel"/>
    <w:lvl w:ilvl="0">
      <w:lvlJc w:val="left"/>
      <w:lvlText w:val="(%1)"/>
      <w:numFmt w:val="lowerLetter"/>
      <w:start w:val="1"/>
    </w:lvl>
  </w:abstractNum>
  <w:abstractNum w:abstractNumId="112">
    <w:nsid w:val="754342"/>
    <w:multiLevelType w:val="hybridMultilevel"/>
    <w:lvl w:ilvl="0">
      <w:lvlJc w:val="left"/>
      <w:lvlText w:val="%1."/>
      <w:numFmt w:val="decimal"/>
      <w:start w:val="8"/>
    </w:lvl>
  </w:abstractNum>
  <w:abstractNum w:abstractNumId="113">
    <w:nsid w:val="69E7F3E5"/>
    <w:multiLevelType w:val="hybridMultilevel"/>
    <w:lvl w:ilvl="0">
      <w:lvlJc w:val="left"/>
      <w:lvlText w:val="(%1)"/>
      <w:numFmt w:val="lowerLetter"/>
      <w:start w:val="1"/>
    </w:lvl>
  </w:abstractNum>
  <w:abstractNum w:abstractNumId="114">
    <w:nsid w:val="2A6DE806"/>
    <w:multiLevelType w:val="hybridMultilevel"/>
    <w:lvl w:ilvl="0">
      <w:lvlJc w:val="left"/>
      <w:lvlText w:val="(%1)"/>
      <w:numFmt w:val="lowerLetter"/>
      <w:start w:val="3"/>
    </w:lvl>
  </w:abstractNum>
  <w:abstractNum w:abstractNumId="115">
    <w:nsid w:val="1816F8C4"/>
    <w:multiLevelType w:val="hybridMultilevel"/>
    <w:lvl w:ilvl="0">
      <w:lvlJc w:val="left"/>
      <w:lvlText w:val="%1."/>
      <w:numFmt w:val="decimal"/>
      <w:start w:val="9"/>
    </w:lvl>
  </w:abstractNum>
  <w:abstractNum w:abstractNumId="116">
    <w:nsid w:val="37DF2233"/>
    <w:multiLevelType w:val="hybridMultilevel"/>
    <w:lvl w:ilvl="0">
      <w:lvlJc w:val="left"/>
      <w:lvlText w:val="(%1)"/>
      <w:numFmt w:val="lowerLetter"/>
      <w:start w:val="1"/>
    </w:lvl>
  </w:abstractNum>
  <w:abstractNum w:abstractNumId="117">
    <w:nsid w:val="7AB49DAF"/>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18">
    <w:nsid w:val="759F82CD"/>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119">
    <w:nsid w:val="61E74EA3"/>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abstractNum>
  <w:abstractNum w:abstractNumId="120">
    <w:nsid w:val="597B4D84"/>
    <w:multiLevelType w:val="hybridMultilevel"/>
    <w:lvl w:ilvl="0">
      <w:lvlJc w:val="left"/>
      <w:lvlText w:val="(%1)"/>
      <w:numFmt w:val="lowerRoman"/>
      <w:start w:val="2"/>
    </w:lvl>
  </w:abstractNum>
  <w:abstractNum w:abstractNumId="121">
    <w:nsid w:val="F819E7F"/>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122">
    <w:nsid w:val="57C7D42D"/>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123">
    <w:nsid w:val="312167AD"/>
    <w:multiLevelType w:val="hybridMultilevel"/>
    <w:lvl w:ilvl="0">
      <w:lvlJc w:val="left"/>
      <w:lvlText w:val="%1."/>
      <w:numFmt w:val="decimal"/>
      <w:start w:val="10"/>
    </w:lvl>
    <w:lvl w:ilvl="1">
      <w:lvlJc w:val="left"/>
      <w:lvlText w:val="%2"/>
      <w:numFmt w:val="lowerRoman"/>
      <w:start w:val="1"/>
    </w:lvl>
    <w:lvl w:ilvl="2">
      <w:lvlJc w:val="left"/>
      <w:lvlText w:val="%3"/>
      <w:numFmt w:val="decimal"/>
      <w:start w:val="1"/>
    </w:lvl>
  </w:abstractNum>
  <w:abstractNum w:abstractNumId="124">
    <w:nsid w:val="631B64D4"/>
    <w:multiLevelType w:val="hybridMultilevel"/>
    <w:lvl w:ilvl="0">
      <w:lvlJc w:val="left"/>
      <w:lvlText w:val="(%1)"/>
      <w:numFmt w:val="lowerLetter"/>
      <w:start w:val="1"/>
    </w:lvl>
  </w:abstractNum>
  <w:abstractNum w:abstractNumId="125">
    <w:nsid w:val="78B5E776"/>
    <w:multiLevelType w:val="hybridMultilevel"/>
    <w:lvl w:ilvl="0">
      <w:lvlJc w:val="left"/>
      <w:lvlText w:val="%1."/>
      <w:numFmt w:val="decimal"/>
      <w:start w:val="11"/>
    </w:lvl>
  </w:abstractNum>
  <w:abstractNum w:abstractNumId="126">
    <w:nsid w:val="75486E47"/>
    <w:multiLevelType w:val="hybridMultilevel"/>
    <w:lvl w:ilvl="0">
      <w:lvlJc w:val="left"/>
      <w:lvlText w:val="%1."/>
      <w:numFmt w:val="decimal"/>
      <w:start w:val="12"/>
    </w:lvl>
  </w:abstractNum>
  <w:abstractNum w:abstractNumId="127">
    <w:nsid w:val="6E534CDE"/>
    <w:multiLevelType w:val="hybridMultilevel"/>
    <w:lvl w:ilvl="0">
      <w:lvlJc w:val="left"/>
      <w:lvlText w:val="(%1)"/>
      <w:numFmt w:val="lowerLetter"/>
      <w:start w:val="1"/>
    </w:lvl>
  </w:abstractNum>
  <w:abstractNum w:abstractNumId="128">
    <w:nsid w:val="1A0DDE32"/>
    <w:multiLevelType w:val="hybridMultilevel"/>
    <w:lvl w:ilvl="0">
      <w:lvlJc w:val="left"/>
      <w:lvlText w:val="(%1)"/>
      <w:numFmt w:val="lowerRoman"/>
      <w:start w:val="1"/>
    </w:lvl>
  </w:abstractNum>
  <w:abstractNum w:abstractNumId="129">
    <w:nsid w:val="65968C1C"/>
    <w:multiLevelType w:val="hybridMultilevel"/>
    <w:lvl w:ilvl="0">
      <w:lvlJc w:val="left"/>
      <w:lvlText w:val="(%1)"/>
      <w:numFmt w:val="lowerRoman"/>
      <w:start w:val="5"/>
    </w:lvl>
  </w:abstractNum>
  <w:abstractNum w:abstractNumId="130">
    <w:nsid w:val="46263DEC"/>
    <w:multiLevelType w:val="hybridMultilevel"/>
    <w:lvl w:ilvl="0">
      <w:lvlJc w:val="left"/>
      <w:lvlText w:val="(%1)"/>
      <w:numFmt w:val="lowerRoman"/>
      <w:start w:val="6"/>
    </w:lvl>
  </w:abstractNum>
  <w:abstractNum w:abstractNumId="131">
    <w:nsid w:val="260D8C4A"/>
    <w:multiLevelType w:val="hybridMultilevel"/>
    <w:lvl w:ilvl="0">
      <w:lvlJc w:val="left"/>
      <w:lvlText w:val="(%1)"/>
      <w:numFmt w:val="lowerLetter"/>
      <w:start w:val="2"/>
    </w:lvl>
  </w:abstractNum>
  <w:abstractNum w:abstractNumId="132">
    <w:nsid w:val="73D4D3C4"/>
    <w:multiLevelType w:val="hybridMultilevel"/>
    <w:lvl w:ilvl="0">
      <w:lvlJc w:val="left"/>
      <w:lvlText w:val="%1."/>
      <w:numFmt w:val="decimal"/>
      <w:start w:val="13"/>
    </w:lvl>
  </w:abstractNum>
  <w:abstractNum w:abstractNumId="133">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34">
    <w:nsid w:val="6FDE8AF6"/>
    <w:multiLevelType w:val="hybridMultilevel"/>
    <w:lvl w:ilvl="0">
      <w:lvlJc w:val="left"/>
      <w:lvlText w:val="(%1)"/>
      <w:numFmt w:val="lowerLetter"/>
      <w:start w:val="4"/>
    </w:lvl>
  </w:abstractNum>
  <w:abstractNum w:abstractNumId="135">
    <w:nsid w:val="3FC32E20"/>
    <w:multiLevelType w:val="hybridMultilevel"/>
    <w:lvl w:ilvl="0">
      <w:lvlJc w:val="left"/>
      <w:lvlText w:val="(%1)"/>
      <w:numFmt w:val="lowerLetter"/>
      <w:start w:val="61"/>
    </w:lvl>
  </w:abstractNum>
  <w:abstractNum w:abstractNumId="136">
    <w:nsid w:val="49C0E823"/>
    <w:multiLevelType w:val="hybridMultilevel"/>
    <w:lvl w:ilvl="0">
      <w:lvlJc w:val="left"/>
      <w:lvlText w:val="(%1)"/>
      <w:numFmt w:val="lowerLetter"/>
      <w:start w:val="22"/>
    </w:lvl>
  </w:abstractNum>
  <w:abstractNum w:abstractNumId="137">
    <w:nsid w:val="14D53685"/>
    <w:multiLevelType w:val="hybridMultilevel"/>
    <w:lvl w:ilvl="0">
      <w:lvlJc w:val="left"/>
      <w:lvlText w:val="%1."/>
      <w:numFmt w:val="decimal"/>
      <w:start w:val="14"/>
    </w:lvl>
  </w:abstractNum>
  <w:abstractNum w:abstractNumId="138">
    <w:nsid w:val="230F856C"/>
    <w:multiLevelType w:val="hybridMultilevel"/>
    <w:lvl w:ilvl="0">
      <w:lvlJc w:val="left"/>
      <w:lvlText w:val="(%1)"/>
      <w:numFmt w:val="lowerLetter"/>
      <w:start w:val="1"/>
    </w:lvl>
    <w:lvl w:ilvl="1">
      <w:lvlJc w:val="left"/>
      <w:lvlText w:val="(%2)"/>
      <w:numFmt w:val="lowerRoman"/>
      <w:start w:val="1"/>
    </w:lvl>
  </w:abstractNum>
  <w:abstractNum w:abstractNumId="139">
    <w:nsid w:val="6EAA85F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40">
    <w:nsid w:val="3F06ECB2"/>
    <w:multiLevelType w:val="hybridMultilevel"/>
    <w:lvl w:ilvl="0">
      <w:lvlJc w:val="left"/>
      <w:lvlText w:val="(%1)"/>
      <w:numFmt w:val="lowerLetter"/>
      <w:start w:val="1"/>
    </w:lvl>
  </w:abstractNum>
  <w:abstractNum w:abstractNumId="141">
    <w:nsid w:val="3B594807"/>
    <w:multiLevelType w:val="hybridMultilevel"/>
    <w:lvl w:ilvl="0">
      <w:lvlJc w:val="left"/>
      <w:lvlText w:val="(%1)"/>
      <w:numFmt w:val="lowerRoman"/>
      <w:start w:val="1"/>
    </w:lvl>
  </w:abstractNum>
  <w:abstractNum w:abstractNumId="142">
    <w:nsid w:val="6CAA2304"/>
    <w:multiLevelType w:val="hybridMultilevel"/>
    <w:lvl w:ilvl="0">
      <w:lvlJc w:val="left"/>
      <w:lvlText w:val="(%1)"/>
      <w:numFmt w:val="lowerRoman"/>
      <w:start w:val="3"/>
    </w:lvl>
  </w:abstractNum>
  <w:abstractNum w:abstractNumId="143">
    <w:nsid w:val="3F7C2FF4"/>
    <w:multiLevelType w:val="hybridMultilevel"/>
    <w:lvl w:ilvl="0">
      <w:lvlJc w:val="left"/>
      <w:lvlText w:val="(%1)"/>
      <w:numFmt w:val="decimal"/>
      <w:start w:val="1"/>
    </w:lvl>
  </w:abstractNum>
  <w:abstractNum w:abstractNumId="144">
    <w:nsid w:val="25413BEC"/>
    <w:multiLevelType w:val="hybridMultilevel"/>
    <w:lvl w:ilvl="0">
      <w:lvlJc w:val="left"/>
      <w:lvlText w:val="(%1)"/>
      <w:numFmt w:val="lowerLetter"/>
      <w:start w:val="1"/>
    </w:lvl>
  </w:abstractNum>
  <w:abstractNum w:abstractNumId="145">
    <w:nsid w:val="17180B0B"/>
    <w:multiLevelType w:val="hybridMultilevel"/>
    <w:lvl w:ilvl="0">
      <w:lvlJc w:val="left"/>
      <w:lvlText w:val="(%1)"/>
      <w:numFmt w:val="lowerLetter"/>
      <w:start w:val="1"/>
    </w:lvl>
  </w:abstractNum>
  <w:abstractNum w:abstractNumId="146">
    <w:nsid w:val="579328B9"/>
    <w:multiLevelType w:val="hybridMultilevel"/>
    <w:lvl w:ilvl="0">
      <w:lvlJc w:val="left"/>
      <w:lvlText w:val="(%1)"/>
      <w:numFmt w:val="lowerLetter"/>
      <w:start w:val="2"/>
    </w:lvl>
  </w:abstractNum>
  <w:abstractNum w:abstractNumId="147">
    <w:nsid w:val="5D205E20"/>
    <w:multiLevelType w:val="hybridMultilevel"/>
    <w:lvl w:ilvl="0">
      <w:lvlJc w:val="left"/>
      <w:lvlText w:val="(%1)"/>
      <w:numFmt w:val="lowerRoman"/>
      <w:start w:val="1"/>
    </w:lvl>
  </w:abstractNum>
  <w:abstractNum w:abstractNumId="148">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49">
    <w:nsid w:val="4D32AB86"/>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50">
    <w:nsid w:val="3F07ACC3"/>
    <w:multiLevelType w:val="hybridMultilevel"/>
    <w:lvl w:ilvl="0">
      <w:lvlJc w:val="left"/>
      <w:lvlText w:val="(%1)"/>
      <w:numFmt w:val="lowerRoman"/>
      <w:start w:val="4"/>
    </w:lvl>
  </w:abstractNum>
  <w:abstractNum w:abstractNumId="151">
    <w:nsid w:val="6B47F63E"/>
    <w:multiLevelType w:val="hybridMultilevel"/>
    <w:lvl w:ilvl="0">
      <w:lvlJc w:val="left"/>
      <w:lvlText w:val="(%1)"/>
      <w:numFmt w:val="lowerLetter"/>
      <w:start w:val="1"/>
    </w:lvl>
  </w:abstractNum>
  <w:abstractNum w:abstractNumId="152">
    <w:nsid w:val="5CB44A05"/>
    <w:multiLevelType w:val="hybridMultilevel"/>
    <w:lvl w:ilvl="0">
      <w:lvlJc w:val="left"/>
      <w:lvlText w:val="(%1)"/>
      <w:numFmt w:val="lowerRoman"/>
      <w:start w:val="1"/>
    </w:lvl>
  </w:abstractNum>
  <w:abstractNum w:abstractNumId="153">
    <w:nsid w:val="16CF80F1"/>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154">
    <w:nsid w:val="1C695D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155">
    <w:nsid w:val="3FCFAED9"/>
    <w:multiLevelType w:val="hybridMultilevel"/>
    <w:lvl w:ilvl="0">
      <w:lvlJc w:val="left"/>
      <w:lvlText w:val="(%1)"/>
      <w:numFmt w:val="lowerLetter"/>
      <w:start w:val="1"/>
    </w:lvl>
  </w:abstractNum>
  <w:abstractNum w:abstractNumId="156">
    <w:nsid w:val="F856867"/>
    <w:multiLevelType w:val="hybridMultilevel"/>
    <w:lvl w:ilvl="0">
      <w:lvlJc w:val="left"/>
      <w:lvlText w:val="(%1)"/>
      <w:numFmt w:val="lowerLetter"/>
      <w:start w:val="1"/>
    </w:lvl>
    <w:lvl w:ilvl="1">
      <w:lvlJc w:val="left"/>
      <w:lvlText w:val="(%2)"/>
      <w:numFmt w:val="lowerLetter"/>
      <w:start w:val="9"/>
    </w:lvl>
  </w:abstractNum>
  <w:abstractNum w:abstractNumId="157">
    <w:nsid w:val="11B1CC33"/>
    <w:multiLevelType w:val="hybridMultilevel"/>
    <w:lvl w:ilvl="0">
      <w:lvlJc w:val="left"/>
      <w:lvlText w:val="(%1)"/>
      <w:numFmt w:val="lowerLetter"/>
      <w:start w:val="2"/>
    </w:lvl>
  </w:abstractNum>
  <w:abstractNum w:abstractNumId="158">
    <w:nsid w:val="2E22FBB7"/>
    <w:multiLevelType w:val="hybridMultilevel"/>
    <w:lvl w:ilvl="0">
      <w:lvlJc w:val="left"/>
      <w:lvlText w:val="(%1)"/>
      <w:numFmt w:val="lowerLetter"/>
      <w:start w:val="8"/>
    </w:lvl>
  </w:abstractNum>
  <w:abstractNum w:abstractNumId="159">
    <w:nsid w:val="29934699"/>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lvl w:ilvl="3">
      <w:lvlJc w:val="left"/>
      <w:lvlText w:val="(%4)"/>
      <w:numFmt w:val="lowerLetter"/>
      <w:start w:val="35"/>
    </w:lvl>
  </w:abstractNum>
  <w:abstractNum w:abstractNumId="160">
    <w:nsid w:val="77485850"/>
    <w:multiLevelType w:val="hybridMultilevel"/>
    <w:lvl w:ilvl="0">
      <w:lvlJc w:val="left"/>
      <w:lvlText w:val="(%1)"/>
      <w:numFmt w:val="lowerRoman"/>
      <w:start w:val="3"/>
    </w:lvl>
  </w:abstractNum>
  <w:abstractNum w:abstractNumId="161">
    <w:nsid w:val="744939A3"/>
    <w:multiLevelType w:val="hybridMultilevel"/>
    <w:lvl w:ilvl="0">
      <w:lvlJc w:val="left"/>
      <w:lvlText w:val="(%1)"/>
      <w:numFmt w:val="lowerLetter"/>
      <w:start w:val="1"/>
    </w:lvl>
  </w:abstractNum>
  <w:abstractNum w:abstractNumId="162">
    <w:nsid w:val="4FA0D2E3"/>
    <w:multiLevelType w:val="hybridMultilevel"/>
    <w:lvl w:ilvl="0">
      <w:lvlJc w:val="left"/>
      <w:lvlText w:val="(%1)"/>
      <w:numFmt w:val="lowerLetter"/>
      <w:start w:val="4"/>
    </w:lvl>
  </w:abstractNum>
  <w:abstractNum w:abstractNumId="163">
    <w:nsid w:val="6B1D2C14"/>
    <w:multiLevelType w:val="hybridMultilevel"/>
    <w:lvl w:ilvl="0">
      <w:lvlJc w:val="left"/>
      <w:lvlText w:val="(%1)"/>
      <w:numFmt w:val="lowerLetter"/>
      <w:start w:val="1"/>
    </w:lvl>
  </w:abstractNum>
  <w:abstractNum w:abstractNumId="164">
    <w:nsid w:val="68B867D3"/>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3"/>
    </w:lvl>
  </w:abstractNum>
  <w:abstractNum w:abstractNumId="165">
    <w:nsid w:val="3F7F5DD9"/>
    <w:multiLevelType w:val="hybridMultilevel"/>
    <w:lvl w:ilvl="0">
      <w:lvlJc w:val="left"/>
      <w:lvlText w:val="(%1)"/>
      <w:numFmt w:val="lowerLetter"/>
      <w:start w:val="35"/>
    </w:lvl>
    <w:lvl w:ilvl="1">
      <w:lvlJc w:val="left"/>
      <w:lvlText w:val="(%2)"/>
      <w:numFmt w:val="lowerLetter"/>
      <w:start w:val="4"/>
    </w:lvl>
  </w:abstractNum>
  <w:abstractNum w:abstractNumId="166">
    <w:nsid w:val="2AE05A34"/>
    <w:multiLevelType w:val="hybridMultilevel"/>
    <w:lvl w:ilvl="0">
      <w:lvlJc w:val="left"/>
      <w:lvlText w:val="(%1)"/>
      <w:numFmt w:val="lowerRoman"/>
      <w:start w:val="1"/>
    </w:lvl>
  </w:abstractNum>
  <w:abstractNum w:abstractNumId="167">
    <w:nsid w:val="32794FF7"/>
    <w:multiLevelType w:val="hybridMultilevel"/>
    <w:lvl w:ilvl="0">
      <w:lvlJc w:val="left"/>
      <w:lvlText w:val="%1."/>
      <w:numFmt w:val="decimal"/>
      <w:start w:val="1"/>
    </w:lvl>
    <w:lvl w:ilvl="1">
      <w:lvlJc w:val="left"/>
      <w:lvlText w:val="%2."/>
      <w:numFmt w:val="lowerLetter"/>
      <w:start w:val="1"/>
    </w:lvl>
  </w:abstractNum>
  <w:abstractNum w:abstractNumId="168">
    <w:nsid w:val="5454945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32" Type="http://schemas.openxmlformats.org/officeDocument/2006/relationships/image" Target="media/image6.png"/><Relationship Id="rId76" Type="http://schemas.openxmlformats.org/officeDocument/2006/relationships/image" Target="media/image7.png"/><Relationship Id="rId77" Type="http://schemas.openxmlformats.org/officeDocument/2006/relationships/image" Target="media/image8.png"/><Relationship Id="rId78" Type="http://schemas.openxmlformats.org/officeDocument/2006/relationships/image" Target="media/image9.png"/><Relationship Id="rId79" Type="http://schemas.openxmlformats.org/officeDocument/2006/relationships/image" Target="media/image10.png"/><Relationship Id="rId80" Type="http://schemas.openxmlformats.org/officeDocument/2006/relationships/image" Target="media/image11.png"/><Relationship Id="rId81" Type="http://schemas.openxmlformats.org/officeDocument/2006/relationships/image" Target="media/image12.png"/><Relationship Id="rId82" Type="http://schemas.openxmlformats.org/officeDocument/2006/relationships/image" Target="media/image13.png"/><Relationship Id="rId83" Type="http://schemas.openxmlformats.org/officeDocument/2006/relationships/image" Target="media/image14.png"/><Relationship Id="rId84" Type="http://schemas.openxmlformats.org/officeDocument/2006/relationships/image" Target="media/image15.png"/><Relationship Id="rId85" Type="http://schemas.openxmlformats.org/officeDocument/2006/relationships/image" Target="media/image16.png"/><Relationship Id="rId86" Type="http://schemas.openxmlformats.org/officeDocument/2006/relationships/image" Target="media/image17.png"/><Relationship Id="rId87" Type="http://schemas.openxmlformats.org/officeDocument/2006/relationships/image" Target="media/image18.png"/><Relationship Id="rId88" Type="http://schemas.openxmlformats.org/officeDocument/2006/relationships/image" Target="media/image19.png"/><Relationship Id="rId89" Type="http://schemas.openxmlformats.org/officeDocument/2006/relationships/image" Target="media/image20.png"/><Relationship Id="rId90" Type="http://schemas.openxmlformats.org/officeDocument/2006/relationships/image" Target="media/image21.png"/><Relationship Id="rId91" Type="http://schemas.openxmlformats.org/officeDocument/2006/relationships/image" Target="media/image22.png"/><Relationship Id="rId92" Type="http://schemas.openxmlformats.org/officeDocument/2006/relationships/image" Target="media/image23.png"/><Relationship Id="rId93" Type="http://schemas.openxmlformats.org/officeDocument/2006/relationships/image" Target="media/image24.png"/><Relationship Id="rId94" Type="http://schemas.openxmlformats.org/officeDocument/2006/relationships/image" Target="media/image25.png"/><Relationship Id="rId95" Type="http://schemas.openxmlformats.org/officeDocument/2006/relationships/image" Target="media/image26.png"/><Relationship Id="rId96" Type="http://schemas.openxmlformats.org/officeDocument/2006/relationships/image" Target="media/image27.png"/><Relationship Id="rId13" Type="http://schemas.openxmlformats.org/officeDocument/2006/relationships/hyperlink" Target="http://www.sec.gov/Archives/edgar/data/1141103/000091205701530091/a2057156zex-3_1.txt" TargetMode="External"/><Relationship Id="rId14" Type="http://schemas.openxmlformats.org/officeDocument/2006/relationships/hyperlink" Target="http://www.sec.gov/Archives/edgar/data/1141103/000162828016012617/ccrn20151231-10kex3x2.htm" TargetMode="External"/><Relationship Id="rId15" Type="http://schemas.openxmlformats.org/officeDocument/2006/relationships/hyperlink" Target="http://www.sec.gov/Archives/edgar/data/1141103/000091205701536175/a2061600zex-4_1.txt" TargetMode="External"/><Relationship Id="rId16" Type="http://schemas.openxmlformats.org/officeDocument/2006/relationships/hyperlink" Target="http://www.sec.gov/Archives/edgar/data/1141103/000144530514003563/ccrn20140630-10qex41rsaform.htm" TargetMode="External"/><Relationship Id="rId17" Type="http://schemas.openxmlformats.org/officeDocument/2006/relationships/hyperlink" Target="http://www.sec.gov/Archives/edgar/data/1141103/000144530514003563/ccrn20140630-10qex42psaform.htm" TargetMode="External"/><Relationship Id="rId18" Type="http://schemas.openxmlformats.org/officeDocument/2006/relationships/hyperlink" Target="http://www.sec.gov/Archives/edgar/data/1141103/000144530514002739/exhibit104063014.htm" TargetMode="External"/><Relationship Id="rId19" Type="http://schemas.openxmlformats.org/officeDocument/2006/relationships/hyperlink" Target="http://www.sec.gov/Archives/edgar/data/1141103/000115752313001523/a50595935ex10_1.htm" TargetMode="External"/><Relationship Id="rId20" Type="http://schemas.openxmlformats.org/officeDocument/2006/relationships/hyperlink" Target="http://www.sec.gov/Archives/edgar/data/1141103/000104746903010584/a2106509zex-10_19.htm" TargetMode="External"/><Relationship Id="rId21" Type="http://schemas.openxmlformats.org/officeDocument/2006/relationships/hyperlink" Target="http://www.sec.gov/Archives/edgar/data/1141103/000111650207000527/cejkalease1043.htm" TargetMode="External"/><Relationship Id="rId22" Type="http://schemas.openxmlformats.org/officeDocument/2006/relationships/hyperlink" Target="http://www.sec.gov/Archives/edgar/data/1141103/000111650207000527/exhibit1045.htm" TargetMode="External"/><Relationship Id="rId23" Type="http://schemas.openxmlformats.org/officeDocument/2006/relationships/hyperlink" Target="http://www.sec.gov/Archives/edgar/data/1141103/000111650208001825/exhibit105.htm" TargetMode="External"/><Relationship Id="rId24" Type="http://schemas.openxmlformats.org/officeDocument/2006/relationships/hyperlink" Target="http://www.sec.gov/Archives/edgar/data/1141103/000111650207000972/exhibit102.htm" TargetMode="External"/><Relationship Id="rId25" Type="http://schemas.openxmlformats.org/officeDocument/2006/relationships/hyperlink" Target="http://www.sec.gov/Archives/edgar/data/1141103/000119312507218382/dex101.htm" TargetMode="External"/><Relationship Id="rId26" Type="http://schemas.openxmlformats.org/officeDocument/2006/relationships/hyperlink" Target="http://www.sec.gov/Archives/edgar/data/1141103/000135448810002373/ccrn_ex101.htm" TargetMode="External"/><Relationship Id="rId27" Type="http://schemas.openxmlformats.org/officeDocument/2006/relationships/hyperlink" Target="http://www.sec.gov/Archives/edgar/data/1141103/000144530513001944/exhibit101.htm" TargetMode="External"/><Relationship Id="rId28" Type="http://schemas.openxmlformats.org/officeDocument/2006/relationships/hyperlink" Target="http://www.sec.gov/Archives/edgar/data/1141103/000095013010001422/dex101.htm" TargetMode="External"/><Relationship Id="rId29" Type="http://schemas.openxmlformats.org/officeDocument/2006/relationships/hyperlink" Target="http://www.sec.gov/Archives/edgar/data/1141103/000135448813000135/ccrn_ex101.htm" TargetMode="External"/><Relationship Id="rId30" Type="http://schemas.openxmlformats.org/officeDocument/2006/relationships/hyperlink" Target="http://www.sec.gov/Archives/edgar/data/1141103/000144530514002739/exhibit101063014.htm" TargetMode="External"/><Relationship Id="rId31" Type="http://schemas.openxmlformats.org/officeDocument/2006/relationships/hyperlink" Target="http://www.sec.gov/Archives/edgar/data/1141103/000135448813000435/ccrn_ex101.htm" TargetMode="External"/><Relationship Id="rId33" Type="http://schemas.openxmlformats.org/officeDocument/2006/relationships/hyperlink" Target="http://www.sec.gov/Archives/edgar/data/1141103/000115752313005678/a50761154ex1_01.htm" TargetMode="External"/><Relationship Id="rId34" Type="http://schemas.openxmlformats.org/officeDocument/2006/relationships/hyperlink" Target="http://www.sec.gov/Archives/edgar/data/1141103/000144530514001083/exhibit1037.htm" TargetMode="External"/><Relationship Id="rId35" Type="http://schemas.openxmlformats.org/officeDocument/2006/relationships/hyperlink" Target="http://www.sec.gov/Archives/edgar/data/1141103/000144530514002462/assetpurchaseagreement.htm" TargetMode="External"/><Relationship Id="rId36" Type="http://schemas.openxmlformats.org/officeDocument/2006/relationships/hyperlink" Target="http://www.sec.gov/Archives/edgar/data/1141103/000144530514002739/exhibit102063014.htm" TargetMode="External"/><Relationship Id="rId37" Type="http://schemas.openxmlformats.org/officeDocument/2006/relationships/hyperlink" Target="http://www.sec.gov/Archives/edgar/data/1141103/000144530514002739/exhibit103063014.htm" TargetMode="External"/><Relationship Id="rId38" Type="http://schemas.openxmlformats.org/officeDocument/2006/relationships/hyperlink" Target="http://www.sec.gov/Archives/edgar/data/1141103/000144530514004846/ccrn20140930-10qex10x1four.htm" TargetMode="External"/><Relationship Id="rId39" Type="http://schemas.openxmlformats.org/officeDocument/2006/relationships/hyperlink" Target="http://www.sec.gov/Archives/edgar/data/1141103/000144530514001083/exhibit1038.htm" TargetMode="External"/><Relationship Id="rId40" Type="http://schemas.openxmlformats.org/officeDocument/2006/relationships/hyperlink" Target="http://www.sec.gov/Archives/edgar/data/1141103/000162828015001592/a901lease.htm" TargetMode="External"/><Relationship Id="rId41" Type="http://schemas.openxmlformats.org/officeDocument/2006/relationships/hyperlink" Target="http://www.sec.gov/Archives/edgar/data/1141103/000162828015001592/amendment1.htm" TargetMode="External"/><Relationship Id="rId42" Type="http://schemas.openxmlformats.org/officeDocument/2006/relationships/hyperlink" Target="http://www.sec.gov/Archives/edgar/data/1141103/000162828015001592/amendment2.htm" TargetMode="External"/><Relationship Id="rId43" Type="http://schemas.openxmlformats.org/officeDocument/2006/relationships/hyperlink" Target="http://www.sec.gov/Archives/edgar/data/1141103/000162828015001592/amendment3.htm" TargetMode="External"/><Relationship Id="rId44" Type="http://schemas.openxmlformats.org/officeDocument/2006/relationships/hyperlink" Target="http://www.sec.gov/Archives/edgar/data/1141103/000162828015001592/amendment4.htm" TargetMode="External"/><Relationship Id="rId45" Type="http://schemas.openxmlformats.org/officeDocument/2006/relationships/hyperlink" Target="http://www.sec.gov/Archives/edgar/data/1141103/000162828015001592/amendment5.htm" TargetMode="External"/><Relationship Id="rId46" Type="http://schemas.openxmlformats.org/officeDocument/2006/relationships/hyperlink" Target="http://www.sec.gov/Archives/edgar/data/1141103/000162828015001592/amendment6.htm" TargetMode="External"/><Relationship Id="rId47" Type="http://schemas.openxmlformats.org/officeDocument/2006/relationships/hyperlink" Target="http://www.sec.gov/Archives/edgar/data/1141103/000162828015001592/amendment7.htm" TargetMode="External"/><Relationship Id="rId48" Type="http://schemas.openxmlformats.org/officeDocument/2006/relationships/hyperlink" Target="http://www.sec.gov/Archives/edgar/data/1141103/000162828015001592/amendment8.htm" TargetMode="External"/><Relationship Id="rId49" Type="http://schemas.openxmlformats.org/officeDocument/2006/relationships/hyperlink" Target="http://www.sec.gov/Archives/edgar/data/1141103/000115752315002448/a51147331ex101.htm" TargetMode="External"/><Relationship Id="rId50" Type="http://schemas.openxmlformats.org/officeDocument/2006/relationships/hyperlink" Target="http://www.sec.gov/Archives/edgar/data/1141103/000115752315002608/a51151557ex10_1.htm" TargetMode="External"/><Relationship Id="rId51" Type="http://schemas.openxmlformats.org/officeDocument/2006/relationships/hyperlink" Target="http://www.sec.gov/Archives/edgar/data/1141103/000135448815004495/ccrn_ex101.htm" TargetMode="External"/><Relationship Id="rId52" Type="http://schemas.openxmlformats.org/officeDocument/2006/relationships/hyperlink" Target="http://www.sec.gov/Archives/edgar/data/1141103/000135448815004495/ccrn_ex102.htm" TargetMode="External"/><Relationship Id="rId53" Type="http://schemas.openxmlformats.org/officeDocument/2006/relationships/hyperlink" Target="http://www.sec.gov/Archives/edgar/data/1141103/000135448815004495/ccrn_ex103.htm" TargetMode="External"/><Relationship Id="rId54" Type="http://schemas.openxmlformats.org/officeDocument/2006/relationships/hyperlink" Target="http://www.sec.gov/Archives/edgar/data/1141103/000115752315003338/a51204669ex1_1.htm" TargetMode="External"/><Relationship Id="rId55" Type="http://schemas.openxmlformats.org/officeDocument/2006/relationships/hyperlink" Target="http://www.sec.gov/Archives/edgar/data/1141103/000115752315003645/a51213647ex10_1.htm" TargetMode="External"/><Relationship Id="rId56" Type="http://schemas.openxmlformats.org/officeDocument/2006/relationships/hyperlink" Target="http://www.sec.gov/Archives/edgar/data/1141103/000115752315003645/a51213647ex10_2.htm" TargetMode="External"/><Relationship Id="rId57" Type="http://schemas.openxmlformats.org/officeDocument/2006/relationships/hyperlink" Target="http://www.sec.gov/Archives/edgar/data/1141103/000115752315003645/a51213647ex10_3.htm" TargetMode="External"/><Relationship Id="rId58" Type="http://schemas.openxmlformats.org/officeDocument/2006/relationships/hyperlink" Target="http://www.sec.gov/Archives/edgar/data/1141103/000115752315003645/a51213647ex10_4.htm" TargetMode="External"/><Relationship Id="rId59" Type="http://schemas.openxmlformats.org/officeDocument/2006/relationships/hyperlink" Target="http://www.sec.gov/Archives/edgar/data/1141103/000115752315003645/a51213647ex10_5.htm" TargetMode="External"/><Relationship Id="rId60" Type="http://schemas.openxmlformats.org/officeDocument/2006/relationships/hyperlink" Target="http://www.sec.gov/Archives/edgar/data/1141103/000115752315003645/a51213647ex10_6.htm" TargetMode="External"/><Relationship Id="rId61" Type="http://schemas.openxmlformats.org/officeDocument/2006/relationships/hyperlink" Target="http://www.sec.gov/Archives/edgar/data/1141103/000162828016012724/exhibit1043.htm" TargetMode="External"/><Relationship Id="rId62" Type="http://schemas.openxmlformats.org/officeDocument/2006/relationships/hyperlink" Target="http://www.sec.gov/Archives/edgar/data/1141103/000162828016012617/ccrn20151231-10kex10x44.htm" TargetMode="External"/><Relationship Id="rId63" Type="http://schemas.openxmlformats.org/officeDocument/2006/relationships/hyperlink" Target="http://www.sec.gov/Archives/edgar/data/1141103/000165495416000542/ccrn_ex101.htm" TargetMode="External"/><Relationship Id="rId64" Type="http://schemas.openxmlformats.org/officeDocument/2006/relationships/hyperlink" Target="http://www.sec.gov/Archives/edgar/data/1141103/000162828016020835/ccrn2016-09x30x10qex10x1.htm" TargetMode="External"/><Relationship Id="rId65" Type="http://schemas.openxmlformats.org/officeDocument/2006/relationships/hyperlink" Target="http://www.sec.gov/Archives/edgar/data/1141103/000162828016020835/ccrn2016-09x30x10qex10x2.htm" TargetMode="External"/><Relationship Id="rId66" Type="http://schemas.openxmlformats.org/officeDocument/2006/relationships/hyperlink" Target="http://www.sec.gov/Archives/edgar/data/1141103/000162828016020835/ccrn2016-09x30x10qex10x3.htm" TargetMode="External"/><Relationship Id="rId67" Type="http://schemas.openxmlformats.org/officeDocument/2006/relationships/hyperlink" Target="http://www.sec.gov/Archives/edgar/data/1141103/000162828017002153/ccrn20161231-10kex10x49.htm" TargetMode="External"/><Relationship Id="rId68" Type="http://schemas.openxmlformats.org/officeDocument/2006/relationships/hyperlink" Target="http://www.sec.gov/Archives/edgar/data/1141103/000165495417005530/ccrn_ex101.htm" TargetMode="External"/><Relationship Id="rId69" Type="http://schemas.openxmlformats.org/officeDocument/2006/relationships/hyperlink" Target="http://www.sec.gov/Archives/edgar/data/1141103/000115752317001917/a51584424ex10_2.htm" TargetMode="External"/><Relationship Id="rId70" Type="http://schemas.openxmlformats.org/officeDocument/2006/relationships/hyperlink" Target="http://www.sec.gov/Archives/edgar/data/1141103/000115752317001917/a51584424ex10_1.htm" TargetMode="External"/><Relationship Id="rId71" Type="http://schemas.openxmlformats.org/officeDocument/2006/relationships/hyperlink" Target="http://www.sec.gov/Archives/edgar/data/1141103/000165495417006891/ccrn_ex101.htm" TargetMode="External"/><Relationship Id="rId72" Type="http://schemas.openxmlformats.org/officeDocument/2006/relationships/hyperlink" Target="http://www.sec.gov/Archives/edgar/data/1141103/000162828017010809/ccrn2017-09x30x10qex10x1.htm" TargetMode="External"/><Relationship Id="rId73" Type="http://schemas.openxmlformats.org/officeDocument/2006/relationships/hyperlink" Target="http://www.sec.gov/Archives/edgar/data/1141103/000114420418003854/tv484120_ex10-1.htm" TargetMode="External"/><Relationship Id="rId74" Type="http://schemas.openxmlformats.org/officeDocument/2006/relationships/hyperlink" Target="http://www.sec.gov/Archives/edgar/data/1141103/000162828016012617/ccrn20151231-10kex14x1.htm" TargetMode="External"/><Relationship Id="rId75" Type="http://schemas.openxmlformats.org/officeDocument/2006/relationships/hyperlink" Target="http://www.sec.gov/Archives/edgar/data/1141103/000162828015001758/exhibit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2019-12-29T00:18:27Z</dcterms:created>
  <dcterms:modified xsi:type="dcterms:W3CDTF">2019-12-29T00:18:27Z</dcterms:modified>
</cp:coreProperties>
</file>