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14"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7" w:lineRule="exact"/>
        <w:rPr>
          <w:sz w:val="24"/>
          <w:szCs w:val="24"/>
          <w:color w:val="auto"/>
        </w:rPr>
      </w:pPr>
    </w:p>
    <w:p>
      <w:pPr>
        <w:ind w:left="3820" w:right="2100" w:hanging="1341"/>
        <w:spacing w:after="0" w:line="351" w:lineRule="auto"/>
        <w:tabs>
          <w:tab w:leader="none" w:pos="26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Or</w:t>
      </w:r>
    </w:p>
    <w:p>
      <w:pPr>
        <w:spacing w:after="0" w:line="123" w:lineRule="exact"/>
        <w:rPr>
          <w:sz w:val="24"/>
          <w:szCs w:val="24"/>
          <w:color w:val="auto"/>
        </w:rPr>
      </w:pPr>
    </w:p>
    <w:p>
      <w:pPr>
        <w:ind w:left="3680" w:right="2080" w:hanging="1213"/>
        <w:spacing w:after="0" w:line="390" w:lineRule="auto"/>
        <w:tabs>
          <w:tab w:leader="none" w:pos="2664"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-63500</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192" w:right="719" w:bottom="1440" w:gutter="0" w:footer="0" w:header="0"/>
        </w:sectPr>
      </w:pPr>
    </w:p>
    <w:p>
      <w:pPr>
        <w:spacing w:after="0" w:line="42"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92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0-33169</w:t>
      </w:r>
    </w:p>
    <w:p>
      <w:pPr>
        <w:spacing w:after="0" w:line="36" w:lineRule="exact"/>
        <w:rPr>
          <w:sz w:val="24"/>
          <w:szCs w:val="24"/>
          <w:color w:val="auto"/>
        </w:rPr>
      </w:pPr>
    </w:p>
    <w:p>
      <w:pPr>
        <w:jc w:val="center"/>
        <w:ind w:right="1880"/>
        <w:spacing w:after="0"/>
        <w:rPr>
          <w:sz w:val="20"/>
          <w:szCs w:val="20"/>
          <w:color w:val="auto"/>
        </w:rPr>
      </w:pPr>
      <w:r>
        <w:rPr>
          <w:rFonts w:ascii="Arial" w:cs="Arial" w:eastAsia="Arial" w:hAnsi="Arial"/>
          <w:sz w:val="14"/>
          <w:szCs w:val="14"/>
          <w:i w:val="1"/>
          <w:iCs w:val="1"/>
          <w:color w:val="auto"/>
        </w:rPr>
        <w:t>Commission</w:t>
      </w:r>
    </w:p>
    <w:p>
      <w:pPr>
        <w:spacing w:after="0" w:line="15" w:lineRule="exact"/>
        <w:rPr>
          <w:sz w:val="24"/>
          <w:szCs w:val="24"/>
          <w:color w:val="auto"/>
        </w:rPr>
      </w:pPr>
    </w:p>
    <w:p>
      <w:pPr>
        <w:jc w:val="center"/>
        <w:ind w:right="18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13-4066229</w:t>
      </w:r>
    </w:p>
    <w:p>
      <w:pPr>
        <w:spacing w:after="0" w:line="28"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(I.R.S. Employer</w:t>
      </w: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201" w:lineRule="exact"/>
        <w:rPr>
          <w:sz w:val="24"/>
          <w:szCs w:val="24"/>
          <w:color w:val="auto"/>
        </w:rPr>
      </w:pPr>
    </w:p>
    <w:p>
      <w:pPr>
        <w:sectPr>
          <w:pgSz w:w="11900" w:h="16838" w:orient="portrait"/>
          <w:cols w:equalWidth="0" w:num="3">
            <w:col w:w="4500" w:space="720"/>
            <w:col w:w="2680" w:space="720"/>
            <w:col w:w="2240"/>
          </w:cols>
          <w:pgMar w:left="320" w:top="1192" w:right="719" w:bottom="1440" w:gutter="0" w:footer="0" w:header="0"/>
          <w:type w:val="continuous"/>
        </w:sect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6"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1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109"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77"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192" w:right="719" w:bottom="1440" w:gutter="0" w:footer="0" w:header="0"/>
          <w:type w:val="continuous"/>
        </w:sectPr>
      </w:pPr>
    </w:p>
    <w:p>
      <w:pPr>
        <w:spacing w:after="0" w:line="54" w:lineRule="exact"/>
        <w:rPr>
          <w:sz w:val="24"/>
          <w:szCs w:val="24"/>
          <w:color w:val="auto"/>
        </w:rPr>
      </w:pPr>
    </w:p>
    <w:p>
      <w:pPr>
        <w:ind w:left="13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060" w:space="720"/>
            <w:col w:w="1980" w:space="720"/>
            <w:col w:w="3380"/>
          </w:cols>
          <w:pgMar w:left="320" w:top="1192" w:right="71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211" w:lineRule="exact"/>
        <w:rPr>
          <w:sz w:val="24"/>
          <w:szCs w:val="24"/>
          <w:color w:val="auto"/>
        </w:rPr>
      </w:pPr>
    </w:p>
    <w:p>
      <w:pPr>
        <w:sectPr>
          <w:pgSz w:w="11900" w:h="16838" w:orient="portrait"/>
          <w:cols w:equalWidth="0" w:num="3">
            <w:col w:w="4400" w:space="720"/>
            <w:col w:w="2300" w:space="720"/>
            <w:col w:w="2720"/>
          </w:cols>
          <w:pgMar w:left="320" w:top="1192" w:right="719" w:bottom="1440" w:gutter="0" w:footer="0" w:header="0"/>
          <w:type w:val="continuous"/>
        </w:sectPr>
      </w:pPr>
    </w:p>
    <w:p>
      <w:pPr>
        <w:spacing w:after="0" w:line="33"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8"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right="2600"/>
        <w:spacing w:after="0" w:line="27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outstanding 35,150,848 shares of common stock, par value $0.0001 per share, as of October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92"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overall macroeconomic environment, including increased inflation and interest rates, demand for the healthcare services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2022 (2022 Form 10-K), as filed and updated in our subsequent Quarterly Reports on Form 10-Q and other filings with the Securities and Exchange Commission (SEC).</w:t>
      </w:r>
    </w:p>
    <w:p>
      <w:pPr>
        <w:spacing w:after="0" w:line="1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99"/>
              </w:rPr>
              <w:t>CROSS COUNTRY HEALTHCARE, INC.</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6"/>
          </w:tcPr>
          <w:p>
            <w:pPr>
              <w:jc w:val="center"/>
              <w:ind w:right="3040"/>
              <w:spacing w:after="0"/>
              <w:rPr>
                <w:sz w:val="20"/>
                <w:szCs w:val="20"/>
                <w:color w:val="auto"/>
              </w:rPr>
            </w:pPr>
            <w:r>
              <w:rPr>
                <w:rFonts w:ascii="Arial" w:cs="Arial" w:eastAsia="Arial" w:hAnsi="Arial"/>
                <w:sz w:val="18"/>
                <w:szCs w:val="18"/>
                <w:b w:val="1"/>
                <w:bCs w:val="1"/>
                <w:color w:val="auto"/>
              </w:rPr>
              <w:t>INDEX</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gridSpan w:val="7"/>
          </w:tcPr>
          <w:p>
            <w:pPr>
              <w:jc w:val="center"/>
              <w:ind w:right="2540"/>
              <w:spacing w:after="0"/>
              <w:rPr>
                <w:sz w:val="20"/>
                <w:szCs w:val="20"/>
                <w:color w:val="auto"/>
              </w:rPr>
            </w:pPr>
            <w:r>
              <w:rPr>
                <w:rFonts w:ascii="Arial" w:cs="Arial" w:eastAsia="Arial" w:hAnsi="Arial"/>
                <w:sz w:val="18"/>
                <w:szCs w:val="18"/>
                <w:b w:val="1"/>
                <w:bCs w:val="1"/>
                <w:color w:val="auto"/>
                <w:w w:val="99"/>
              </w:rPr>
              <w:t>FORM 10-Q</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gridSpan w:val="7"/>
          </w:tcPr>
          <w:p>
            <w:pPr>
              <w:jc w:val="center"/>
              <w:ind w:right="2540"/>
              <w:spacing w:after="0"/>
              <w:rPr>
                <w:sz w:val="20"/>
                <w:szCs w:val="20"/>
                <w:color w:val="auto"/>
              </w:rPr>
            </w:pPr>
            <w:r>
              <w:rPr>
                <w:rFonts w:ascii="Arial" w:cs="Arial" w:eastAsia="Arial" w:hAnsi="Arial"/>
                <w:sz w:val="18"/>
                <w:szCs w:val="18"/>
                <w:b w:val="1"/>
                <w:bCs w:val="1"/>
                <w:color w:val="auto"/>
                <w:w w:val="89"/>
              </w:rPr>
              <w:t>September 30, 2023</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00" w:type="dxa"/>
            <w:vAlign w:val="bottom"/>
            <w:gridSpan w:val="3"/>
          </w:tcPr>
          <w:p>
            <w:pPr>
              <w:ind w:left="1420"/>
              <w:spacing w:after="0"/>
              <w:rPr>
                <w:sz w:val="20"/>
                <w:szCs w:val="20"/>
                <w:color w:val="auto"/>
              </w:rPr>
            </w:pPr>
            <w:r>
              <w:rPr>
                <w:rFonts w:ascii="Arial" w:cs="Arial" w:eastAsia="Arial" w:hAnsi="Arial"/>
                <w:sz w:val="18"/>
                <w:szCs w:val="18"/>
                <w:color w:val="auto"/>
                <w:w w:val="91"/>
              </w:rPr>
              <w:t>PAGE</w:t>
            </w:r>
          </w:p>
        </w:tc>
      </w:tr>
      <w:tr>
        <w:trPr>
          <w:trHeight w:val="243"/>
        </w:trPr>
        <w:tc>
          <w:tcPr>
            <w:tcW w:w="8960" w:type="dxa"/>
            <w:vAlign w:val="bottom"/>
            <w:gridSpan w:val="20"/>
          </w:tcPr>
          <w:p>
            <w:pPr>
              <w:spacing w:after="0"/>
              <w:rPr>
                <w:sz w:val="20"/>
                <w:szCs w:val="20"/>
                <w:color w:val="auto"/>
              </w:rPr>
            </w:pPr>
            <w:r>
              <w:rPr>
                <w:rFonts w:ascii="Arial" w:cs="Arial" w:eastAsia="Arial" w:hAnsi="Arial"/>
                <w:sz w:val="18"/>
                <w:szCs w:val="18"/>
                <w:color w:val="0000FF"/>
              </w:rPr>
              <w:t>PART I. – FINANCIAL INFORMATION</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99"/>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Condensed Consolidated Financial Statements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99"/>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Balance Sheets (Unaudited)</w:t>
            </w:r>
          </w:p>
        </w:tc>
        <w:tc>
          <w:tcPr>
            <w:tcW w:w="4200" w:type="dxa"/>
            <w:vAlign w:val="bottom"/>
            <w:gridSpan w:val="7"/>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 and Comprehensive Income (Unaudited)</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99"/>
              </w:rPr>
              <w:t>2</w:t>
            </w: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Condensed Consolidated Statements of Stockholders' Equity (Unaudited)</w:t>
            </w:r>
          </w:p>
        </w:tc>
        <w:tc>
          <w:tcPr>
            <w:tcW w:w="1340" w:type="dxa"/>
            <w:vAlign w:val="bottom"/>
            <w:tcBorders>
              <w:top w:val="single" w:sz="8" w:color="0000FF"/>
            </w:tcBorders>
            <w:gridSpan w:val="2"/>
          </w:tcPr>
          <w:p>
            <w:pPr>
              <w:spacing w:after="0"/>
              <w:rPr>
                <w:sz w:val="22"/>
                <w:szCs w:val="22"/>
                <w:color w:val="auto"/>
              </w:rPr>
            </w:pPr>
          </w:p>
        </w:tc>
        <w:tc>
          <w:tcPr>
            <w:tcW w:w="14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Condensed Consolidated Statements of Cash Flows (Unaudited)</w:t>
            </w:r>
          </w:p>
        </w:tc>
        <w:tc>
          <w:tcPr>
            <w:tcW w:w="3420" w:type="dxa"/>
            <w:vAlign w:val="bottom"/>
            <w:gridSpan w:val="5"/>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140" w:type="dxa"/>
            <w:vAlign w:val="bottom"/>
            <w:gridSpan w:val="4"/>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26</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37</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700" w:type="dxa"/>
            <w:vAlign w:val="bottom"/>
            <w:tcBorders>
              <w:left w:val="single" w:sz="8" w:color="0000FF"/>
            </w:tcBorders>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37</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5"/>
              </w:rPr>
              <w:t>PART II. – OTHER INFORMATION</w:t>
            </w:r>
          </w:p>
        </w:tc>
        <w:tc>
          <w:tcPr>
            <w:tcW w:w="6240" w:type="dxa"/>
            <w:vAlign w:val="bottom"/>
            <w:gridSpan w:val="10"/>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38</w:t>
            </w:r>
          </w:p>
        </w:tc>
      </w:tr>
      <w:tr>
        <w:trPr>
          <w:trHeight w:val="263"/>
        </w:trPr>
        <w:tc>
          <w:tcPr>
            <w:tcW w:w="6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38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04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38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39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40</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00" w:type="dxa"/>
            <w:vAlign w:val="bottom"/>
            <w:gridSpan w:val="3"/>
          </w:tcPr>
          <w:p>
            <w:pPr>
              <w:jc w:val="center"/>
              <w:ind w:left="1630"/>
              <w:spacing w:after="0"/>
              <w:rPr>
                <w:sz w:val="20"/>
                <w:szCs w:val="20"/>
                <w:color w:val="auto"/>
              </w:rPr>
            </w:pPr>
            <w:r>
              <w:rPr>
                <w:rFonts w:ascii="Arial" w:cs="Arial" w:eastAsia="Arial" w:hAnsi="Arial"/>
                <w:sz w:val="18"/>
                <w:szCs w:val="18"/>
                <w:color w:val="0000FF"/>
                <w:w w:val="89"/>
              </w:rPr>
              <w:t>41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91"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$19,920 in 2023 and $14,696 in 2022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641,611</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11,067</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675,673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 of $19,805 in 2023 and $17,682 in 2022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26,262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19,662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163,268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7,092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recovery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Cloud computing</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707,739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947,839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114,797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185,507</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4,132</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Earnout liability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271,640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Debt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148,735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Accrued claims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35,881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Earnout liability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7,646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3,838</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238,078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490,620</w:t>
            </w:r>
          </w:p>
        </w:tc>
      </w:tr>
      <w:tr>
        <w:trPr>
          <w:trHeight w:val="206"/>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292,876</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165,726</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469,661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457,219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707,739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947,839</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20" w:top="891"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91" w:right="4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 AND COMPREHENSIVE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amounts in thousands, except per share data)</w:t>
      </w:r>
    </w:p>
    <w:p>
      <w:pPr>
        <w:sectPr>
          <w:pgSz w:w="11900" w:h="16838" w:orient="portrait"/>
          <w:cols w:equalWidth="0" w:num="1">
            <w:col w:w="10980"/>
          </w:cols>
          <w:pgMar w:left="460" w:top="891" w:right="459" w:bottom="1440" w:gutter="0" w:footer="0" w:header="0"/>
        </w:sectPr>
      </w:pPr>
    </w:p>
    <w:p>
      <w:pPr>
        <w:spacing w:after="0" w:line="274"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1500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1" w:lineRule="exact"/>
        <w:rPr>
          <w:sz w:val="20"/>
          <w:szCs w:val="20"/>
          <w:color w:val="auto"/>
        </w:rPr>
      </w:pPr>
    </w:p>
    <w:p>
      <w:pPr>
        <w:ind w:left="6400"/>
        <w:spacing w:after="0"/>
        <w:tabs>
          <w:tab w:leader="none" w:pos="762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Nine Months Ended</w:t>
      </w:r>
    </w:p>
    <w:p>
      <w:pPr>
        <w:spacing w:after="0" w:line="3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14605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50" w:lineRule="exact"/>
        <w:rPr>
          <w:sz w:val="20"/>
          <w:szCs w:val="20"/>
          <w:color w:val="auto"/>
        </w:rPr>
      </w:pPr>
    </w:p>
    <w:p>
      <w:pPr>
        <w:sectPr>
          <w:pgSz w:w="11900" w:h="16838" w:orient="portrait"/>
          <w:cols w:equalWidth="0" w:num="2">
            <w:col w:w="8280" w:space="720"/>
            <w:col w:w="1980"/>
          </w:cols>
          <w:pgMar w:left="460" w:top="891" w:right="4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442,291</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636,098</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2,178,391</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operating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492,553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1,689,647</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243,568</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9,414</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Legal settlement charges</w:t>
            </w: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23"/>
        </w:trPr>
        <w:tc>
          <w:tcPr>
            <w:tcW w:w="6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1,956,747</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221,644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209,975</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149,670</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foreign currency translation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149,590</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 - 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35,152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37,492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35,742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37,741</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91" w:right="459" w:bottom="1440" w:gutter="0" w:footer="0" w:header="0"/>
          <w:type w:val="continuous"/>
        </w:sectPr>
      </w:pPr>
    </w:p>
    <w:bookmarkStart w:id="5" w:name="page6"/>
    <w:bookmarkEnd w:id="5"/>
    <w:p>
      <w:pPr>
        <w:jc w:val="center"/>
        <w:ind w:right="20"/>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Three Months Ended September 30, 2023 and 2022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spacing w:after="0"/>
              <w:rPr>
                <w:sz w:val="17"/>
                <w:szCs w:val="17"/>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Additional</w:t>
            </w:r>
          </w:p>
        </w:tc>
        <w:tc>
          <w:tcPr>
            <w:tcW w:w="14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98"/>
              </w:rPr>
              <w:t>Accumulated Other</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Arial" w:cs="Arial" w:eastAsia="Arial" w:hAnsi="Arial"/>
                <w:sz w:val="14"/>
                <w:szCs w:val="14"/>
                <w:b w:val="1"/>
                <w:bCs w:val="1"/>
                <w:color w:val="auto"/>
                <w:w w:val="98"/>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Arial" w:cs="Arial" w:eastAsia="Arial" w:hAnsi="Arial"/>
                <w:sz w:val="14"/>
                <w:szCs w:val="14"/>
                <w:b w:val="1"/>
                <w:bCs w:val="1"/>
                <w:color w:val="auto"/>
                <w:w w:val="99"/>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June 30, 2023</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35,305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255,216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(1,379)</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216,507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470,348</w:t>
            </w: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1,433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1,433</w:t>
            </w: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Stock repurchase and retirement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(617)</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(14,768)</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(14,768)</w:t>
            </w: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(145)</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3"/>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12,812</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12,812</w:t>
            </w:r>
          </w:p>
        </w:tc>
      </w:tr>
      <w:tr>
        <w:trPr>
          <w:trHeight w:val="200"/>
        </w:trPr>
        <w:tc>
          <w:tcPr>
            <w:tcW w:w="4060" w:type="dxa"/>
            <w:vAlign w:val="bottom"/>
          </w:tcPr>
          <w:p>
            <w:pPr>
              <w:ind w:left="20"/>
              <w:spacing w:after="0"/>
              <w:rPr>
                <w:sz w:val="20"/>
                <w:szCs w:val="20"/>
                <w:color w:val="auto"/>
              </w:rPr>
            </w:pPr>
            <w:r>
              <w:rPr>
                <w:rFonts w:ascii="Arial" w:cs="Arial" w:eastAsia="Arial" w:hAnsi="Arial"/>
                <w:sz w:val="15"/>
                <w:szCs w:val="15"/>
                <w:color w:val="auto"/>
              </w:rPr>
              <w:t>Balances at September 30, 2023</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34,689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241,732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(1,394)</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229,319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469,661</w:t>
            </w: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spacing w:after="0"/>
              <w:rPr>
                <w:sz w:val="17"/>
                <w:szCs w:val="17"/>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Additional</w:t>
            </w:r>
          </w:p>
        </w:tc>
        <w:tc>
          <w:tcPr>
            <w:tcW w:w="14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98"/>
              </w:rPr>
              <w:t>Accumulated Other</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Arial" w:cs="Arial" w:eastAsia="Arial" w:hAnsi="Arial"/>
                <w:sz w:val="14"/>
                <w:szCs w:val="14"/>
                <w:b w:val="1"/>
                <w:bCs w:val="1"/>
                <w:color w:val="auto"/>
                <w:w w:val="98"/>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Arial" w:cs="Arial" w:eastAsia="Arial" w:hAnsi="Arial"/>
                <w:sz w:val="14"/>
                <w:szCs w:val="14"/>
                <w:b w:val="1"/>
                <w:bCs w:val="1"/>
                <w:color w:val="auto"/>
                <w:w w:val="99"/>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June 30, 2022</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37,523</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320,000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(1,335)</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92,142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410,811</w:t>
            </w: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Equity compensation</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1,491</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1,491</w:t>
            </w: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repurchase and retirement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(24,348)</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(24,348)</w:t>
            </w: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(38)</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3"/>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34,793</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34,793</w:t>
            </w:r>
          </w:p>
        </w:tc>
      </w:tr>
      <w:tr>
        <w:trPr>
          <w:trHeight w:val="200"/>
        </w:trPr>
        <w:tc>
          <w:tcPr>
            <w:tcW w:w="4060" w:type="dxa"/>
            <w:vAlign w:val="bottom"/>
          </w:tcPr>
          <w:p>
            <w:pPr>
              <w:ind w:left="20"/>
              <w:spacing w:after="0"/>
              <w:rPr>
                <w:sz w:val="20"/>
                <w:szCs w:val="20"/>
                <w:color w:val="auto"/>
              </w:rPr>
            </w:pPr>
            <w:r>
              <w:rPr>
                <w:rFonts w:ascii="Arial" w:cs="Arial" w:eastAsia="Arial" w:hAnsi="Arial"/>
                <w:sz w:val="15"/>
                <w:szCs w:val="15"/>
                <w:color w:val="auto"/>
              </w:rPr>
              <w:t>Balances at September 30, 2022</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36,508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297,143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(1,373)</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126,935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422,709</w:t>
            </w: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1" w:right="379" w:bottom="1440" w:gutter="0" w:footer="0" w:header="0"/>
          <w:type w:val="continuous"/>
        </w:sectPr>
      </w:pPr>
    </w:p>
    <w:bookmarkStart w:id="6" w:name="page7"/>
    <w:bookmarkEnd w:id="6"/>
    <w:p>
      <w:pPr>
        <w:jc w:val="center"/>
        <w:ind w:right="20"/>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 EQUITY Nine Months Ended September 30, 2023 and 2022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17"/>
                <w:szCs w:val="17"/>
                <w:color w:val="auto"/>
              </w:rPr>
            </w:pPr>
          </w:p>
        </w:tc>
        <w:tc>
          <w:tcPr>
            <w:tcW w:w="940" w:type="dxa"/>
            <w:vAlign w:val="bottom"/>
          </w:tcPr>
          <w:p>
            <w:pPr>
              <w:jc w:val="center"/>
              <w:ind w:right="124"/>
              <w:spacing w:after="0"/>
              <w:rPr>
                <w:sz w:val="20"/>
                <w:szCs w:val="20"/>
                <w:color w:val="auto"/>
              </w:rPr>
            </w:pPr>
            <w:r>
              <w:rPr>
                <w:rFonts w:ascii="Arial" w:cs="Arial" w:eastAsia="Arial" w:hAnsi="Arial"/>
                <w:sz w:val="15"/>
                <w:szCs w:val="15"/>
                <w:b w:val="1"/>
                <w:bCs w:val="1"/>
                <w:color w:val="auto"/>
                <w:w w:val="95"/>
              </w:rPr>
              <w:t>Additional</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Accumulated Other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5"/>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5"/>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8"/>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Balances at December 31, 2022</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36,303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292,876</w:t>
            </w:r>
          </w:p>
        </w:tc>
        <w:tc>
          <w:tcPr>
            <w:tcW w:w="1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165,726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457,219</w:t>
            </w: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rPr>
                <w:sz w:val="20"/>
                <w:szCs w:val="20"/>
                <w:color w:val="auto"/>
              </w:rPr>
            </w:pPr>
            <w:r>
              <w:rPr>
                <w:rFonts w:ascii="Arial" w:cs="Arial" w:eastAsia="Arial" w:hAnsi="Arial"/>
                <w:sz w:val="15"/>
                <w:szCs w:val="15"/>
                <w:color w:val="auto"/>
              </w:rPr>
              <w:t>Vesting of restricted stock</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425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(4,890)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(4,890)</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5,413</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5,413</w:t>
            </w: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rPr>
                <w:sz w:val="20"/>
                <w:szCs w:val="20"/>
                <w:color w:val="auto"/>
              </w:rPr>
            </w:pPr>
            <w:r>
              <w:rPr>
                <w:rFonts w:ascii="Arial" w:cs="Arial" w:eastAsia="Arial" w:hAnsi="Arial"/>
                <w:sz w:val="15"/>
                <w:szCs w:val="15"/>
                <w:color w:val="auto"/>
              </w:rPr>
              <w:t>Stock repurchase and retirement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(2,039)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(51,251)</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(51,251)</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 repurchase excise tax</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(416)</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rPr>
                <w:sz w:val="20"/>
                <w:szCs w:val="20"/>
                <w:color w:val="auto"/>
              </w:rPr>
            </w:pPr>
            <w:r>
              <w:rPr>
                <w:rFonts w:ascii="Arial" w:cs="Arial" w:eastAsia="Arial" w:hAnsi="Arial"/>
                <w:sz w:val="15"/>
                <w:szCs w:val="15"/>
                <w:color w:val="auto"/>
              </w:rPr>
              <w:t>Foreign currency translation adjustment, net of taxes</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63,593</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63,593</w:t>
            </w:r>
          </w:p>
        </w:tc>
        <w:tc>
          <w:tcPr>
            <w:tcW w:w="0" w:type="dxa"/>
            <w:vAlign w:val="bottom"/>
          </w:tcPr>
          <w:p>
            <w:pPr>
              <w:spacing w:after="0"/>
              <w:rPr>
                <w:sz w:val="1"/>
                <w:szCs w:val="1"/>
                <w:color w:val="auto"/>
              </w:rPr>
            </w:pPr>
          </w:p>
        </w:tc>
      </w:tr>
      <w:tr>
        <w:trPr>
          <w:trHeight w:val="200"/>
        </w:trPr>
        <w:tc>
          <w:tcPr>
            <w:tcW w:w="4060" w:type="dxa"/>
            <w:vAlign w:val="bottom"/>
          </w:tcPr>
          <w:p>
            <w:pPr>
              <w:ind w:left="20"/>
              <w:spacing w:after="0"/>
              <w:rPr>
                <w:sz w:val="20"/>
                <w:szCs w:val="20"/>
                <w:color w:val="auto"/>
              </w:rPr>
            </w:pPr>
            <w:r>
              <w:rPr>
                <w:rFonts w:ascii="Arial" w:cs="Arial" w:eastAsia="Arial" w:hAnsi="Arial"/>
                <w:sz w:val="15"/>
                <w:szCs w:val="15"/>
                <w:color w:val="auto"/>
              </w:rPr>
              <w:t>Balances at September 30, 2023</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34,689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241,732</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229,319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469,661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60" w:type="dxa"/>
            <w:vAlign w:val="bottom"/>
          </w:tcPr>
          <w:p>
            <w:pPr>
              <w:spacing w:after="0"/>
              <w:rPr>
                <w:sz w:val="24"/>
                <w:szCs w:val="24"/>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Arial" w:cs="Arial" w:eastAsia="Arial" w:hAnsi="Arial"/>
                <w:sz w:val="15"/>
                <w:szCs w:val="15"/>
                <w:b w:val="1"/>
                <w:bCs w:val="1"/>
                <w:color w:val="auto"/>
                <w:w w:val="95"/>
              </w:rPr>
              <w:t>Additional</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94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74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Dollars</w:t>
            </w:r>
          </w:p>
        </w:tc>
        <w:tc>
          <w:tcPr>
            <w:tcW w:w="240" w:type="dxa"/>
            <w:vAlign w:val="bottom"/>
          </w:tcPr>
          <w:p>
            <w:pPr>
              <w:spacing w:after="0"/>
              <w:rPr>
                <w:sz w:val="12"/>
                <w:szCs w:val="12"/>
                <w:color w:val="auto"/>
              </w:rPr>
            </w:pPr>
          </w:p>
        </w:tc>
        <w:tc>
          <w:tcPr>
            <w:tcW w:w="9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9"/>
              </w:rPr>
              <w:t>Paid-In</w:t>
            </w:r>
          </w:p>
        </w:tc>
        <w:tc>
          <w:tcPr>
            <w:tcW w:w="180" w:type="dxa"/>
            <w:vAlign w:val="bottom"/>
          </w:tcPr>
          <w:p>
            <w:pPr>
              <w:spacing w:after="0"/>
              <w:rPr>
                <w:sz w:val="12"/>
                <w:szCs w:val="12"/>
                <w:color w:val="auto"/>
              </w:rPr>
            </w:pPr>
          </w:p>
        </w:tc>
        <w:tc>
          <w:tcPr>
            <w:tcW w:w="1300" w:type="dxa"/>
            <w:vAlign w:val="bottom"/>
          </w:tcPr>
          <w:p>
            <w:pPr>
              <w:jc w:val="center"/>
              <w:ind w:right="104"/>
              <w:spacing w:after="0" w:line="142" w:lineRule="exact"/>
              <w:rPr>
                <w:sz w:val="20"/>
                <w:szCs w:val="20"/>
                <w:color w:val="auto"/>
              </w:rPr>
            </w:pPr>
            <w:r>
              <w:rPr>
                <w:rFonts w:ascii="Arial" w:cs="Arial" w:eastAsia="Arial" w:hAnsi="Arial"/>
                <w:sz w:val="15"/>
                <w:szCs w:val="15"/>
                <w:b w:val="1"/>
                <w:bCs w:val="1"/>
                <w:color w:val="auto"/>
                <w:w w:val="88"/>
              </w:rPr>
              <w:t>Comprehensive</w:t>
            </w:r>
          </w:p>
        </w:tc>
        <w:tc>
          <w:tcPr>
            <w:tcW w:w="12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Deficit) Retained</w:t>
            </w:r>
          </w:p>
        </w:tc>
        <w:tc>
          <w:tcPr>
            <w:tcW w:w="200" w:type="dxa"/>
            <w:vAlign w:val="bottom"/>
          </w:tcPr>
          <w:p>
            <w:pPr>
              <w:spacing w:after="0"/>
              <w:rPr>
                <w:sz w:val="12"/>
                <w:szCs w:val="12"/>
                <w:color w:val="auto"/>
              </w:rPr>
            </w:pPr>
          </w:p>
        </w:tc>
        <w:tc>
          <w:tcPr>
            <w:tcW w:w="1100" w:type="dxa"/>
            <w:vAlign w:val="bottom"/>
          </w:tcPr>
          <w:p>
            <w:pPr>
              <w:jc w:val="center"/>
              <w:ind w:right="84"/>
              <w:spacing w:after="0" w:line="142"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200"/>
        </w:trPr>
        <w:tc>
          <w:tcPr>
            <w:tcW w:w="40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5"/>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8"/>
              </w:rPr>
              <w:t>Loss,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Balances at December 31, 2021</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37,024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321,552</w:t>
            </w:r>
          </w:p>
        </w:tc>
        <w:tc>
          <w:tcPr>
            <w:tcW w:w="1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(22,735)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297,528</w:t>
            </w: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rPr>
                <w:sz w:val="20"/>
                <w:szCs w:val="20"/>
                <w:color w:val="auto"/>
              </w:rPr>
            </w:pPr>
            <w:r>
              <w:rPr>
                <w:rFonts w:ascii="Arial" w:cs="Arial" w:eastAsia="Arial" w:hAnsi="Arial"/>
                <w:sz w:val="15"/>
                <w:szCs w:val="15"/>
                <w:color w:val="auto"/>
              </w:rPr>
              <w:t>Vesting of restricted stock</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499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(5,267)</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5,206</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5,206</w:t>
            </w: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rPr>
                <w:sz w:val="20"/>
                <w:szCs w:val="20"/>
                <w:color w:val="auto"/>
              </w:rPr>
            </w:pPr>
            <w:r>
              <w:rPr>
                <w:rFonts w:ascii="Arial" w:cs="Arial" w:eastAsia="Arial" w:hAnsi="Arial"/>
                <w:sz w:val="15"/>
                <w:szCs w:val="15"/>
                <w:color w:val="auto"/>
              </w:rPr>
              <w:t>Stock repurchase and retirement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(1,015)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(24,348)</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(24,348)</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 currency translation adjustment, net of taxes</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8"/>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149,670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149,670</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Balances at September 30, 2022</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36,508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297,143</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126,935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422,709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Consolidated 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63,593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149,670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9,414</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5,597</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5,206</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(127,003)</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87,156</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129,730</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term loan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1,275,808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Repayments on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(742,185)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(1,275,808)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shares withheld for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repurchase and retirement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(93,674)</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2023.</w:t>
      </w:r>
    </w:p>
    <w:p>
      <w:pPr>
        <w:spacing w:after="0" w:line="21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These unaudited interim condensed consolidated financial statements should be read in conjunction with the audited consolidated financial statements and notes thereto for the year ended December 31, 2022 included in the 2022 Form 10-K. The December 31, 2022 condensed consolidated balance sheet included herein was derived from the December 31, 2022 audited consolidated balance sheet included in the 2022 Form 10-K.</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the condensed consolidated balance sheets and the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ind w:right="6140" w:firstLine="8"/>
        <w:spacing w:after="0" w:line="53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September 30, 2023 and December 31, 2022 totaled $103.6 million and $152.4 million, respectively.</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w w:val="8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4,908</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18,020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8,091</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11,365</w:t>
            </w:r>
          </w:p>
        </w:tc>
      </w:tr>
      <w:tr>
        <w:trPr>
          <w:trHeight w:val="20"/>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sales allowance balance as of September 30, 2023 and December 31, 2022 was $2.0 million and $1.6 million, respectively.</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three and nine months ended September 30, 2023 and 2022, or the accounts receivable balance as of September 30, 2023 and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and comprehensive income primarily include employee termination costs and lease-related exit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Arial" w:cs="Arial" w:eastAsia="Arial" w:hAnsi="Arial"/>
                <w:sz w:val="18"/>
                <w:szCs w:val="18"/>
                <w:color w:val="auto"/>
              </w:rPr>
              <w:t>(amounts in thousands)</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Charged (credited)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adjustments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787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restructuring</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and adjustments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adjustments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October 28, 2021, the Financial Accounting Standards Board (FASB) issued Accounting Standards Update (ASU) No.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805): Accounting for Contract Assets and Contract Liabilities from Contracts with Customers</w:t>
      </w:r>
      <w:r>
        <w:rPr>
          <w:rFonts w:ascii="Arial" w:cs="Arial" w:eastAsia="Arial" w:hAnsi="Arial"/>
          <w:sz w:val="17"/>
          <w:szCs w:val="17"/>
          <w:color w:val="auto"/>
        </w:rPr>
        <w:t>, which requires contract assets and contract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as deferred revenue acquired in a business combination to be recognized and measured by the acquirer on the acquisition date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adopted this standard in the first quarter of 2023 and will apply the guidance as it relates to future acquisitions.</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8"/>
          <w:szCs w:val="18"/>
          <w:b w:val="1"/>
          <w:bCs w:val="1"/>
          <w:color w:val="auto"/>
        </w:rPr>
        <w:t>Three 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50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386,536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43,165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429,701</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396,595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442,291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89"/>
              </w:rPr>
              <w:t>Three Months ended September 30, 2022</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592,398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22,811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615,209</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20,889</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612,270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636,098</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89"/>
              </w:rPr>
              <w:t>Nine Months ended September 30, 2023</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1,437,746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124,477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1,562,223</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1,474,273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1,605,693</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89"/>
              </w:rPr>
              <w:t>Nine Months ended September 30, 2022</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2,053,935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66,122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2,120,057</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2,109,293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2,178,391</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-4337050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-4045585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-3051175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-2759710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-1765300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-1473835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891" w:right="339" w:bottom="1440" w:gutter="0" w:footer="0" w:header="0"/>
          <w:type w:val="continuous"/>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HireUp</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December 13, 2022, the Company purchased and acquired substantially all of the assets and assumed certain liabilities of HireUp Leadership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(HireUp) for a purchase price of $6.0 million in cash, subject to adjustment, and $0.8 million in shares (or 29,811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treated as a purchase of assets for income tax purposes.</w:t>
      </w:r>
    </w:p>
    <w:p>
      <w:pPr>
        <w:spacing w:after="0" w:line="23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sellers were eligible to receive up to an additional $8.0 million total in earnout cash consideration based on HireUp's revenues and Adjusted EBITDA for each of the twelve-month periods ending on the first and second anniversaries of the first day after the closing date. During 2023, the Company performed analyses using multiple updated forecast scenarios and determined that the earnout would only be partially achieved. As a result, the Company recognized a decrease in the fair value of the related liabilities in the second and third quarters of 2023. The liability of $1.9 million is included in the current portion of earnout liability on the condensed consolidated balance sheets. See Note 10 - Fair Value Measurements.</w:t>
      </w:r>
    </w:p>
    <w:p>
      <w:pPr>
        <w:spacing w:after="0" w:line="2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w:t>
      </w:r>
    </w:p>
    <w:p>
      <w:pPr>
        <w:ind w:right="300" w:firstLine="8"/>
        <w:spacing w:after="0" w:line="26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$3.5 million to a database with a weighted average estimated useful life of 7 years, for a total of $6.9 million in definite life intangible assets with a weighted average estimated useful life of 7 years.</w:t>
      </w: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remaining excess purchase price over the fair value of net assets acquired of $1.6 million was recorded as goodwill on the Company's condensed consolidated balance sheets. See Note 7 - Goodwill, Trade Names, and Other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Mint</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sellers are eligible to receive up to an additional $10.0 million in earnout cash consideration based on Mint's revenues and gross profit for each of the twelve-month periods ending on the first and second anniversaries of the first day of the calendar month following the closing date. The short-term portion of the liability of $5.0 million is included in the current portion of earnout liability and the long-term portion of the liability of $5.0 million is included in the non-current portion of earnout liability on the condensed consolidated balance sheets. See Note 10 - Fair Value Measurements.</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w:t>
      </w:r>
    </w:p>
    <w:p>
      <w:pPr>
        <w:ind w:right="120" w:firstLine="8"/>
        <w:spacing w:after="0" w:line="260"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million to a database with a weighted average estimated useful life of 7 years, for a total of $15.1 million in definite life intangible assets with a weighted average estimated useful life of 7 years.</w:t>
      </w:r>
    </w:p>
    <w:p>
      <w:pPr>
        <w:spacing w:after="0" w:line="2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remaining excess purchase price over the fair value of net assets acquired of $20.1 million was recorded as goodwill on the Company's condensed consolidated balance sheets. See Note 7 - Goodwill, Trade Names,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Local Business</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December 15, 2022, the Company purchased and acquired certain assets and assumed certain liabilities of an Ohio-based business for a purchase price of $2.0 million in cash, subject to customary post-closing adjustments. The transaction was treated as a purchase of assets for income tax purposes.</w:t>
      </w:r>
    </w:p>
    <w:p>
      <w:pPr>
        <w:spacing w:after="0" w:line="15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On December 15, 2022, an immaterial amount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above acquisitions made in 2022, HireUp, Mint, and a local business,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sellers were eligible to receive up to an additional $1.5 million in earnout cash consideration, based on Selected's revenues for each of the twelve-month periods ending on the first and second anniversaries of the first day after the closing date. In the second quarter of 2022, the Company determined that the contingent consideration earnout related to the Selected acquisition would not be achieved for 2022 and 2023 and, as a result, the entire liability was reversed.</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quarter ended June 30, 2022, 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remaining excess purchase price over the fair value of net assets acquired of $0.4 million was recorded as goodwill on the Company's condensed consolidated balance sheets. See Note 7 - Goodwill, Trade Names, and Other Intangible Assets.</w:t>
      </w:r>
    </w:p>
    <w:p>
      <w:pPr>
        <w:spacing w:after="0" w:line="19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Country Workforce Solutions Group (CCWSG)</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 Included in the amount paid at closing and held in an escrow account was $2.0 million related to potential wage and hour indemnification claims. On December 16, 2022, this amount was released from escrow to the seller. The transaction was treated as a purchase of assets for income tax purposes.</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sellers were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In the third quarter of 2023, the Company determined that the contingent consideration earnout was achieved for the 2022 through 2023 period and, as a result, the Company made the final $7.5 million earnout payment. See Note 10 - Fair Value Measurements.</w:t>
      </w:r>
    </w:p>
    <w:p>
      <w:pPr>
        <w:spacing w:after="0" w:line="21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During the quarter ended September 30, 2021, the Company assigned a value to other identifiable intangible assets of $14.2 million in customer relationships with a weighted average estimated useful life of 11.5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The remaining excess purchase price over the fair value of net assets acquired of $22.1 million was recorded as goodwill on the Company's condensed consolidated balance sheets. See Note 7 - Goodwill, Trade Names, and Other Intangible Assets.</w:t>
      </w:r>
    </w:p>
    <w:p>
      <w:pPr>
        <w:spacing w:after="0" w:line="19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Immaterial acquisition-related costs (benefits) associated with the Company's acquisitions have been included in selling, general and administrative expenses on its condensed consolidated statements of operations and comprehensive income.</w:t>
      </w: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895" w:right="739" w:bottom="1440" w:gutter="0" w:footer="0" w:header="0"/>
        </w:sectPr>
      </w:pPr>
    </w:p>
    <w:bookmarkStart w:id="15" w:name="page16"/>
    <w:bookmarkEnd w:id="15"/>
    <w:p>
      <w:pPr>
        <w:spacing w:after="0"/>
        <w:tabs>
          <w:tab w:leader="none" w:pos="300" w:val="left"/>
        </w:tabs>
        <w:rPr>
          <w:sz w:val="20"/>
          <w:szCs w:val="20"/>
          <w:color w:val="auto"/>
        </w:rPr>
      </w:pPr>
      <w:r>
        <w:rPr>
          <w:rFonts w:ascii="Arial" w:cs="Arial" w:eastAsia="Arial" w:hAnsi="Arial"/>
          <w:sz w:val="18"/>
          <w:szCs w:val="18"/>
          <w:b w:val="1"/>
          <w:bCs w:val="1"/>
          <w:color w:val="auto"/>
        </w:rPr>
        <w:t>5.</w:t>
        <w:tab/>
        <w:t>COMPREHENSIVE INCOME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Total comprehensive income includes net income or loss and foreign currency translation adjustments, net of any related deferred taxes, and is included within the accompanying condensed consolidated statements of operations and comprehensive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$1.5 million at September 30, 2023 and December 31, 2022.</w:t>
      </w:r>
    </w:p>
    <w:p>
      <w:pPr>
        <w:spacing w:after="0" w:line="20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income tax impact related to components of other comprehensive income for the three and nine months ended September 30, 2023 and 2022 is included in unrealized foreign currency translation loss, net of tax in the condensed consolidated statements of operations and comprehensive income.</w:t>
      </w:r>
    </w:p>
    <w:p>
      <w:pPr>
        <w:spacing w:after="0" w:line="1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0"/>
                <w:szCs w:val="20"/>
                <w:color w:val="auto"/>
              </w:rPr>
            </w:pPr>
          </w:p>
        </w:tc>
        <w:tc>
          <w:tcPr>
            <w:tcW w:w="19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Nine Months Ended</w:t>
            </w:r>
          </w:p>
        </w:tc>
      </w:tr>
      <w:tr>
        <w:trPr>
          <w:trHeight w:val="270"/>
        </w:trPr>
        <w:tc>
          <w:tcPr>
            <w:tcW w:w="6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3"/>
                <w:szCs w:val="23"/>
                <w:color w:val="auto"/>
              </w:rPr>
            </w:pPr>
          </w:p>
        </w:tc>
        <w:tc>
          <w:tcPr>
            <w:tcW w:w="19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66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176"/>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20" w:type="dxa"/>
            <w:vAlign w:val="bottom"/>
            <w:gridSpan w:val="9"/>
          </w:tcPr>
          <w:p>
            <w:pPr>
              <w:jc w:val="right"/>
              <w:ind w:right="90"/>
              <w:spacing w:after="0"/>
              <w:rPr>
                <w:sz w:val="20"/>
                <w:szCs w:val="20"/>
                <w:color w:val="auto"/>
              </w:rPr>
            </w:pPr>
            <w:r>
              <w:rPr>
                <w:rFonts w:ascii="Arial" w:cs="Arial" w:eastAsia="Arial" w:hAnsi="Arial"/>
                <w:sz w:val="14"/>
                <w:szCs w:val="14"/>
                <w:color w:val="auto"/>
                <w:w w:val="90"/>
              </w:rPr>
              <w:t>(amounts in thousands, except per share data)</w:t>
            </w:r>
          </w:p>
        </w:tc>
        <w:tc>
          <w:tcPr>
            <w:tcW w:w="82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6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12,812</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34,793</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63,593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149,670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Effect of diluted shares: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awards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0.36</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9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3"/>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63"/>
        </w:trPr>
        <w:tc>
          <w:tcPr>
            <w:tcW w:w="6620" w:type="dxa"/>
            <w:vAlign w:val="bottom"/>
          </w:tcPr>
          <w:p>
            <w:pPr>
              <w:spacing w:after="0"/>
              <w:rPr>
                <w:sz w:val="22"/>
                <w:szCs w:val="22"/>
                <w:color w:val="auto"/>
              </w:rPr>
            </w:pPr>
          </w:p>
        </w:tc>
        <w:tc>
          <w:tcPr>
            <w:tcW w:w="192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7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120" w:type="dxa"/>
            <w:vAlign w:val="bottom"/>
            <w:gridSpan w:val="3"/>
          </w:tcPr>
          <w:p>
            <w:pPr>
              <w:ind w:left="70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5"/>
          </w:tcPr>
          <w:p>
            <w:pPr>
              <w:ind w:left="320"/>
              <w:spacing w:after="0"/>
              <w:rPr>
                <w:sz w:val="20"/>
                <w:szCs w:val="20"/>
                <w:color w:val="auto"/>
              </w:rPr>
            </w:pPr>
            <w:r>
              <w:rPr>
                <w:rFonts w:ascii="Arial" w:cs="Arial" w:eastAsia="Arial" w:hAnsi="Arial"/>
                <w:sz w:val="18"/>
                <w:szCs w:val="18"/>
                <w:color w:val="auto"/>
              </w:rPr>
              <w:t>(amounts in thousands)</w:t>
            </w: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420" w:type="dxa"/>
            <w:vAlign w:val="bottom"/>
            <w:gridSpan w:val="2"/>
            <w:shd w:val="clear" w:color="auto" w:fill="CCEEFF"/>
          </w:tcPr>
          <w:p>
            <w:pPr>
              <w:jc w:val="right"/>
              <w:ind w:right="5870"/>
              <w:spacing w:after="0"/>
              <w:rPr>
                <w:sz w:val="20"/>
                <w:szCs w:val="20"/>
                <w:color w:val="auto"/>
              </w:rPr>
            </w:pPr>
            <w:r>
              <w:rPr>
                <w:rFonts w:ascii="Arial" w:cs="Arial" w:eastAsia="Arial" w:hAnsi="Arial"/>
                <w:sz w:val="18"/>
                <w:szCs w:val="18"/>
                <w:color w:val="auto"/>
                <w:w w:val="86"/>
              </w:rPr>
              <w:t>Share-based awards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5"/>
          </w:tcPr>
          <w:p>
            <w:pPr>
              <w:spacing w:after="0"/>
              <w:rPr>
                <w:sz w:val="20"/>
                <w:szCs w:val="20"/>
                <w:color w:val="auto"/>
              </w:rPr>
            </w:pPr>
            <w:r>
              <w:rPr>
                <w:rFonts w:ascii="Arial" w:cs="Arial" w:eastAsia="Arial" w:hAnsi="Arial"/>
                <w:sz w:val="18"/>
                <w:szCs w:val="18"/>
                <w:color w:val="auto"/>
                <w:w w:val="93"/>
              </w:rPr>
              <w:t>The Company had the following acquired intangible assets: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December 31, 2022</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49,330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26,923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22,407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22,033</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44,079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 indefinite-lived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4"/>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40" w:type="dxa"/>
            <w:vAlign w:val="bottom"/>
            <w:gridSpan w:val="8"/>
          </w:tcPr>
          <w:p>
            <w:pPr>
              <w:spacing w:after="0"/>
              <w:rPr>
                <w:sz w:val="20"/>
                <w:szCs w:val="20"/>
                <w:color w:val="auto"/>
              </w:rPr>
            </w:pPr>
            <w:r>
              <w:rPr>
                <w:rFonts w:ascii="Arial" w:cs="Arial" w:eastAsia="Arial" w:hAnsi="Arial"/>
                <w:sz w:val="18"/>
                <w:szCs w:val="18"/>
                <w:color w:val="auto"/>
                <w:w w:val="91"/>
              </w:rPr>
              <w:t>As of September 30, 2023, estimated annual amortization expense was as follows: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Arial" w:cs="Arial" w:eastAsia="Arial" w:hAnsi="Arial"/>
                <w:sz w:val="16"/>
                <w:szCs w:val="16"/>
                <w:color w:val="auto"/>
                <w:w w:val="90"/>
              </w:rPr>
              <w:t>(amounts in thousands)</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Nurse</w:t>
            </w:r>
          </w:p>
        </w:tc>
        <w:tc>
          <w:tcPr>
            <w:tcW w:w="120" w:type="dxa"/>
            <w:vAlign w:val="bottom"/>
          </w:tcPr>
          <w:p>
            <w:pPr>
              <w:spacing w:after="0"/>
              <w:rPr>
                <w:sz w:val="17"/>
                <w:szCs w:val="17"/>
                <w:color w:val="auto"/>
              </w:rPr>
            </w:pPr>
          </w:p>
        </w:tc>
        <w:tc>
          <w:tcPr>
            <w:tcW w:w="20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7"/>
              </w:rPr>
              <w:t>Physician</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center"/>
              <w:ind w:right="560"/>
              <w:spacing w:after="0" w:line="176" w:lineRule="exact"/>
              <w:rPr>
                <w:sz w:val="20"/>
                <w:szCs w:val="20"/>
                <w:color w:val="auto"/>
              </w:rPr>
            </w:pPr>
            <w:r>
              <w:rPr>
                <w:rFonts w:ascii="Arial" w:cs="Arial" w:eastAsia="Arial" w:hAnsi="Arial"/>
                <w:sz w:val="18"/>
                <w:szCs w:val="18"/>
                <w:b w:val="1"/>
                <w:bCs w:val="1"/>
                <w:color w:val="auto"/>
                <w:w w:val="94"/>
              </w:rPr>
              <w:t>And Allied</w:t>
            </w:r>
          </w:p>
        </w:tc>
        <w:tc>
          <w:tcPr>
            <w:tcW w:w="12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8"/>
                <w:szCs w:val="18"/>
                <w:b w:val="1"/>
                <w:bCs w:val="1"/>
                <w:color w:val="auto"/>
                <w:w w:val="92"/>
              </w:rPr>
              <w:t>Staffing</w:t>
            </w: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(amounts in thousands)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2022</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395,119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78,621</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473,740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2"/>
              </w:rPr>
              <w:t>(40,598)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Arial" w:cs="Arial" w:eastAsia="Arial" w:hAnsi="Arial"/>
                <w:sz w:val="18"/>
                <w:szCs w:val="18"/>
                <w:color w:val="auto"/>
              </w:rPr>
              <w:t>Goodwill, net of impairment loss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125,245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38,023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163,268</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Changes to aggregate goodwill in 2023</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 acquisition adjustments</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2"/>
              </w:rPr>
              <w:t>(15,100)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(27,838)</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September 30, 2023</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Aggregate goodwill acquired</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382,381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63,521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445,902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2"/>
              </w:rPr>
              <w:t>(40,598)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Goodwill, net of impairment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112,507</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color w:val="auto"/>
                <w:w w:val="90"/>
              </w:rPr>
              <w:t>22,923</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w:t>
      </w:r>
    </w:p>
    <w:p>
      <w:pPr>
        <w:spacing w:after="0" w:line="23" w:lineRule="exact"/>
        <w:rPr>
          <w:sz w:val="20"/>
          <w:szCs w:val="20"/>
          <w:color w:val="auto"/>
        </w:rPr>
      </w:pPr>
    </w:p>
    <w:p>
      <w:pPr>
        <w:ind w:right="200" w:firstLine="8"/>
        <w:spacing w:after="0" w:line="255"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adjustments to the fair value of the identifiable net assets acquired, with a corresponding offset to goodwill, made during the measurement periods related to the acquisitions of HireUp, Mint, and a local business. The measurement periods have concluded, and no further adjustments are anticipated. See Note 4 - Acquisitions.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3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188"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As of September 30, 2023,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September 30, 2023 will prove to be accurate predictions of future performance.</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For its long-lived assets and definite-lived intangible assets, the Company reviews for impairment whenever events or changes in circumstances indicate the carrying amount may not be recoverable. During the second quarter of 2023, the Company wrote off an IT project, resulting in a $0.5 million impairment charge. As of September 30, 2022, the Company wrote off an IT project and recorded a $1.9 million impairment charge.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 interest of 10.14%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Senior Secured Asset-Based Loan, interest of 6.92% and 5.90% at September 30,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September 30, 2023</w:t>
            </w: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2022</w:t>
            </w: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4"/>
              </w:rPr>
              <w:t>Debt</w:t>
            </w:r>
          </w:p>
        </w:tc>
      </w:tr>
      <w:tr>
        <w:trPr>
          <w:trHeight w:val="184"/>
        </w:trPr>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400"/>
              <w:spacing w:after="0" w:line="184" w:lineRule="exact"/>
              <w:rPr>
                <w:sz w:val="20"/>
                <w:szCs w:val="20"/>
                <w:color w:val="auto"/>
              </w:rPr>
            </w:pPr>
            <w:r>
              <w:rPr>
                <w:rFonts w:ascii="Arial" w:cs="Arial" w:eastAsia="Arial" w:hAnsi="Arial"/>
                <w:sz w:val="18"/>
                <w:szCs w:val="18"/>
                <w:b w:val="1"/>
                <w:bCs w:val="1"/>
                <w:color w:val="auto"/>
                <w:w w:val="85"/>
              </w:rPr>
              <w:t>Issuance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5"/>
              </w:rPr>
              <w:t>Issuance</w:t>
            </w:r>
          </w:p>
        </w:tc>
      </w:tr>
      <w:tr>
        <w:trPr>
          <w:trHeight w:val="234"/>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Costs</w:t>
            </w:r>
          </w:p>
        </w:tc>
      </w:tr>
      <w:tr>
        <w:trPr>
          <w:trHeight w:val="222"/>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73,875</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418"/>
        </w:trPr>
        <w:tc>
          <w:tcPr>
            <w:tcW w:w="160" w:type="dxa"/>
            <w:vAlign w:val="bottom"/>
          </w:tcPr>
          <w:p>
            <w:pPr>
              <w:spacing w:after="0"/>
              <w:rPr>
                <w:sz w:val="24"/>
                <w:szCs w:val="24"/>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150,675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360"/>
            <w:col w:w="5000"/>
          </w:cols>
          <w:pgMar w:left="320" w:top="891" w:right="339" w:bottom="1440" w:gutter="0" w:footer="0" w:header="0"/>
        </w:sectPr>
      </w:pPr>
    </w:p>
    <w:p>
      <w:pPr>
        <w:spacing w:after="0" w:line="12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of September 30, 2023 and December 31, 2022, all debt is considered non-current debt on the condensed consolidated balance sheets. The Company has elected to present the debt issuance costs associated with its revolving line-of-credit as an asset, which is included in other assets on the condensed consolidated balance sheets. As a result, the debt in the above table will not agree to debt on the condensed consolidated balance sheets herein.</w:t>
      </w:r>
    </w:p>
    <w:p>
      <w:pPr>
        <w:spacing w:after="0" w:line="4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to its scheduled payments, the Company made optional prepayments of $50.0 million on its term loan on June 23, 2022 and October 26, 2022, totaling $100.0 million, to reduce interest costs. The Company was entitled to determine the application of the prepayments, which were applied to all future amortization payments, with the balance applied to the remaining balloon payment in 2027. On June 30, 2023, the Company repaid all outstanding obligations under the term loan, and terminated the Term Loan Agreement (as defined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 Credit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had an interest rate of one-month London Inter-Bank Offered Rate (LIBOR) plus 5.75% per annum, subject to a 0.75% LIBOR floor. The borrowings under the Term Loan Agreement generally bore interest at a variable rate based on either LIBOR or Base Rate (as defined in the Term Loan Agreement) and were subject to mandatory prepayments of principal payable in quarterly installments.</w:t>
      </w:r>
    </w:p>
    <w:p>
      <w:pPr>
        <w:spacing w:after="0" w:line="21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term loan was secured by a second-priority security interest in the collateral as defined in the Loan Agreement (as defined below). The lien priority, relative rights, and other creditors’ rights issues in respect of the collateral lenders are set forth in the Intercreditor Agreement, dated June 8, 2021 (Intercreditor Agreement).</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In conjunction with the Term Loan First Amendment, the Company entered into the Term Loan First Amendment to the Intercreditor Agreement effective as of November 18, 2021.</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ind w:right="100"/>
        <w:spacing w:after="0" w:line="301" w:lineRule="auto"/>
        <w:rPr>
          <w:sz w:val="20"/>
          <w:szCs w:val="20"/>
          <w:color w:val="auto"/>
        </w:rPr>
      </w:pPr>
      <w:r>
        <w:rPr>
          <w:rFonts w:ascii="Arial" w:cs="Arial" w:eastAsia="Arial" w:hAnsi="Arial"/>
          <w:sz w:val="16"/>
          <w:szCs w:val="16"/>
          <w:color w:val="auto"/>
        </w:rPr>
        <w:t>On April 14, 2023, the Company amended its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second and fourth quarters of 2022, the Company made early prepayments totaling $100 million, and incurred prepayment premiums of $1.0 million pursuant to the Term Loan Agreement. Debt issuance costs of $1.4 million and $1.3 million were written off in the second and fourth quarters of 2022, respectively.</w:t>
      </w:r>
    </w:p>
    <w:p>
      <w:pPr>
        <w:spacing w:after="0" w:line="2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Any prepayment premiums and write-off of debt issuance costs are included as loss on early extinguishment of debt in the condensed consolidated statements of operations and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Asset-Based Loan Agreement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PNC Bank N.A., as well as other Lenders (as defined therein) from time to time parties thereto (Loan Agreement). The Loan Agreement provides for a five-year revolving senior secured asset-based credit facility (ABL) in the aggregate principal amount of up to $120.0 million, including a sublimit for swing loans up to $15.0 million and a $35.0 million sublimit for standby letters of credit.</w:t>
      </w:r>
    </w:p>
    <w:p>
      <w:pPr>
        <w:spacing w:after="0" w:line="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3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November 18, 2021, the Company amended its Loan Agreement (Fourth Amendment), whereby the permitted indebtedness (as defined in the Loan Agreement), was increased to $175.0 million.</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21, 2022, the Company amended its Loan Agreement (Fifth Amendment), which increased the current aggregate committed size of the ABL from $150.0 million to $300.0 million, extended the credit facility for an additional five years through March 21, 2027, and increased certain borrowing base sub-limits. In addition, the agreement provides the option for all or a portion of the borrowings to bear interest at a rate based on the SOFR or the Base Rate, at the election of the borrowers, plus an applicable margin. The applicable margin will increase 10 basis points due to the credit spread associated with the transition to SOFR.</w:t>
      </w:r>
    </w:p>
    <w:p>
      <w:pPr>
        <w:spacing w:after="0" w:line="8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September 29, 2023, the Company amended its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September 30, 2023, borrowing base availability under the ABL was $227.4 million. The Company had no borrowings drawn,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0" w:name="page21"/>
    <w:bookmarkEnd w:id="20"/>
    <w:p>
      <w:pPr>
        <w:ind w:right="460"/>
        <w:spacing w:after="0" w:line="277" w:lineRule="auto"/>
        <w:rPr>
          <w:sz w:val="20"/>
          <w:szCs w:val="20"/>
          <w:color w:val="auto"/>
        </w:rPr>
      </w:pPr>
      <w:r>
        <w:rPr>
          <w:rFonts w:ascii="Arial" w:cs="Arial" w:eastAsia="Arial" w:hAnsi="Arial"/>
          <w:sz w:val="18"/>
          <w:szCs w:val="18"/>
          <w:color w:val="auto"/>
        </w:rPr>
        <w:t>and $17.9 million of letters of credit outstanding related to workers' compensation and professional liability policies, leaving $209.5 million of excess availability.</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2023,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Loan Agreement contains various restrictions applicable to the Company and its subsidiaries. Obligations under the ABL are secured by substantially all of the assets of the borrowers and guarantors (as defined therein), subject to customary exceptions.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LEASES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Beginning in the second quarter of 2020, in connection with the global pandemic, the Company expedited restructuring plans and either reduced or fully vacated leased office space. The decision and change in the use of space resulted in a right-of-use asset impairment charge of $1.5 million and $1.3 million for the three months ended March 31, 2022 and September 30, 2022, respectively, and an immaterial right-of-use asset impairment charge for the three and nine months ended September 30, 2023. These losses were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nine-month periods ended September 30, 2023 and 2022, the Company wrote off an immaterial amount of leasehold improvements and other property and equipment related to these locations. The measurement of the right-of-use asset impairments, using the assumptions described, is a Level 3 fair value measurement. See Note 10 - Fair Value Measurements for a description of Level 3 inputs.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2023</w:t>
            </w: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c>
          <w:tcPr>
            <w:tcW w:w="52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4840" w:type="dxa"/>
            <w:vAlign w:val="bottom"/>
            <w:gridSpan w:val="3"/>
          </w:tcPr>
          <w:p>
            <w:pPr>
              <w:jc w:val="right"/>
              <w:ind w:right="1230"/>
              <w:spacing w:after="0"/>
              <w:rPr>
                <w:sz w:val="20"/>
                <w:szCs w:val="20"/>
                <w:color w:val="auto"/>
              </w:rPr>
            </w:pPr>
            <w:r>
              <w:rPr>
                <w:rFonts w:ascii="Arial" w:cs="Arial" w:eastAsia="Arial" w:hAnsi="Arial"/>
                <w:sz w:val="18"/>
                <w:szCs w:val="18"/>
                <w:color w:val="auto"/>
              </w:rPr>
              <w:t>(amounts in thousands)</w:t>
            </w:r>
          </w:p>
        </w:tc>
        <w:tc>
          <w:tcPr>
            <w:tcW w:w="52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2,628</w:t>
            </w:r>
          </w:p>
        </w:tc>
        <w:tc>
          <w:tcPr>
            <w:tcW w:w="218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3,254</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080" w:type="dxa"/>
            <w:vAlign w:val="bottom"/>
          </w:tcPr>
          <w:p>
            <w:pPr>
              <w:jc w:val="right"/>
              <w:ind w:right="18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2,782</w:t>
            </w:r>
          </w:p>
        </w:tc>
        <w:tc>
          <w:tcPr>
            <w:tcW w:w="218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4,132</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3,040</w:t>
            </w:r>
          </w:p>
        </w:tc>
        <w:tc>
          <w:tcPr>
            <w:tcW w:w="218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4,880</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860" w:type="dxa"/>
            <w:vAlign w:val="bottom"/>
            <w:gridSpan w:val="2"/>
          </w:tcPr>
          <w:p>
            <w:pPr>
              <w:ind w:left="580"/>
              <w:spacing w:after="0"/>
              <w:rPr>
                <w:sz w:val="20"/>
                <w:szCs w:val="20"/>
                <w:color w:val="auto"/>
              </w:rPr>
            </w:pPr>
            <w:r>
              <w:rPr>
                <w:rFonts w:ascii="Arial" w:cs="Arial" w:eastAsia="Arial" w:hAnsi="Arial"/>
                <w:sz w:val="18"/>
                <w:szCs w:val="18"/>
                <w:b w:val="1"/>
                <w:bCs w:val="1"/>
                <w:color w:val="auto"/>
              </w:rPr>
              <w:t>September 30, 2023</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years</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6.37 %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6.31 %</w:t>
            </w:r>
          </w:p>
        </w:tc>
      </w:tr>
    </w:tbl>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September 30,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370"/>
              <w:spacing w:after="0"/>
              <w:rPr>
                <w:sz w:val="20"/>
                <w:szCs w:val="20"/>
                <w:color w:val="auto"/>
              </w:rPr>
            </w:pPr>
            <w:r>
              <w:rPr>
                <w:rFonts w:ascii="Arial" w:cs="Arial" w:eastAsia="Arial" w:hAnsi="Arial"/>
                <w:sz w:val="18"/>
                <w:szCs w:val="18"/>
                <w:color w:val="auto"/>
              </w:rPr>
              <w:t>(amounts 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60" w:type="dxa"/>
            <w:vAlign w:val="bottom"/>
          </w:tcPr>
          <w:p>
            <w:pPr>
              <w:jc w:val="center"/>
              <w:ind w:left="550"/>
              <w:spacing w:after="0"/>
              <w:rPr>
                <w:sz w:val="20"/>
                <w:szCs w:val="20"/>
                <w:color w:val="auto"/>
              </w:rPr>
            </w:pPr>
            <w:r>
              <w:rPr>
                <w:rFonts w:ascii="Arial" w:cs="Arial" w:eastAsia="Arial" w:hAnsi="Arial"/>
                <w:sz w:val="18"/>
                <w:szCs w:val="18"/>
                <w:color w:val="auto"/>
                <w:w w:val="86"/>
              </w:rPr>
              <w:t>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2025</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6"/>
              </w:rPr>
              <w:t>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2027</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center"/>
              <w:ind w:left="550"/>
              <w:spacing w:after="0"/>
              <w:rPr>
                <w:sz w:val="20"/>
                <w:szCs w:val="20"/>
                <w:color w:val="auto"/>
              </w:rPr>
            </w:pPr>
            <w:r>
              <w:rPr>
                <w:rFonts w:ascii="Arial" w:cs="Arial" w:eastAsia="Arial" w:hAnsi="Arial"/>
                <w:sz w:val="18"/>
                <w:szCs w:val="18"/>
                <w:color w:val="auto"/>
                <w:w w:val="86"/>
              </w:rPr>
              <w:t>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6"/>
              </w:rPr>
              <w:t>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3,903</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88"/>
              </w:rPr>
              <w:t>4,446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782</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72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w w:val="90"/>
              </w:rPr>
              <w:t>Amounts Included in Condensed Consolidated Statements of Operations and Comprehensive</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396</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702</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8"/>
              </w:rPr>
              <w:t>1,743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355</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88"/>
              </w:rPr>
              <w:t>2,027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7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40"/>
              <w:spacing w:after="0" w:line="184" w:lineRule="exact"/>
              <w:rPr>
                <w:sz w:val="20"/>
                <w:szCs w:val="20"/>
                <w:color w:val="auto"/>
              </w:rPr>
            </w:pPr>
            <w:r>
              <w:rPr>
                <w:rFonts w:ascii="Arial" w:cs="Arial" w:eastAsia="Arial" w:hAnsi="Arial"/>
                <w:sz w:val="18"/>
                <w:szCs w:val="18"/>
                <w:b w:val="1"/>
                <w:bCs w:val="1"/>
                <w:color w:val="auto"/>
                <w:w w:val="90"/>
              </w:rPr>
              <w:t>Amounts Included in Condensed Consolidated Statements of Operations and Comprehensive</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1,300</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88"/>
              </w:rPr>
              <w:t>2,043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2,520</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8"/>
              </w:rPr>
              <w:t>4,128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628</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88"/>
              </w:rPr>
              <w:t>1,674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(benefits) in the condensed consolidated statements of operations and comprehensive income, depending on the nature of the leased asset. Operating lease expense is reported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ind w:right="100"/>
        <w:spacing w:after="0" w:line="277" w:lineRule="auto"/>
        <w:rPr>
          <w:sz w:val="20"/>
          <w:szCs w:val="20"/>
          <w:color w:val="auto"/>
        </w:rPr>
      </w:pPr>
      <w:r>
        <w:rPr>
          <w:rFonts w:ascii="Arial" w:cs="Arial" w:eastAsia="Arial" w:hAnsi="Arial"/>
          <w:sz w:val="18"/>
          <w:szCs w:val="18"/>
          <w:color w:val="auto"/>
        </w:rPr>
        <w:t>of sublease income, which is not material. Variable and other lease costs for the nine months ended September 30, 2022 included a benefit associated with the early termination of one of the Company's leases for corporate offices which was previously restructured.</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2023, the Company did not have any material operating leases that had not yet commenced. The Company does not have any finance lease contracts related to other equipment rentals which are not included in the above disclosures.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spacing w:after="0" w:line="19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Fair Value Measurements</w:t>
      </w:r>
    </w:p>
    <w:p>
      <w:pPr>
        <w:spacing w:after="0" w:line="50" w:lineRule="exact"/>
        <w:rPr>
          <w:sz w:val="20"/>
          <w:szCs w:val="20"/>
          <w:color w:val="auto"/>
        </w:rPr>
      </w:pPr>
    </w:p>
    <w:p>
      <w:pPr>
        <w:ind w:left="6980"/>
        <w:spacing w:after="0"/>
        <w:tabs>
          <w:tab w:leader="none" w:pos="9380" w:val="left"/>
        </w:tabs>
        <w:rPr>
          <w:sz w:val="20"/>
          <w:szCs w:val="20"/>
          <w:color w:val="auto"/>
        </w:rPr>
      </w:pPr>
      <w:r>
        <w:rPr>
          <w:rFonts w:ascii="Arial" w:cs="Arial" w:eastAsia="Arial" w:hAnsi="Arial"/>
          <w:sz w:val="18"/>
          <w:szCs w:val="18"/>
          <w:b w:val="1"/>
          <w:bCs w:val="1"/>
          <w:color w:val="auto"/>
        </w:rPr>
        <w:t>September 30, 2023</w:t>
      </w:r>
      <w:r>
        <w:rPr>
          <w:sz w:val="20"/>
          <w:szCs w:val="20"/>
          <w:color w:val="auto"/>
        </w:rPr>
        <w:tab/>
      </w: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1"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2"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0576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 As of September 30, 2023, certain IT projects were written off and leases were vacated resulting in an impairment of the related IT assets and right-of-use assets along with related property and equipment, respectively, using Level 3 inputs to determine remeasured fair value of these assets. See Note 7 - Goodwill, Trade Names, and Other Intangible Assets and Note 9 - Leases for more information about these impairments.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ABL, (ii) term loan, and (iii) through (v) earnout liabilities related to the WSG, Mint, and HireUp acquisitions, as discussed below.</w:t>
      </w:r>
    </w:p>
    <w:p>
      <w:pPr>
        <w:spacing w:after="0" w:line="177" w:lineRule="exact"/>
        <w:rPr>
          <w:sz w:val="20"/>
          <w:szCs w:val="20"/>
          <w:color w:val="auto"/>
        </w:rPr>
      </w:pPr>
    </w:p>
    <w:p>
      <w:pPr>
        <w:ind w:right="20" w:firstLine="8"/>
        <w:spacing w:after="0" w:line="271"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carrying amount of the Company’s ABL approximates fair value because the interest rates are variable and reflective of market rates. (ii) On June 30, 2023, the Company repaid all outstanding obligations of $73.9 million under the term loan, and terminated the Term Loan Agreement. See Note 8 - Debt. Prior to termination, the estimated fair value of the Company’s term loan was calculated applying an interest rate lattice model using Level 2 inputs from available market information. (iii) Potential earnout payments related to the WSG acquisition were contingent upon meeting certain performance requirements based on 2021 through 2023 performance. The Company performed an analysis using multiple forecast scenarios to determine the fair value of the earnout liability. In the third quarter of 2022, the Company determined that the contingent consideration earnout related to the WSG acquisition was achieved for the 2021 through 2022 period and, as a result, the Company made a $7.5 million earnout payment. In the third quarter of 2023, the Company determined that the contingent consideration earnout related to the WSG acquisition was also achieved for the 2022 through 2023 period and, as a result, the Company made the final $7.5 million earnout payment. See Note 4 - Acquisitions. (iv) Potential earnout payments related to the Mint acquisition are contingent upon meeting certain performance requirements based on 2022 through 2024 performance. The Company performed an analysis using multiple forecast scenarios to determine the fair value of the earnout liability. The earnout liability’s carrying amount approximates fair value and the short-term portion of the liability of $5.0 million is included in the current portion of earnout liability and the long-term portion of the liability of $5.0 million is included in the non-current portion of earnout liability on the condensed consolidated balance sheets. See Note 4 - Acquisitions. (v) Potential earnout payments related to the HireUp acquisition are contingent upon meeting certain performance requirements based on 2022 through 2024 performance. During 2023, the Company performed analyses using multiple updated forecast scenarios and determined that the earnout would only be partially achieved. As a result, the Company recognized a decrease in the fair value of the related liabilities in the second and third quarters of 2023. The liability of</w:t>
      </w:r>
    </w:p>
    <w:p>
      <w:pPr>
        <w:spacing w:after="0" w:line="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 million is included in the current portion of earnout liability on the condensed consolidated balance sheets. See Note 4 -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September 30, 2023</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2022</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Fair</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Fair</w:t>
            </w:r>
          </w:p>
        </w:tc>
      </w:tr>
      <w:tr>
        <w:trPr>
          <w:trHeight w:val="239"/>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11"/>
        </w:trPr>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6"/>
          </w:tcPr>
          <w:p>
            <w:pPr>
              <w:ind w:left="1060"/>
              <w:spacing w:after="0"/>
              <w:rPr>
                <w:sz w:val="20"/>
                <w:szCs w:val="20"/>
                <w:color w:val="auto"/>
              </w:rPr>
            </w:pPr>
            <w:r>
              <w:rPr>
                <w:rFonts w:ascii="Arial" w:cs="Arial" w:eastAsia="Arial" w:hAnsi="Arial"/>
                <w:sz w:val="16"/>
                <w:szCs w:val="16"/>
                <w:color w:val="auto"/>
              </w:rPr>
              <w:t>(amounts in thousands)</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Secured Asset-Based Loan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w:t>
            </w: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Term Loan,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1"/>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73,875</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71,221</w:t>
            </w:r>
          </w:p>
        </w:tc>
      </w:tr>
      <w:tr>
        <w:trPr>
          <w:trHeight w:val="229"/>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Earnout Liability (WSG)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Earnout Liability (Mint)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100" w:type="dxa"/>
            <w:vAlign w:val="bottom"/>
          </w:tcPr>
          <w:p>
            <w:pPr>
              <w:jc w:val="right"/>
              <w:ind w:right="9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10,000</w:t>
            </w:r>
          </w:p>
        </w:tc>
        <w:tc>
          <w:tcPr>
            <w:tcW w:w="2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Earnout Liability (HireUp)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80" w:lineRule="exact"/>
        <w:rPr>
          <w:sz w:val="20"/>
          <w:szCs w:val="20"/>
          <w:color w:val="auto"/>
        </w:rPr>
      </w:pPr>
    </w:p>
    <w:p>
      <w:pPr>
        <w:ind w:right="8520" w:firstLine="8"/>
        <w:spacing w:after="0" w:line="518" w:lineRule="auto"/>
        <w:tabs>
          <w:tab w:leader="none" w:pos="39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16, 2022, the Company's Board of Directors authorized a new stock repurchase program (the New Repurchase Program), whereby the Company may repurchase up to $100.0 million of its shares of common stock, subject to the terms of its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120"/>
        <w:spacing w:after="0" w:line="254" w:lineRule="auto"/>
        <w:rPr>
          <w:sz w:val="20"/>
          <w:szCs w:val="20"/>
          <w:color w:val="auto"/>
        </w:rPr>
      </w:pPr>
      <w:r>
        <w:rPr>
          <w:rFonts w:ascii="Arial" w:cs="Arial" w:eastAsia="Arial" w:hAnsi="Arial"/>
          <w:sz w:val="18"/>
          <w:szCs w:val="18"/>
          <w:color w:val="auto"/>
        </w:rPr>
        <w:t>current credit agreements. The shares may be repurchased from time-to-time in the open market or in privately negotiated transactions. The New Repurchase Program was effective immediately and may be discontinued at any time at the Board of Directors' discretion. In addition to the repurchase of $100.0 million of its shares of common stock under the New Repurchase Program, the Company was authorized to continue to repurchase any remaining shares available for repurchase under the Company's previous stock repurchase program, which was approved by the Board of Directors on February 28, 2008 (the Prior Repurchase Program). Upon completion of the authorized number of shares available for repurchase under the Prior Repurchase Program, the Company commenced repurchases under the New Repurchase Program during the third quarter of 2022. During the fourth quarter of 2022, the Company entered into a Rule 10b5-1 Repurchase Plan to allow for share repurchases during the Company's blackout periods, effective through November 2, 2023.</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1, 2023, the Company’s Board of Directors authorized approximately $59.0 million in additional share repurchases, such that, effective for trades made after May 3, 2023, the aggregate amount available for stock repurchases under the New Repurchase Program was $100.0 million. The shares can be repurchased from time-to-time in the open market or in privately negotiated transactions. Decisions regarding the amount and the timing of repurchases under the New Repurchase Program will be subject to the Company’s available liquidity and cash on hand, applicable legal requirements, the terms of the Company’s Loan Agreement and Term Loan Agreement, general market conditions, and other factors. The New Repurchase Program does not obligate the Company to repurchase any particular number of shares of common stock and may be discontinued by the Board of Directors at any time. During the third quarter of 2023, the Company entered into a new Rule 10b5-1 Repurchase Plan to allow for share repurchases during the Company's blackout periods, beginning on January 2, 2024.</w:t>
      </w:r>
    </w:p>
    <w:p>
      <w:pPr>
        <w:spacing w:after="0" w:line="21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During the three months ended September 30, 2023, the Company repurchased and retired a total of 616,824 shares of common stock for $14.8 million, at an average price of $23.92 per share. During the nine months ended September 30, 2023, the Company repurchased and retired a total of 2,038,691 shares of common stock for $51.2 million, at an average price of $25.12 per share. During the three months ended September 30, 2022, the Company repurchased and retired a total of 1,014,815 shares of common stock for $24.3 million, at an average price of $23.97 per share.</w:t>
      </w:r>
    </w:p>
    <w:p>
      <w:pPr>
        <w:spacing w:after="0" w:line="19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of September 30, 2023, the Company had $83.7 million remaining for share repurchase under the New Repurchase Program, subject to certain conditions in the Company's Loan Agreement. At September 30, 2023, the Company had 34,688,631 unrestricted shares of common stock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19, 2020, the Company's stockholders approved the Cross Country Healthcare, Inc. 2020 Omnibus Incentive Plan (2020 Plan), which replaced the Cross Country Healthcare, Inc.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restricted stock awards and performance stock awards activity issued under the 2017 Plan and the 2020 Plan (together,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 for the nine months ended September 30, 2023:</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line="184" w:lineRule="exact"/>
              <w:rPr>
                <w:sz w:val="20"/>
                <w:szCs w:val="20"/>
                <w:color w:val="auto"/>
              </w:rPr>
            </w:pPr>
            <w:r>
              <w:rPr>
                <w:rFonts w:ascii="Arial" w:cs="Arial" w:eastAsia="Arial" w:hAnsi="Arial"/>
                <w:sz w:val="18"/>
                <w:szCs w:val="18"/>
                <w:b w:val="1"/>
                <w:bCs w:val="1"/>
                <w:color w:val="auto"/>
                <w:w w:val="87"/>
              </w:rPr>
              <w:t>Average</w:t>
            </w: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5"/>
              </w:rPr>
              <w:t>Grant Date</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319,312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200,487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(403,023)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(34,740)</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556,057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422,587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100"/>
        <w:spacing w:after="0" w:line="308" w:lineRule="auto"/>
        <w:rPr>
          <w:sz w:val="20"/>
          <w:szCs w:val="20"/>
          <w:color w:val="auto"/>
        </w:rPr>
      </w:pPr>
      <w:r>
        <w:rPr>
          <w:rFonts w:ascii="Arial" w:cs="Arial" w:eastAsia="Arial" w:hAnsi="Arial"/>
          <w:sz w:val="17"/>
          <w:szCs w:val="17"/>
          <w:color w:val="auto"/>
        </w:rPr>
        <w:t>Restricted stock awards granted under the Plans entitle the holder to receive, at the end of a vesting period, a specified number of shares of the Company’s common stock. Share-based compensation expense is measured by the market value of the Company’s stock on the date of grant.</w:t>
      </w:r>
    </w:p>
    <w:p>
      <w:pPr>
        <w:spacing w:after="0" w:line="17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Awards granted to non-employee directors under the 2020 Plan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Plans, the number of target shares that are issued for performance-based stock awards are determined based on the level of attainment of the targets. During the first quarter of 2023, the Company's Compensation Committee of the Board of Directors approved a 120% level of attainment for the 2020 performance-based share awards, resulting in the issuance of 238,253 performance shares that vested on March 31, 2023.</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and nine months ended September 30, 2023, $1.4 million and $5.4 million, respectively, was included in selling, general and administrative expenses related to share-based payments, and a net of 430 and 424,704 shares, respectively, of common stock were issued upon the vesting of restricted and performance stock.</w:t>
      </w:r>
    </w:p>
    <w:p>
      <w:pPr>
        <w:spacing w:after="0" w:line="202"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During the three and nine months ended September 30, 2022, $1.5 million and $5.2 million, respectively, was included in selling, general and administrative expenses related to share-based payments. During the nine months ended September 30, 2022, a net of 499,700 shares of common stock were issued upon the vesting of restricted and performance stock. No shares vested during the three months ended September 30, 2022.</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segments offer services to its customers as described below:</w:t>
      </w:r>
    </w:p>
    <w:p>
      <w:pPr>
        <w:spacing w:after="0" w:line="252" w:lineRule="exact"/>
        <w:rPr>
          <w:sz w:val="20"/>
          <w:szCs w:val="20"/>
          <w:color w:val="auto"/>
        </w:rPr>
      </w:pPr>
    </w:p>
    <w:p>
      <w:pPr>
        <w:ind w:left="660" w:right="220" w:hanging="328"/>
        <w:spacing w:after="0" w:line="272" w:lineRule="auto"/>
        <w:tabs>
          <w:tab w:leader="none" w:pos="62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provides traditional staffing, recruiting, and value-added total talent solutions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and permanent placement of travel and local nurse and allied professionals, and healthcare leaders within nursing, allied, physician, human resources, and finance, MSP services, education healthcare services, in-home care services, and outsourcing services. In addition, Nurse and Allied Staffing provides executive search services for healthcare professionals, as well as contingent search and recruitment process outsourcing services. Its customers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204" w:lineRule="exact"/>
        <w:rPr>
          <w:rFonts w:ascii="Arial" w:cs="Arial" w:eastAsia="Arial" w:hAnsi="Arial"/>
          <w:sz w:val="17"/>
          <w:szCs w:val="17"/>
          <w:color w:val="auto"/>
        </w:rPr>
      </w:pPr>
    </w:p>
    <w:p>
      <w:pPr>
        <w:ind w:left="660" w:right="320" w:hanging="328"/>
        <w:spacing w:after="0" w:line="311" w:lineRule="auto"/>
        <w:tabs>
          <w:tab w:leader="none" w:pos="62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30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7"/>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60" w:type="dxa"/>
            <w:vAlign w:val="bottom"/>
            <w:gridSpan w:val="5"/>
          </w:tcPr>
          <w:p>
            <w:pPr>
              <w:ind w:left="44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396,595</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612,270</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1,474,273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2,109,293</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131,420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69,098</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442,291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636,098</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1,605,693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2,178,391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285,506</w:t>
            </w:r>
          </w:p>
        </w:tc>
      </w:tr>
      <w:tr>
        <w:trPr>
          <w:trHeight w:val="229"/>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289,328</w:t>
            </w:r>
          </w:p>
        </w:tc>
      </w:tr>
      <w:tr>
        <w:trPr>
          <w:trHeight w:val="256"/>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 overhead</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50,284</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13,876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9,414</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Legal settlement charges</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30"/>
        </w:trPr>
        <w:tc>
          <w:tcPr>
            <w:tcW w:w="42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costs</w:t>
            </w:r>
            <w:r>
              <w:rPr>
                <w:rFonts w:ascii="Arial" w:cs="Arial" w:eastAsia="Arial" w:hAnsi="Arial"/>
                <w:sz w:val="23"/>
                <w:szCs w:val="23"/>
                <w:color w:val="auto"/>
                <w:vertAlign w:val="superscript"/>
              </w:rPr>
              <w:t>(b)</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52,175</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80" w:firstLine="8"/>
        <w:spacing w:after="0" w:line="250"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costs include acquisition and integration-related costs.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September 30, 2023 will not have a material adverse effect on its business, financial condition,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60"/>
        <w:spacing w:after="0" w:line="257" w:lineRule="auto"/>
        <w:rPr>
          <w:sz w:val="20"/>
          <w:szCs w:val="20"/>
          <w:color w:val="auto"/>
        </w:rPr>
      </w:pPr>
      <w:r>
        <w:rPr>
          <w:rFonts w:ascii="Arial" w:cs="Arial" w:eastAsia="Arial" w:hAnsi="Arial"/>
          <w:sz w:val="18"/>
          <w:szCs w:val="18"/>
          <w:color w:val="auto"/>
        </w:rPr>
        <w:t>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income and the liability is reflected in sales tax payable within other current liabilities in its condensed consolidated balance sheets.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and nine months ended September 30, 2023 and 2022, the Company calculated the provision for income taxes by applying an annual effective tax rate to ordinary income for the interim reporting period. The Company’s effective tax rate was 34.3% and 29.3%, including the impact of discrete items, and 36.9% and 31.5%, excluding discrete items, for the three and nine months ended September 30, 2023, respectively. The Company’s effective tax rate was 28.6% and 28.7%, including the impact of discrete items, and 28.6% and 29.3%, excluding discrete items, for the three and nine months ended September 30, 2022, respectively. The effective tax rates for the three and nine months ended September 30, 2023 and 2022 were primarily impacted by federal and state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2022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has entered into an arrangement for digital marketing services provided by a firm that is related to Mr. Kevin C.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nine months ended September 30, 2023 and 2022, the Company incurred an immaterial amount in expenses. The Company had immaterial payable balances at September 30, 2023 and December 31, 2022.</w:t>
      </w:r>
    </w:p>
    <w:p>
      <w:pPr>
        <w:spacing w:after="0" w:line="19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$0.3 million and $0.9 million for the three and nine months ended September 30, 2023, respectively, and $0.7 million and $1.5 million for the three and nine months ended September 30, 2022, respectively. Accounts receivable due from these entities was an immaterial amount at September 30, 2023 and December 31, 2022.</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Following the WSG acquisition on June 8, 2021, the Company continued to rent WSG's headquarters. The Chief Executive Officer and Founder of WSG, who is currently a business unit president with the Company, is an agent of the lessor. The lease for WSG's headquarters was terminated at the end of the first quarter of 2023. Accordingly, the Company paid no rent expense for these premises for the three months ended September 30, 2023 and had no payable balance at September 30, 2023.</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2022 (2022 Form 10-K) (including Part I, Item 1A. "Risk Factors"), our financial statements and the accompanying notes to our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and Mint.</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workforce solutions include managed service programs (MSPs), recruitment process outsourcing (RPO), project management, and other outsourcing and consultative services as described in Item 1. “Business” in our 2022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two reportable segments offer services to its customers as described below:</w:t>
      </w:r>
    </w:p>
    <w:p>
      <w:pPr>
        <w:spacing w:after="0" w:line="252" w:lineRule="exact"/>
        <w:rPr>
          <w:sz w:val="20"/>
          <w:szCs w:val="20"/>
          <w:color w:val="auto"/>
        </w:rPr>
      </w:pPr>
    </w:p>
    <w:p>
      <w:pPr>
        <w:ind w:left="660" w:right="80" w:hanging="328"/>
        <w:spacing w:after="0" w:line="254"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90% of total revenue in the third quarter of 2023. The Nurse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18" w:lineRule="exact"/>
        <w:rPr>
          <w:rFonts w:ascii="Arial" w:cs="Arial" w:eastAsia="Arial" w:hAnsi="Arial"/>
          <w:sz w:val="18"/>
          <w:szCs w:val="18"/>
          <w:color w:val="auto"/>
        </w:rPr>
      </w:pPr>
    </w:p>
    <w:p>
      <w:pPr>
        <w:ind w:left="660" w:right="240" w:hanging="328"/>
        <w:spacing w:after="0" w:line="263"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10% of total revenue in the third quarter of 2023.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quarter ended September 30, 2023, revenue from services decreased 30% year-over-year to $442.3 million, due to expected volume and average bill rate declines in the Nurse and Allied Staffing segment, partially offset by volume increases in the Physician Staffing segment. In the Physician Staffing segment, the number of days filled increased across several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color w:val="auto"/>
        </w:rPr>
        <w:t>specialties. Education and Homecare also experienced year-over-year revenue growth. Net income attributable to common stockholders in the third quarter of 2023 was $12.8 million, as compared to $34.8 million for the same period in the prior year.</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three months ended September 30, 2023, cash flow provided by operating activities was $70.3 million, with net repayments of $31.0 million on our senior secured asset-based credit facility (ABL), and a decrease in working capital stemming from a decrease in net receivables, partially offset by the timing of disbursements. As of September 30, 2023, there were no borrowings drawn under the ABL, with borrowing base availability of $227.4 million and $17.9 million of undrawn letters of credit outstanding, leaving $209.5 million of excess availability. In addition, cash and cash equivalents totaled $14.3 million.</w:t>
      </w:r>
    </w:p>
    <w:p>
      <w:pPr>
        <w:spacing w:after="0" w:line="209"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We remain committed to investing in our technologies and are on schedule with our transition of existing clients to Intellify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 are confident that our proprietary technology initiatives, which distinguish us as a leader in healthcare staffing, will continue to open up new opportunities for us as a </w:t>
      </w:r>
      <w:r>
        <w:rPr>
          <w:rFonts w:ascii="Arial" w:cs="Arial" w:eastAsia="Arial" w:hAnsi="Arial"/>
          <w:sz w:val="18"/>
          <w:szCs w:val="18"/>
          <w:color w:val="212121"/>
        </w:rPr>
        <w:t>tech-enabled workforce solutions and advisory firm</w:t>
      </w:r>
      <w:r>
        <w:rPr>
          <w:rFonts w:ascii="Arial" w:cs="Arial" w:eastAsia="Arial" w:hAnsi="Arial"/>
          <w:sz w:val="18"/>
          <w:szCs w:val="18"/>
          <w:color w:val="000000"/>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line="182" w:lineRule="exact"/>
              <w:rPr>
                <w:sz w:val="20"/>
                <w:szCs w:val="20"/>
                <w:color w:val="auto"/>
              </w:rPr>
            </w:pPr>
            <w:r>
              <w:rPr>
                <w:rFonts w:ascii="Arial" w:cs="Arial" w:eastAsia="Arial" w:hAnsi="Arial"/>
                <w:sz w:val="18"/>
                <w:szCs w:val="18"/>
                <w:color w:val="auto"/>
                <w:w w:val="91"/>
              </w:rPr>
              <w:t>FTEs represent the average number of Nurse and Allied Staffing contract personnel</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Arial" w:cs="Arial" w:eastAsia="Arial" w:hAnsi="Arial"/>
                <w:sz w:val="18"/>
                <w:szCs w:val="18"/>
                <w:color w:val="auto"/>
                <w:w w:val="96"/>
              </w:rPr>
              <w:t>Average revenue per FTE per day is calculated by dividing the Nurse and Allied</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3"/>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rPr>
              <w:t>worked in the respective periods.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Arial" w:cs="Arial" w:eastAsia="Arial" w:hAnsi="Arial"/>
                <w:sz w:val="18"/>
                <w:szCs w:val="18"/>
                <w:color w:val="auto"/>
                <w:w w:val="99"/>
              </w:rPr>
              <w:t>Days filled is calculated by dividing the total hours invoiced during the period,</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Arial" w:cs="Arial" w:eastAsia="Arial" w:hAnsi="Arial"/>
                <w:sz w:val="18"/>
                <w:szCs w:val="18"/>
                <w:color w:val="auto"/>
                <w:w w:val="94"/>
              </w:rPr>
              <w:t>Revenue per day filled is calculated by dividing revenue as reported by days filled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following table summarizes, for the periods indicated, selected condensed consolidated statements of operations and comprehensive income data expressed as a percentage of revenue. Our historical results of operations are not necessarily indicative of future operating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8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6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20" w:type="dxa"/>
            <w:vAlign w:val="bottom"/>
          </w:tcPr>
          <w:p>
            <w:pPr>
              <w:spacing w:after="0"/>
              <w:rPr>
                <w:sz w:val="20"/>
                <w:szCs w:val="20"/>
                <w:color w:val="auto"/>
              </w:rPr>
            </w:pPr>
          </w:p>
        </w:tc>
        <w:tc>
          <w:tcPr>
            <w:tcW w:w="28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6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77.6</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charges</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Results for the Three Months Ended September 30, 2023 and the Three Months Ended September 30,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160" w:type="dxa"/>
            <w:vAlign w:val="bottom"/>
            <w:tcBorders>
              <w:bottom w:val="single" w:sz="8" w:color="auto"/>
            </w:tcBorders>
          </w:tcPr>
          <w:p>
            <w:pPr>
              <w:spacing w:after="0"/>
              <w:rPr>
                <w:sz w:val="20"/>
                <w:szCs w:val="20"/>
                <w:color w:val="auto"/>
              </w:rPr>
            </w:pPr>
          </w:p>
        </w:tc>
      </w:tr>
      <w:tr>
        <w:trPr>
          <w:trHeight w:val="178"/>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440"/>
              <w:spacing w:after="0" w:line="177" w:lineRule="exact"/>
              <w:rPr>
                <w:sz w:val="20"/>
                <w:szCs w:val="20"/>
                <w:color w:val="auto"/>
              </w:rPr>
            </w:pPr>
            <w:r>
              <w:rPr>
                <w:rFonts w:ascii="Arial" w:cs="Arial" w:eastAsia="Arial" w:hAnsi="Arial"/>
                <w:sz w:val="18"/>
                <w:szCs w:val="18"/>
                <w:b w:val="1"/>
                <w:bCs w:val="1"/>
                <w:color w:val="auto"/>
                <w:w w:val="90"/>
              </w:rPr>
              <w:t>Increase</w:t>
            </w:r>
          </w:p>
        </w:tc>
        <w:tc>
          <w:tcPr>
            <w:tcW w:w="1160" w:type="dxa"/>
            <w:vAlign w:val="bottom"/>
          </w:tcPr>
          <w:p>
            <w:pPr>
              <w:jc w:val="center"/>
              <w:ind w:right="110"/>
              <w:spacing w:after="0" w:line="177" w:lineRule="exact"/>
              <w:rPr>
                <w:sz w:val="20"/>
                <w:szCs w:val="20"/>
                <w:color w:val="auto"/>
              </w:rPr>
            </w:pPr>
            <w:r>
              <w:rPr>
                <w:rFonts w:ascii="Arial" w:cs="Arial" w:eastAsia="Arial" w:hAnsi="Arial"/>
                <w:sz w:val="18"/>
                <w:szCs w:val="18"/>
                <w:b w:val="1"/>
                <w:bCs w:val="1"/>
                <w:color w:val="auto"/>
                <w:w w:val="87"/>
              </w:rPr>
              <w:t>Increase</w:t>
            </w:r>
          </w:p>
        </w:tc>
      </w:tr>
      <w:tr>
        <w:trPr>
          <w:trHeight w:val="230"/>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(Decrease)</w:t>
            </w: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w:t>
            </w:r>
          </w:p>
        </w:tc>
      </w:tr>
      <w:tr>
        <w:trPr>
          <w:trHeight w:val="207"/>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center"/>
              <w:ind w:right="400"/>
              <w:spacing w:after="0"/>
              <w:rPr>
                <w:sz w:val="20"/>
                <w:szCs w:val="20"/>
                <w:color w:val="auto"/>
              </w:rPr>
            </w:pPr>
            <w:r>
              <w:rPr>
                <w:rFonts w:ascii="Arial" w:cs="Arial" w:eastAsia="Arial" w:hAnsi="Arial"/>
                <w:sz w:val="16"/>
                <w:szCs w:val="16"/>
                <w:color w:val="auto"/>
                <w:w w:val="92"/>
              </w:rPr>
              <w:t>(Amounts in thousands)</w:t>
            </w:r>
          </w:p>
        </w:tc>
        <w:tc>
          <w:tcPr>
            <w:tcW w:w="1160" w:type="dxa"/>
            <w:vAlign w:val="bottom"/>
          </w:tcPr>
          <w:p>
            <w:pPr>
              <w:spacing w:after="0"/>
              <w:rPr>
                <w:sz w:val="17"/>
                <w:szCs w:val="17"/>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442,291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00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344,932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00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113.9 %</w:t>
            </w:r>
          </w:p>
        </w:tc>
      </w:tr>
      <w:tr>
        <w:trPr>
          <w:trHeight w:val="229"/>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29"/>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596.3 %</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Revenue from services decreased 30.5% to $442.3 million for the three months ended September 30, 2023, as compared to $636.1 million for the three months ended September 30, 2022, due to a volume decline in the Nurse and Allied Staffing segment and travel bill rates that continued to normalize throughout the quarter, partially offset by volume increases in the Physician Staffing segment. See further discussion in Segment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Direct operating expenses were comprised primarily of field employee compensation and independent contractor expenses, housing expenses, travel expenses, and related insurance expenses. Direct operating expenses decreased $147.6 million, or 30.0%, to $344.9 million for the three months ended September 30, 2023, as compared to $492.6 million for the three months ended September 30, 2022, as a result of revenue decreases. As a percentage of total revenue, direct operating expenses increased to 78.0%, as compared to 77.4%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Selling, general and administrative expenses decreased 13.7% to $69.6 million for the three months ended September 30, 2023, as compared to $80.7 million for the three months ended September 30, 2022, primarily due to decreases in compensation and benefit expense, as well as marketing and computer subscription fees, partially offset by increases in legal, insurance, and computer expenses. As a percentage of total revenue, selling, general and administrative expenses increased to 15.7% for the three months ended September 30, 2023, as compared to 12.7% for the three months ended September 30,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Bad debt expense for the three months ended September 30, 2023 was $2.4 million, as compared to $1.1 million for the three months ended September 30, 2022. As a percentage of revenue, bad debt expense was 0.5% for the three months ended September 30, 2023, as compared to 0.2% for the three months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Depreciation and amortization expense for the three months ended September 30, 2023 was $4.5 million, as compared to $3.2 million for the three months ended September 30, 2022. The increase was primarily due to the additional amortization of other intangible assets from the Mint and HireUp acquisitions. See Note 7 - Goodwill, Trade Names, and Other Intangible Assets to</w:t>
      </w:r>
    </w:p>
    <w:p>
      <w:pPr>
        <w:sectPr>
          <w:pgSz w:w="11900" w:h="16838" w:orient="portrait"/>
          <w:cols w:equalWidth="0" w:num="1">
            <w:col w:w="11240"/>
          </w:cols>
          <w:pgMar w:left="320" w:top="90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32" w:name="page33"/>
    <w:bookmarkEnd w:id="32"/>
    <w:p>
      <w:pPr>
        <w:ind w:right="100"/>
        <w:spacing w:after="0" w:line="277" w:lineRule="auto"/>
        <w:rPr>
          <w:sz w:val="20"/>
          <w:szCs w:val="20"/>
          <w:color w:val="auto"/>
        </w:rPr>
      </w:pPr>
      <w:r>
        <w:rPr>
          <w:rFonts w:ascii="Arial" w:cs="Arial" w:eastAsia="Arial" w:hAnsi="Arial"/>
          <w:sz w:val="18"/>
          <w:szCs w:val="18"/>
          <w:color w:val="auto"/>
        </w:rPr>
        <w:t>our condensed consolidated financial statements. As a percentage of revenue, depreciation and amortization expense was 1.0% for the three months ended September 30, 2023 and 0.5% for the three months ended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Restructuring costs for the three months ended September 30, 2023 were primarily comprised of employee termination costs and ongoing lease exit costs. For the three months ended September 30, 2022, restructuring costs of $2.5 million were comprised of ongoing lease costs related to the Company's strategic reduction of its real estate footprint as well as employee termination costs. See Note 2 - Summary of Significant Accounting Policies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Non-cash impairment charges totaled $0.2 million for the three months ended September 30, 2023 and related to real estate restructuring activities. Non-cash impairment charges totaled $3.9 million for the three months ended September 30, 2022 and related to real estate restructuring activities and the write-off of an IT project. See Note 7 - Goodwill, Trade Names, and Other Intangible Assets and Note 9 - Leases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was $0.7 million for the three months ended September 30, 2023, as compared to $3.5 million for the three months ended September 30, 2022, due to lower average borrowings, partially offset by a higher effective interest rate. The effective interest rate on borrowings was 18.3% and 8.2% for the three months ended September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Income tax expense totaled $6.7 million for the three months ended September 30, 2023, as compared to $13.9 million for the three months ended September 30, 2022. The decrease in income tax expense was primarily related to a decrease in book income. The effective tax rates for the three months ended September 30, 2023 and 2022 were primarily impacted by federal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Comparison of Results for the Nine Months Ended September 30, 2023 and the Nine Months Ended September 30, 2022</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8"/>
                <w:szCs w:val="18"/>
                <w:b w:val="1"/>
                <w:bCs w:val="1"/>
                <w:color w:val="auto"/>
                <w:w w:val="90"/>
              </w:rPr>
              <w:t>Nine Months Ended September 30,</w:t>
            </w:r>
          </w:p>
        </w:tc>
        <w:tc>
          <w:tcPr>
            <w:tcW w:w="118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420"/>
              <w:spacing w:after="0" w:line="169" w:lineRule="exact"/>
              <w:rPr>
                <w:sz w:val="20"/>
                <w:szCs w:val="20"/>
                <w:color w:val="auto"/>
              </w:rPr>
            </w:pPr>
            <w:r>
              <w:rPr>
                <w:rFonts w:ascii="Arial" w:cs="Arial" w:eastAsia="Arial" w:hAnsi="Arial"/>
                <w:sz w:val="18"/>
                <w:szCs w:val="18"/>
                <w:b w:val="1"/>
                <w:bCs w:val="1"/>
                <w:color w:val="auto"/>
                <w:w w:val="90"/>
              </w:rPr>
              <w:t>Increase</w:t>
            </w:r>
          </w:p>
        </w:tc>
        <w:tc>
          <w:tcPr>
            <w:tcW w:w="118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7"/>
              </w:rPr>
              <w:t>Increase</w:t>
            </w:r>
          </w:p>
        </w:tc>
      </w:tr>
      <w:tr>
        <w:trPr>
          <w:trHeight w:val="234"/>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(Decrease)</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6"/>
          </w:tcPr>
          <w:p>
            <w:pPr>
              <w:jc w:val="center"/>
              <w:ind w:right="400"/>
              <w:spacing w:after="0"/>
              <w:rPr>
                <w:sz w:val="20"/>
                <w:szCs w:val="20"/>
                <w:color w:val="auto"/>
              </w:rPr>
            </w:pPr>
            <w:r>
              <w:rPr>
                <w:rFonts w:ascii="Arial" w:cs="Arial" w:eastAsia="Arial" w:hAnsi="Arial"/>
                <w:sz w:val="16"/>
                <w:szCs w:val="16"/>
                <w:color w:val="auto"/>
                <w:w w:val="92"/>
              </w:rPr>
              <w:t>(Amounts in thousands)</w:t>
            </w:r>
          </w:p>
        </w:tc>
        <w:tc>
          <w:tcPr>
            <w:tcW w:w="1180" w:type="dxa"/>
            <w:vAlign w:val="bottom"/>
          </w:tcPr>
          <w:p>
            <w:pPr>
              <w:spacing w:after="0"/>
              <w:rPr>
                <w:sz w:val="17"/>
                <w:szCs w:val="17"/>
                <w:color w:val="auto"/>
              </w:rPr>
            </w:pPr>
          </w:p>
        </w:tc>
      </w:tr>
      <w:tr>
        <w:trPr>
          <w:trHeight w:val="23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1,605,693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2,178,391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1,245,772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1,689,647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charges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111.9 %</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Revenue from services decreased 26.3% to $1.6 billion for the nine months ended September 30, 2023, as compared to $2.2 billion for the nine months ended September 30, 2022, primarily driven by a decline in the number of professionals on assignment in the Nurse and Allied Staffing segment as clients continue to right-size their needs, and travel bill rates that continued to normalize throughout the year, partially offset by an increase in volume in most specialties and an improved mix of higher bill rate specialties in the Physician Staffing segment. See further discussion in Segment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Direct operating expenses decreased $443.9 million, or 26.3%, to $1.2 billion for the nine months ended September 30, 2023, as compared to $1.7 billion for the nine months ended September 30, 2022, as a result of revenue decreases. As a percentage of total revenue, direct operating expenses were 77.6%, consistent with the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Selling, general and administrative expenses decreased 4.4% to $232.8 million for the nine months ended September 30, 2023, as compared to $243.6 million for the nine months ended September 30, 2022. As a percentage of total revenue, selling, general and administrative expenses increased to 14.5% for the nine months ended September 30, 2023, as compared to 11.2% for the nine months ended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Bad debt expense for the nine months ended September 30, 2023 was $10.4 million, as compared to $6.7 million for the nine months ended September 30, 2022. As a percentage of revenue, bad debt expense was 0.6% for the nine months ended September 30, 2023, as compared to 0.3%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Depreciation and amortization expense for the nine months ended September 30, 2023 was $13.9 million, as compared to $9.4 million for the nine months ended September 30, 2022. The increase was primarily due to the additional amortization of other intangible assets from the Mint and HireUp acquisitions. See Note 7 - Goodwill, Trade Names, and Other Intangible Assets to our condensed consolidated financial statements. As a percentage of revenue, depreciation and amortization expense was 0.9% for the nine months ended September 30, 2023 and 0.4% for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Restructuring costs of $1.7 million and $1.9 million for the nine months ended September 30, 2023 and 2022, respectively, were primarily comprised of employee termination costs and ongoing lease costs related to the Company's strategic reduction of its real estate footprint. See Note 2 - Summary of Significant Accounting Policies to our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Legal settlement charges totaled $1.1 million for the nine months ended September 30, 2023 and related to the settlement of a wage and hour class action lawsuit and associated legal fees. There were no such charges for the nine months ended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Non-cash impairment charges totaled $0.7 million for the nine months ended September 30, 2023 and related to the write-off of an IT project and real estate restructuring activities. Non-cash impairment charges totaled $5.6 million for the nine months ended September 30, 2022 and related to real estate restructuring activities and the write-off of an IT project. See Note 7 - Goodwill, Trade Names, and Other Intangible Assets and Note 9 - Leases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was $7.5 million for the nine months ended September 30, 2023, as compared to $10.9 million for the nine months ended September 30, 2022, due to lower average borrowings, partially offset by a higher effective interest rate. The effective interest rate on borrowings was 10.1% and 8.8% for the nine months ended September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Loss on early extinguishment of debt for the nine months ended September 30, 2023 consisted of the write-off of debt issuance costs related to the repayment and termination of the term loan in the second quarter of 2023. Loss on early extinguishment of debt for the nine months ended September 30, 2022 consisted of a prepayment premium and the write-off of debt issuance costs related to the optional prepayment on the term loan made in the second quarter of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nine months ended September 30, 2022, other income, net included a $1.1 million gain on lease termination as a result of the early termination of one of our corporate offices.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Income tax expense totaled $26.3 million for the nine months ended September 30, 2023, as compared to $60.3 million for the nine months ended September 30, 2022. The decrease in income tax expense was primarily related to a decrease in book income. The effective tax rates for the nine months ended September 30, 2023 and 2022 were primarily impacted by federal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9700" w:type="dxa"/>
            <w:vAlign w:val="bottom"/>
            <w:gridSpan w:val="11"/>
          </w:tcPr>
          <w:p>
            <w:pPr>
              <w:spacing w:after="0"/>
              <w:rPr>
                <w:sz w:val="20"/>
                <w:szCs w:val="20"/>
                <w:color w:val="auto"/>
              </w:rPr>
            </w:pPr>
            <w:r>
              <w:rPr>
                <w:rFonts w:ascii="Arial" w:cs="Arial" w:eastAsia="Arial" w:hAnsi="Arial"/>
                <w:sz w:val="18"/>
                <w:szCs w:val="18"/>
                <w:color w:val="auto"/>
                <w:w w:val="99"/>
              </w:rPr>
              <w:t>Information on operating segments and a reconciliation to income from operations for the periods indicated are as follows: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1"/>
                <w:szCs w:val="21"/>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396,595</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612,270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1,474,273</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2,109,293</w:t>
            </w: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131,420</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69,098</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442,291</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636,098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1,605,693</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2,178,391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285,506</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289,328</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50,284</w:t>
            </w: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13,876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9,414</w:t>
            </w: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Legal settlement charges</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costs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99,289</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 12 - Segment Data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Nurse and Allied Staffing statistical data: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9,849</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12,524</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(2,675)</w:t>
            </w: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(21.4)%</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9,785</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74.0 %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Nurse and Allied Staffing statistical data: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11,251</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13,157</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(1,906)</w:t>
            </w:r>
          </w:p>
        </w:tc>
        <w:tc>
          <w:tcPr>
            <w:tcW w:w="2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68,927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38,703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30,224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78.1 %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bl>
    <w:p>
      <w:pPr>
        <w:spacing w:after="0" w:line="200" w:lineRule="exact"/>
        <w:rPr>
          <w:sz w:val="20"/>
          <w:szCs w:val="20"/>
          <w:color w:val="auto"/>
        </w:rPr>
      </w:pP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See definition of Business Measurements under the Operating Metrics section of the MD&amp;A.</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2023 and Three Months Ended September 30, 2022</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Revenue decreased $215.7 million, or 35.2%, to $396.6 million for the three months ended September 30, 2023, as compared to $612.3 million for the three months ended September 30, 2022, primarily driven by a decline in the number of professionals on assignment as clients continue to right-size their needs and travel bill rates that continued to normalize throughout the quarter.</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Contribution income decreased $38.6 million, or 49.6%, to $39.2 million for the three months ended September 30, 2023, as compared to $77.8 million for the three months ended September 30, 2022. As a percentage of segment revenue, contribution income margin was 9.9% for the three months ended September 30, 2023, as compared to 12.7% for the three months ended September 30,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average number of FTEs on contract during the three months ended September 30, 2023 decreased 21.4% from the three months ended September 30, 2022, primarily due to headcount decline in travel nurse and local, and delayed seasonal needs. The average revenue per FTE per day decreased 17.5%, due to the expected normalization of bill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Revenue increased $21.9 million, or 91.8%, to $45.7 million for the three months ended September 30, 2023, as compared to $23.8 million for the three months ended September 30, 2022, primarily due to an increase in volume and an improved mix of higher bill rate specialties.</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Contribution income was $2.6 million for the three months ended September 30, 2023, as compared to $0.8 million for the three months ended September 30, 2022. As a percentage of segment revenue, contribution income was 5.6% for the three months ended September 30, 2023, as compared to 3.5% for the three months ended September 30, 2022.</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days filled for the three months ended September 30, 2023 was 23,004, as compared with 13,219 in the prior year. Revenue per day filled was $1,986 as compared with $1,803 in the prior year, due to the improved mix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was $16.4 million for the three months ended September 30, 2023 and 2022, with increases in consulting, legal, and computer expenses, offset by decreases in compensation and benefit expense. As a percentage of consolidated revenue, corporate overhead was 3.7% for the three months ended September 30, 2023 and 2.6% for the three months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2023 and Nine Months Ended September 30, 2022</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Revenue decreased $0.6 billion, or 30.1%, to $1.5 billion for the nine months ended September 30, 2023, as compared to $2.1 billion for the nine months ended September 30, 2022, primarily driven by a decline in the number of professionals on assignment as clients continue to right-size their needs and travel bill rates that continued to normalize throughout the year.</w:t>
      </w:r>
    </w:p>
    <w:p>
      <w:pPr>
        <w:spacing w:after="0" w:line="19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Contribution income decreased $122.6 million, or 43.0%, to $162.9 million for the nine months ended September 30, 2023, as compared to $285.5 million for the nine months ended September 30, 2022, driven by decreased revenue and higher direct costs. As a percentage of segment revenue, contribution income margin was 11.0% for the nine months ended September 30, 2023, as compared to 13.5% for the nine months ended September 30, 2022.</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average number of FTEs on contract during the nine months ended September 30, 2023 decreased 14.5% from the nine months ended September 30, 2022, primarily due to headcount decline in travel nurse and local. The average revenue per FTE per day decreased 18.2%, due to the decrease in the average bill rates.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Revenue increased $62.3 million, or 90.2%, to $131.4 million for the nine months ended September 30, 2023, as compared to $69.1 million for the nine months ended September 30, 2022, primarily due to an increase in volume in most specialties and an improved mix of higher bill rate specialties.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Contribution income was $7.8 million for the nine months ended September 30, 2023, as compared to $3.8 million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driven by higher revenue. As a percentage of segment revenue, contribution income was 6.0%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as compared to 5.5% for the nine months ended September 30, 2022.</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days filled for the nine months ended September 30, 2023 was 68,927, as compared with 38,703 in the prior year. Revenue per day filled was $1,907 as compared with $1,785 in the prior year due to the improved mix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Corporate overhead increased to $54.0 million for the nine months ended September 30, 2023, from $50.3 million for the nine months ended September 30, 2022, primarily due to increases in consulting, legal, and computer expense, partially offset by decreases in compensation and benefit expense. As a percentage of consolidated revenue, corporate overhead was 3.4% for the nine months ended September 30, 2023 and 2.3% for the nine months ended September 30,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June 30, 2023, we repaid all $73.9 million in outstanding obligations under the term loan, and terminated the debt agreement. At September 30, 2023, we reported $14.3 million in cash and cash equivalents, with no borrowings drawn under the ABL. Working capital decreased by $142.3 million to $261.7 million as of September 30, 2023, as compared to $404.0 million as of December 31, 2022, primarily due to a decrease in net receivables, partially offset by the timing of disbursements. As of September 30, 2023, our days' sales outstanding, net of amounts owed to subcontractors, was 67 days, flat year-over-year and up 4 days sequentially. As of September 30, 2023, we did not have any off-balance sheet arrangements.</w:t>
      </w:r>
    </w:p>
    <w:p>
      <w:pPr>
        <w:spacing w:after="0" w:line="2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needs from a combination of cash on hand, operating cash flows, and funds available through the ABL. See debt discussion which follows.</w:t>
      </w:r>
    </w:p>
    <w:p>
      <w:pPr>
        <w:spacing w:after="0" w:line="21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third quarter of 2022, the Board of Directors authorized the New Repurchase Program, whereby we may repurchase up to $100.0 million shares of common stock, and during the fourth quarter of 2022, we entered into a Rule 10b5-1 Repurchase Plan to allow for share repurchases during blackout periods, effective through November 2, 2023. In the second quarter of 2023, the Board of Directors authorized the replenishment of the amount available for stock repurchases under the New Repurchase Program back to $100 million, effective for trades made after May 3, 2023. In the third quarter of 2023, we entered into a new Rule 10b5-1 Repurchase Plan to allow for share repurchases during the Company's blackout periods, beginning on January 2, 2024. During the nine months ended September 30, 2023, the Company repurchased and retired a total of 2,038,691 shares of common stock for $51.2 million, at an average price of $25.12 per share. During the nine months ended September 30, 2022, we repurchased and retired a total of 1,014,815 shares of common stock for $24.3 million, at an average price of $23.97 per share. As of September 30, 2023, we had $83.7 million remaining for share repurchase under the New Repurchase Program, subject to certain conditions in our Loan Agreement.</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operating activities increased $106.7 million to $236.4 million for the nine months ended September 30, 2023, as compared to $129.7 million for the nine months ended September 30, 2022.</w:t>
      </w:r>
    </w:p>
    <w:p>
      <w:pPr>
        <w:spacing w:after="0" w:line="1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Net cash used in investing activities was $10.9 million for the nine months ended September 30, 2023, as compared to $6.8 million for the nine months ended September 30, 2022. Net cash used in the nine months ended September 30, 2023 was for capital expenditures and an immaterial amount related to the local business acquisition and the sale of fixed assets. Net cash used in the nine months ended September 30, 2022 was for capital expenditures, primarily related to multiple IT projects.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cash used in financing activities during the nine months ended September 30, 2023 was $214.8 million, as compared to $93.7 million used in financing activities during the nine months ended September 30, 2022. During the nine months ended September 30, 2023, we reported net repayments of $150.7 million on debt, and used cash to pay $4.9 million for income taxes on share-based compensation, $51.2 million for share repurchases, $7.5 million for contingent consideration, and an immaterial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180"/>
        <w:spacing w:after="0" w:line="286" w:lineRule="auto"/>
        <w:rPr>
          <w:sz w:val="20"/>
          <w:szCs w:val="20"/>
          <w:color w:val="auto"/>
        </w:rPr>
      </w:pPr>
      <w:r>
        <w:rPr>
          <w:rFonts w:ascii="Arial" w:cs="Arial" w:eastAsia="Arial" w:hAnsi="Arial"/>
          <w:sz w:val="17"/>
          <w:szCs w:val="17"/>
          <w:color w:val="auto"/>
        </w:rPr>
        <w:t>amount for other financing activities. During the nine months ended September 30, 2022, we used cash to repay borrowings of $50.4 million on the term loan, $2.4 million on a note payable, $5.3 million for income taxes on share-based compensation, $3.2 million in debt issuance costs, $24.3 million for share repurchases, $7.5 million for contingent consideration, and an immaterial amount for other financing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Credit Agreement</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On June 8, 2021, we entered into a Term Loan Agreement, which provided for a six-year second lien subordinated term loan in the amount of</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2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more fully described in Note 8 - Debt to our condensed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condensed consolidated statements of operations and comprehensive income. All subsidiary guarantees of the term loan were automatically released upon the termination of the Term Loan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Asset-Based Loan Agreement</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Effective October 25, 2019, the prior senior credit facility entered into in August 2017 was replaced by a $120.0 million asset-based loan agreement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SOFR or Base Rate, at the election of the borrowers, plus an applicable margin. On September 29, 2023, we amended the Loan Agreement (Sixth Amendment), which changed the minimum fixed charge coverage ratio from a maintenance covenant to a springing covenant based on excess availability.</w:t>
      </w:r>
    </w:p>
    <w:p>
      <w:pPr>
        <w:spacing w:after="0" w:line="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September 30, 2023,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our excess availability under the revolving credit facility. In addition, the facility is subject to an unused line fee, letter of credit fees, and an administrative fee. Borrowing base availability under the ABL was $227.4 million at September 30, 2023, with no borrowings drawn, and $17.9 million of letters of credit outstanding, leaving $209.5 million of excess availability.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remain consistent with those reported in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exposed to variable interest rate risk associated with our Loan Agreement entered into on October 25, 2019. This agreement charges interest at a rate based on either SOFR, LIBOR, or Base Rate (as defined in the agreement) plus an applicable margin. Our Term Loan Agreement, entered into on June 8, 2021, was repaid and terminated on June 30, 2023.</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1% change in interest rates would have resulted in interest expense fluctuating approximately $0.6 million and $1.2 million for the nine months ended September 30, 2023 and 2022, respectively. See Note 8 - Debt to our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other exposures as disclosed in our 2022 Form 10-K.</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0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Information with respect to certain legal proceedings is included in Part I, Item 1, Note 13 - Contingencies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this Quarterly Report on Form 10-Q,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our Risk Factors as previously disclosed in our 2022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third fiscal quarter ended September 30, 2023. See Note 11 - Stockholders' Equity contained in “Notes to Condensed Consolidated Financial Statements” in Part I, Item 1 of this Quarterly Report on Form 10-Q for additional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Total Number of</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Approximate Dollar</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4"/>
              </w:rPr>
              <w:t>Shares Purchased as</w:t>
            </w: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color w:val="auto"/>
              </w:rPr>
              <w:t>Average Price</w:t>
            </w: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Part of Publicly</w:t>
            </w: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May Yet Be Purchased</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Announced Plans or</w:t>
            </w: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Under the Plans or</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Period</w:t>
            </w:r>
          </w:p>
        </w:tc>
        <w:tc>
          <w:tcPr>
            <w:tcW w:w="16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Paid per Share</w:t>
            </w:r>
          </w:p>
        </w:tc>
        <w:tc>
          <w:tcPr>
            <w:tcW w:w="1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Programs (a)</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 (b)</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620"/>
              <w:spacing w:after="0"/>
              <w:rPr>
                <w:sz w:val="20"/>
                <w:szCs w:val="20"/>
                <w:color w:val="auto"/>
              </w:rPr>
            </w:pPr>
            <w:r>
              <w:rPr>
                <w:rFonts w:ascii="Arial" w:cs="Arial" w:eastAsia="Arial" w:hAnsi="Arial"/>
                <w:sz w:val="18"/>
                <w:szCs w:val="18"/>
                <w:color w:val="auto"/>
                <w:w w:val="97"/>
              </w:rPr>
              <w:t>(dollar value in thousands, except per share data)</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July 1 through July 31</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113,802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$95,329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 through August 31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443,822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443,822</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September 1 through September 30</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59,200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59,200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$83,654</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w:t>
      </w:r>
    </w:p>
    <w:p>
      <w:pPr>
        <w:spacing w:after="0" w:line="23" w:lineRule="exact"/>
        <w:rPr>
          <w:sz w:val="20"/>
          <w:szCs w:val="20"/>
          <w:color w:val="auto"/>
        </w:rPr>
      </w:pPr>
    </w:p>
    <w:p>
      <w:pPr>
        <w:ind w:right="20" w:firstLine="8"/>
        <w:spacing w:after="0" w:line="250"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were repurchased under a $100 million stock repurchase program, authorized by the Board of Directors on August 16, 2022. The program has no expiration date but may be terminated by the Board of Directors at any time. No shares were purchased other than through publicly announced programs during the periods shown.</w:t>
      </w:r>
    </w:p>
    <w:p>
      <w:pPr>
        <w:spacing w:after="0" w:line="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May 1, 2023, the Board of Directors authorized approximately $59.0 million in additional share repurchases, such that, effective for trades made after May 3, 2023, the aggregate amount available for stock repurchases under the New Repurchase Program was $100.0 million. Amounts shown in this column reflect amounts remaining under the New Repurchase Program referenced in Note 11 - Stockholders' Equity above.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Trading Plans</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Certain directors and officers (as defined in Rule 16a-1(f) under the Securities Exchange Act of 1934, as amended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September 30, 2023, the following trading plan intended to satisfy the affirmative defense conditions of Rule 10b5-1(c) was terminated: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Rule 10b5-1</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Aggregate Number of</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Trading</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Title</w:t>
            </w:r>
          </w:p>
        </w:tc>
        <w:tc>
          <w:tcPr>
            <w:tcW w:w="14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89"/>
              </w:rPr>
              <w:t>Action</w:t>
            </w:r>
          </w:p>
        </w:tc>
        <w:tc>
          <w:tcPr>
            <w:tcW w:w="15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Applicable</w:t>
            </w:r>
          </w:p>
        </w:tc>
        <w:tc>
          <w:tcPr>
            <w:tcW w:w="19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Duration of Trading</w:t>
            </w: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Arrangement</w:t>
            </w:r>
          </w:p>
        </w:tc>
        <w:tc>
          <w:tcPr>
            <w:tcW w:w="20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Securities Subject to</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6"/>
              </w:rPr>
              <w:t>Date</w:t>
            </w:r>
            <w:r>
              <w:rPr>
                <w:rFonts w:ascii="Arial" w:cs="Arial" w:eastAsia="Arial" w:hAnsi="Arial"/>
                <w:sz w:val="23"/>
                <w:szCs w:val="23"/>
                <w:b w:val="1"/>
                <w:bCs w:val="1"/>
                <w:color w:val="auto"/>
                <w:w w:val="86"/>
                <w:vertAlign w:val="superscript"/>
              </w:rPr>
              <w:t>(1)</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Arrangements</w:t>
            </w:r>
          </w:p>
        </w:tc>
        <w:tc>
          <w:tcPr>
            <w:tcW w:w="14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2"/>
              </w:rPr>
              <w:t>(Y/N)</w:t>
            </w:r>
            <w:r>
              <w:rPr>
                <w:rFonts w:ascii="Arial" w:cs="Arial" w:eastAsia="Arial" w:hAnsi="Arial"/>
                <w:sz w:val="23"/>
                <w:szCs w:val="23"/>
                <w:b w:val="1"/>
                <w:bCs w:val="1"/>
                <w:color w:val="auto"/>
                <w:w w:val="92"/>
                <w:vertAlign w:val="superscript"/>
              </w:rPr>
              <w:t>(2)</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Trading Arrangement</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Susan E. Ball</w:t>
            </w:r>
          </w:p>
        </w:tc>
        <w:tc>
          <w:tcPr>
            <w:tcW w:w="1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Executive Vice President, Chief</w:t>
            </w:r>
          </w:p>
        </w:tc>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November 4, 2022 -</w:t>
            </w:r>
          </w:p>
        </w:tc>
        <w:tc>
          <w:tcPr>
            <w:tcW w:w="1460" w:type="dxa"/>
            <w:vAlign w:val="bottom"/>
            <w:shd w:val="clear" w:color="auto" w:fill="CCEEFF"/>
          </w:tcPr>
          <w:p>
            <w:pPr>
              <w:spacing w:after="0"/>
              <w:rPr>
                <w:sz w:val="16"/>
                <w:szCs w:val="16"/>
                <w:color w:val="auto"/>
              </w:rPr>
            </w:pPr>
          </w:p>
        </w:tc>
        <w:tc>
          <w:tcPr>
            <w:tcW w:w="2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Potential sale of 50,625</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Administrative Officer, General</w:t>
            </w:r>
          </w:p>
        </w:tc>
        <w:tc>
          <w:tcPr>
            <w:tcW w:w="1400" w:type="dxa"/>
            <w:vAlign w:val="bottom"/>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90"/>
              </w:rPr>
              <w:t>Terminated</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August 18, 2023</w:t>
            </w:r>
          </w:p>
        </w:tc>
        <w:tc>
          <w:tcPr>
            <w:tcW w:w="1960" w:type="dxa"/>
            <w:vAlign w:val="bottom"/>
            <w:vMerge w:val="continue"/>
            <w:shd w:val="clear" w:color="auto" w:fill="CCEEFF"/>
          </w:tcPr>
          <w:p>
            <w:pPr>
              <w:spacing w:after="0"/>
              <w:rPr>
                <w:sz w:val="15"/>
                <w:szCs w:val="15"/>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Y</w:t>
            </w:r>
          </w:p>
        </w:tc>
        <w:tc>
          <w:tcPr>
            <w:tcW w:w="2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Counsel and Secretary</w:t>
            </w:r>
          </w:p>
        </w:tc>
        <w:tc>
          <w:tcPr>
            <w:tcW w:w="140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18, 2023</w:t>
            </w:r>
          </w:p>
        </w:tc>
        <w:tc>
          <w:tcPr>
            <w:tcW w:w="1460" w:type="dxa"/>
            <w:vAlign w:val="bottom"/>
            <w:vMerge w:val="continue"/>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shares of common stock</w:t>
            </w:r>
          </w:p>
        </w:tc>
        <w:tc>
          <w:tcPr>
            <w:tcW w:w="0" w:type="dxa"/>
            <w:vAlign w:val="bottom"/>
          </w:tcPr>
          <w:p>
            <w:pPr>
              <w:spacing w:after="0"/>
              <w:rPr>
                <w:sz w:val="1"/>
                <w:szCs w:val="1"/>
                <w:color w:val="auto"/>
              </w:rPr>
            </w:pPr>
          </w:p>
        </w:tc>
      </w:tr>
      <w:tr>
        <w:trPr>
          <w:trHeight w:val="287"/>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________________</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24"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Indicates the date that the trading arrangement was terminated.</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Denotes whether the contract, instruction, or written plan is intended to satisfy the affirmative defense of Rule 10b5-1(c).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20" w:type="dxa"/>
            <w:vAlign w:val="bottom"/>
            <w:tcBorders>
              <w:top w:val="single" w:sz="8" w:color="auto"/>
              <w:bottom w:val="single" w:sz="8" w:color="0000FF"/>
            </w:tcBorders>
            <w:gridSpan w:val="7"/>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Amendment No. 6 to ABL Credit Agreement, dated as of September 29, 2023, by and among Cross Country Healthcare, Inc. and</w:t>
              </w:r>
            </w:hyperlink>
          </w:p>
        </w:tc>
        <w:tc>
          <w:tcPr>
            <w:tcW w:w="320" w:type="dxa"/>
            <w:vAlign w:val="bottom"/>
            <w:tcBorders>
              <w:top w:val="single" w:sz="8" w:color="auto"/>
            </w:tcBorders>
            <w:gridSpan w:val="5"/>
          </w:tcPr>
          <w:p>
            <w:pPr>
              <w:spacing w:after="0"/>
              <w:rPr>
                <w:sz w:val="24"/>
                <w:szCs w:val="24"/>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12"/>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certain of its domestic subsidiaries as borrowers or guarantors, and Wells Fargo Bank National Association, as administrative agent,</w:t>
              </w:r>
            </w:hyperlink>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11"/>
          </w:tcPr>
          <w:p>
            <w:pPr>
              <w:spacing w:after="0" w:line="169"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collateral agent, and lender (Previously filed as an exhibit to the Company's Form 8-K dated October 2, 2023 and incorporated by</w:t>
              </w:r>
            </w:hyperlink>
          </w:p>
        </w:tc>
        <w:tc>
          <w:tcPr>
            <w:tcW w:w="140" w:type="dxa"/>
            <w:vAlign w:val="bottom"/>
          </w:tcPr>
          <w:p>
            <w:pPr>
              <w:spacing w:after="0"/>
              <w:rPr>
                <w:sz w:val="14"/>
                <w:szCs w:val="14"/>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reference herein.)</w:t>
              </w:r>
            </w:hyperlink>
          </w:p>
        </w:tc>
        <w:tc>
          <w:tcPr>
            <w:tcW w:w="806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0000FF"/>
                <w:w w:val="98"/>
              </w:rPr>
              <w:t>Certification pursuant to Rule 13a-14(a) and Rule 15d-14(a) by John A. Martins, President, Chief Executive Officer, Director</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3"/>
              </w:rPr>
              <w:t>(Principal Executive Officer)</w:t>
            </w:r>
          </w:p>
        </w:tc>
        <w:tc>
          <w:tcPr>
            <w:tcW w:w="6920" w:type="dxa"/>
            <w:vAlign w:val="bottom"/>
            <w:tcBorders>
              <w:top w:val="single" w:sz="8" w:color="0000FF"/>
            </w:tcBorders>
            <w:gridSpan w:val="2"/>
          </w:tcPr>
          <w:p>
            <w:pPr>
              <w:spacing w:after="0"/>
              <w:rPr>
                <w:sz w:val="13"/>
                <w:szCs w:val="13"/>
                <w:color w:val="auto"/>
              </w:rPr>
            </w:pPr>
          </w:p>
        </w:tc>
        <w:tc>
          <w:tcPr>
            <w:tcW w:w="4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0000FF"/>
                <w:w w:val="93"/>
              </w:rPr>
              <w:t>Certification pursuant to Rule 13a-14(a) and Rule 15d-14(a) by William J. Burns, Executive Vice President, Chief Financial Officer</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4"/>
              </w:rPr>
              <w:t>(Principal Financial Officer)</w:t>
            </w:r>
          </w:p>
        </w:tc>
        <w:tc>
          <w:tcPr>
            <w:tcW w:w="7420" w:type="dxa"/>
            <w:vAlign w:val="bottom"/>
            <w:tcBorders>
              <w:top w:val="single" w:sz="8" w:color="0000FF"/>
            </w:tcBorders>
            <w:gridSpan w:val="7"/>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0000FF"/>
                <w:w w:val="99"/>
              </w:rPr>
              <w:t>Certification pursuant to 18 U.S.C. Section 1350 by John A. Martins, President, Chief Executive Officer, Director (Principal</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Executive Officer)</w:t>
            </w:r>
          </w:p>
        </w:tc>
        <w:tc>
          <w:tcPr>
            <w:tcW w:w="46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0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0000FF"/>
                <w:w w:val="94"/>
              </w:rPr>
              <w:t>Certification pursuant to 18 U.S.C. Section 1350 by William J. Burns, Executive Vice President, Chief Financial Officer (Principal</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5"/>
              </w:rPr>
              <w:t>Financial Officer)</w:t>
            </w:r>
          </w:p>
        </w:tc>
        <w:tc>
          <w:tcPr>
            <w:tcW w:w="8080" w:type="dxa"/>
            <w:vAlign w:val="bottom"/>
            <w:tcBorders>
              <w:top w:val="single" w:sz="8" w:color="0000FF"/>
            </w:tcBorders>
            <w:gridSpan w:val="7"/>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53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4"/>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3" w:name="page44"/>
    <w:bookmarkEnd w:id="4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ind w:left="6200"/>
        <w:spacing w:after="0" w:line="219" w:lineRule="auto"/>
        <w:rPr>
          <w:sz w:val="20"/>
          <w:szCs w:val="20"/>
          <w:color w:val="auto"/>
        </w:rPr>
      </w:pPr>
      <w:r>
        <w:rPr>
          <w:rFonts w:ascii="Arial" w:cs="Arial" w:eastAsia="Arial" w:hAnsi="Arial"/>
          <w:sz w:val="18"/>
          <w:szCs w:val="18"/>
          <w:color w:val="auto"/>
        </w:rPr>
        <w:t>Executive Vice President &amp; Chief Financial Officer</w:t>
      </w:r>
    </w:p>
    <w:p>
      <w:pPr>
        <w:ind w:left="6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320" w:top="891" w:right="5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A. Martins,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6"/>
          <w:szCs w:val="16"/>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John A. Martins</w:t>
      </w:r>
    </w:p>
    <w:p>
      <w:pPr>
        <w:ind w:left="3000"/>
        <w:spacing w:after="0" w:line="219" w:lineRule="auto"/>
        <w:rPr>
          <w:sz w:val="20"/>
          <w:szCs w:val="20"/>
          <w:color w:val="auto"/>
        </w:rPr>
      </w:pPr>
      <w:r>
        <w:rPr>
          <w:rFonts w:ascii="Arial" w:cs="Arial" w:eastAsia="Arial" w:hAnsi="Arial"/>
          <w:sz w:val="18"/>
          <w:szCs w:val="18"/>
          <w:color w:val="auto"/>
        </w:rPr>
        <w:t>President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September 30, 2023, (the "Periodic Report"), I, John A. Martins, President and Chief Executive Officer of the Company, hereby certify pursuant to 18 U.S.C. Section 1350, as adopted pursuant to Section 906 of the Sarbanes-Oxley Act of 2002, that to my knowledge:</w:t>
      </w:r>
    </w:p>
    <w:p>
      <w:pPr>
        <w:spacing w:after="0" w:line="192"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Periodic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6"/>
          <w:szCs w:val="16"/>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John A. Martins</w:t>
      </w:r>
    </w:p>
    <w:p>
      <w:pPr>
        <w:ind w:left="3040"/>
        <w:spacing w:after="0" w:line="219" w:lineRule="auto"/>
        <w:rPr>
          <w:sz w:val="20"/>
          <w:szCs w:val="20"/>
          <w:color w:val="auto"/>
        </w:rPr>
      </w:pPr>
      <w:r>
        <w:rPr>
          <w:rFonts w:ascii="Arial" w:cs="Arial" w:eastAsia="Arial" w:hAnsi="Arial"/>
          <w:sz w:val="18"/>
          <w:szCs w:val="18"/>
          <w:color w:val="auto"/>
        </w:rPr>
        <w:t>President &amp;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September 30, 2023,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192"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Periodic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Financial Officer)</w:t>
      </w:r>
    </w:p>
    <w:p>
      <w:pPr>
        <w:spacing w:after="0" w:line="34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lowerRoman"/>
      <w:start w:val="3"/>
    </w:lvl>
  </w:abstractNum>
  <w:abstractNum w:abstractNumId="5">
    <w:nsid w:val="66EF438D"/>
    <w:multiLevelType w:val="hybridMultilevel"/>
    <w:lvl w:ilvl="0">
      <w:lvlJc w:val="left"/>
      <w:lvlText w:val="(%1)"/>
      <w:numFmt w:val="lowerRoman"/>
      <w:start w:val="3"/>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1" Type="http://schemas.openxmlformats.org/officeDocument/2006/relationships/hyperlink" Target="https://www.sec.gov/Archives/edgar/data/1141103/000115752323001455/a53567346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2023-11-02T08:52:19Z</dcterms:created>
  <dcterms:modified xsi:type="dcterms:W3CDTF">2023-11-02T08:52:19Z</dcterms:modified>
</cp:coreProperties>
</file>