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r>
    </w:p>
    <w:p>
      <w:pPr>
        <w:pStyle w:val="TextBody"/>
        <w:spacing w:before="0" w:after="0"/>
        <w:jc w:val="right"/>
        <w:rPr/>
      </w:pPr>
      <w:r>
        <w:rPr/>
      </w:r>
    </w:p>
    <w:p>
      <w:pPr>
        <w:pStyle w:val="TextBody"/>
        <w:spacing w:before="0" w:after="0"/>
        <w:jc w:val="right"/>
        <w:rPr/>
      </w:pPr>
      <w:r>
        <w:rPr/>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spacing w:lineRule="auto" w:line="288" w:before="0" w:after="0"/>
        <w:jc w:val="center"/>
        <w:rPr>
          <w:color w:val="000000"/>
        </w:rPr>
      </w:pPr>
      <w:r>
        <w:rPr>
          <w:color w:val="000000"/>
        </w:rPr>
        <w: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spacing w:lineRule="auto" w:line="288" w:before="0" w:after="0"/>
        <w:jc w:val="center"/>
        <w:rPr>
          <w:color w:val="000000"/>
        </w:rPr>
      </w:pPr>
      <w:r>
        <w:rPr>
          <w:color w:val="000000"/>
        </w:rPr>
        <w:t>———————</w:t>
      </w:r>
    </w:p>
    <w:p>
      <w:pPr>
        <w:pStyle w:val="TextBody"/>
        <w:spacing w:lineRule="auto" w:line="288" w:before="120" w:after="283"/>
        <w:jc w:val="center"/>
        <w:rPr/>
      </w:pPr>
      <w:r>
        <w:rPr>
          <w:color w:val="000000"/>
        </w:rPr>
        <w:t>☒ </w:t>
      </w:r>
      <w:r>
        <w:rPr>
          <w:rFonts w:ascii="Times New Roman;sans-serif" w:hAnsi="Times New Roman;sans-serif"/>
          <w:b/>
          <w:color w:val="000000"/>
          <w:sz w:val="18"/>
        </w:rPr>
        <w:t>Quarterly Report Pursuant to Section 13 or 15(d) of the Securities Exchange Act of 1934</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March 31, 2023 </w:t>
      </w:r>
    </w:p>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w:t>
      </w:r>
    </w:p>
    <w:p>
      <w:pPr>
        <w:pStyle w:val="TextBody"/>
        <w:spacing w:lineRule="auto" w:line="288" w:before="120" w:after="283"/>
        <w:jc w:val="center"/>
        <w:rPr/>
      </w:pPr>
      <w:r>
        <w:rPr>
          <w:color w:val="000000"/>
        </w:rPr>
        <w:t>☐ </w:t>
      </w:r>
      <w:r>
        <w:rPr>
          <w:rFonts w:ascii="Times New Roman;sans-serif" w:hAnsi="Times New Roman;sans-serif"/>
          <w:b/>
          <w:color w:val="000000"/>
          <w:sz w:val="18"/>
        </w:rPr>
        <w:t>Transition Report Pursuant to Section 13 or 15(d) of the Securities Exchange Act of 1934</w:t>
      </w:r>
    </w:p>
    <w:p>
      <w:pPr>
        <w:pStyle w:val="TextBody"/>
        <w:spacing w:lineRule="auto" w:line="288" w:before="60" w:after="283"/>
        <w:jc w:val="center"/>
        <w:rPr/>
      </w:pPr>
      <w:r>
        <w:rPr>
          <w:rFonts w:ascii="Times New Roman;sans-serif" w:hAnsi="Times New Roman;sans-serif"/>
          <w:b/>
          <w:color w:val="000000"/>
          <w:sz w:val="18"/>
        </w:rPr>
        <w:t>For the Transition Period From</w:t>
      </w:r>
      <w:r>
        <w:rPr>
          <w:color w:val="000000"/>
        </w:rPr>
        <w:t xml:space="preserve"> </w:t>
      </w:r>
      <w:r>
        <w:rPr>
          <w:rFonts w:ascii="Times New Roman;sans-serif" w:hAnsi="Times New Roman;sans-serif"/>
          <w:b w:val="false"/>
          <w:color w:val="000000"/>
          <w:sz w:val="18"/>
        </w:rPr>
        <w:t xml:space="preserve">_________ </w:t>
      </w:r>
      <w:r>
        <w:rPr>
          <w:rFonts w:ascii="Times New Roman;sans-serif" w:hAnsi="Times New Roman;sans-serif"/>
          <w:b/>
          <w:color w:val="000000"/>
          <w:sz w:val="18"/>
        </w:rPr>
        <w:t>to</w:t>
      </w:r>
      <w:r>
        <w:rPr>
          <w:color w:val="000000"/>
        </w:rPr>
        <w:t xml:space="preserve"> </w:t>
      </w:r>
      <w:r>
        <w:rPr>
          <w:rFonts w:ascii="Times New Roman;sans-serif" w:hAnsi="Times New Roman;sans-serif"/>
          <w:b w:val="false"/>
          <w:color w:val="000000"/>
          <w:sz w:val="18"/>
        </w:rPr>
        <w:t>_________</w:t>
      </w:r>
    </w:p>
    <w:p>
      <w:pPr>
        <w:pStyle w:val="TextBody"/>
        <w:spacing w:before="0" w:after="0"/>
        <w:jc w:val="center"/>
        <w:rPr/>
      </w:pPr>
      <w:r>
        <w:rPr/>
        <w:drawing>
          <wp:inline distT="0" distB="63500" distL="0" distR="0">
            <wp:extent cx="2371725"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952500"/>
                    </a:xfrm>
                    <a:prstGeom prst="rect">
                      <a:avLst/>
                    </a:prstGeom>
                  </pic:spPr>
                </pic:pic>
              </a:graphicData>
            </a:graphic>
          </wp:inline>
        </w:drawing>
      </w:r>
    </w:p>
    <w:p>
      <w:pPr>
        <w:pStyle w:val="TextBody"/>
        <w:spacing w:lineRule="auto" w:line="288" w:before="0" w:after="0"/>
        <w:jc w:val="center"/>
        <w:rPr>
          <w:color w:val="000000"/>
        </w:rPr>
      </w:pPr>
      <w:r>
        <w:rPr>
          <w:color w:val="000000"/>
        </w:rPr>
        <w:t>———————</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CROSS COUNTRY HEALTHCARE, INC.</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p>
      <w:pPr>
        <w:pStyle w:val="TextBody"/>
        <w:spacing w:lineRule="auto" w:line="288" w:before="0" w:after="0"/>
        <w:jc w:val="center"/>
        <w:rPr>
          <w:color w:val="000000"/>
        </w:rPr>
      </w:pPr>
      <w:r>
        <w:rPr>
          <w:color w:val="000000"/>
        </w:rPr>
        <w:t>———————</w:t>
      </w:r>
    </w:p>
    <w:tbl>
      <w:tblPr>
        <w:tblW w:w="5131" w:type="dxa"/>
        <w:jc w:val="center"/>
        <w:tblInd w:w="0" w:type="dxa"/>
        <w:tblCellMar>
          <w:top w:w="28" w:type="dxa"/>
          <w:left w:w="28" w:type="dxa"/>
          <w:bottom w:w="28" w:type="dxa"/>
          <w:right w:w="28" w:type="dxa"/>
        </w:tblCellMar>
      </w:tblPr>
      <w:tblGrid>
        <w:gridCol w:w="851"/>
        <w:gridCol w:w="749"/>
        <w:gridCol w:w="755"/>
        <w:gridCol w:w="334"/>
        <w:gridCol w:w="334"/>
        <w:gridCol w:w="338"/>
        <w:gridCol w:w="516"/>
        <w:gridCol w:w="516"/>
        <w:gridCol w:w="738"/>
      </w:tblGrid>
      <w:tr>
        <w:trPr/>
        <w:tc>
          <w:tcPr>
            <w:tcW w:w="851"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0-33169</w:t>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13-4066229</w:t>
            </w:r>
          </w:p>
        </w:tc>
      </w:tr>
      <w:tr>
        <w:trPr/>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w:t>
              <w:br/>
              <w:t>file number</w:t>
            </w:r>
          </w:p>
        </w:tc>
        <w:tc>
          <w:tcPr>
            <w:tcW w:w="17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Number)</w:t>
            </w:r>
          </w:p>
        </w:tc>
      </w:tr>
    </w:tbl>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6551 Park of Commerce Boulevard, N.W.</w:t>
      </w:r>
    </w:p>
    <w:p>
      <w:pPr>
        <w:pStyle w:val="TextBody"/>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Boca Raton, Florida 33487</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offices)(Zip Code)</w:t>
      </w:r>
    </w:p>
    <w:p>
      <w:pPr>
        <w:pStyle w:val="TextBody"/>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(561) 998-2232</w:t>
      </w:r>
    </w:p>
    <w:p>
      <w:pPr>
        <w:pStyle w:val="TextBody"/>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w:t>
      </w:r>
    </w:p>
    <w:p>
      <w:pPr>
        <w:pStyle w:val="TextBody"/>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spacing w:lineRule="auto" w:line="288" w:before="6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(Former name, former address and former fiscal year, if changed since last report)</w:t>
      </w:r>
    </w:p>
    <w:p>
      <w:pPr>
        <w:pStyle w:val="TextBody"/>
        <w:spacing w:lineRule="auto" w:line="288" w:before="0" w:after="0"/>
        <w:jc w:val="center"/>
        <w:rPr>
          <w:color w:val="000000"/>
        </w:rPr>
      </w:pPr>
      <w:r>
        <w:rPr>
          <w:color w:val="000000"/>
        </w:rPr>
        <w:t>———————</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8098" w:type="dxa"/>
        <w:jc w:val="center"/>
        <w:tblInd w:w="0" w:type="dxa"/>
        <w:tblCellMar>
          <w:top w:w="28" w:type="dxa"/>
          <w:left w:w="28" w:type="dxa"/>
          <w:bottom w:w="28" w:type="dxa"/>
          <w:right w:w="28" w:type="dxa"/>
        </w:tblCellMar>
      </w:tblPr>
      <w:tblGrid>
        <w:gridCol w:w="1177"/>
        <w:gridCol w:w="1036"/>
        <w:gridCol w:w="1042"/>
        <w:gridCol w:w="454"/>
        <w:gridCol w:w="454"/>
        <w:gridCol w:w="456"/>
        <w:gridCol w:w="1019"/>
        <w:gridCol w:w="1019"/>
        <w:gridCol w:w="1441"/>
      </w:tblGrid>
      <w:tr>
        <w:trPr/>
        <w:tc>
          <w:tcPr>
            <w:tcW w:w="1177"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441" w:type="dxa"/>
            <w:tcBorders/>
            <w:shd w:fill="auto" w:val="clear"/>
            <w:vAlign w:val="center"/>
          </w:tcPr>
          <w:p>
            <w:pPr>
              <w:pStyle w:val="TableContents"/>
              <w:spacing w:before="0" w:after="283"/>
              <w:rPr>
                <w:sz w:val="4"/>
                <w:szCs w:val="4"/>
              </w:rPr>
            </w:pPr>
            <w:r>
              <w:rPr>
                <w:sz w:val="4"/>
                <w:szCs w:val="4"/>
              </w:rPr>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2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par value $0.0001 per share</w:t>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CCRN</w:t>
            </w:r>
          </w:p>
        </w:tc>
        <w:tc>
          <w:tcPr>
            <w:tcW w:w="34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w:t>
            </w:r>
          </w:p>
        </w:tc>
      </w:tr>
    </w:tbl>
    <w:p>
      <w:pPr>
        <w:pStyle w:val="TextBody"/>
        <w:spacing w:lineRule="auto" w:line="288" w:before="120" w:after="283"/>
        <w:rPr/>
      </w:pPr>
      <w:r>
        <w:rPr>
          <w:rFonts w:ascii="Times New Roman;sans-serif" w:hAnsi="Times New Roman;sans-serif"/>
          <w:b w:val="false"/>
          <w:color w:val="000000"/>
          <w:sz w:val="18"/>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8"/>
        </w:rPr>
        <w:t>No </w:t>
      </w:r>
      <w:r>
        <w:rPr>
          <w:color w:val="000000"/>
        </w:rPr>
        <w:t>☐</w:t>
      </w:r>
    </w:p>
    <w:p>
      <w:pPr>
        <w:pStyle w:val="TextBody"/>
        <w:spacing w:lineRule="auto" w:line="288" w:before="120" w:after="283"/>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color w:val="000000"/>
        </w:rPr>
        <w:t>☒ </w:t>
      </w:r>
      <w:r>
        <w:rPr>
          <w:rFonts w:ascii="Times New Roman;sans-serif" w:hAnsi="Times New Roman;sans-serif"/>
          <w:b w:val="false"/>
          <w:color w:val="000000"/>
          <w:sz w:val="18"/>
        </w:rPr>
        <w:t xml:space="preserve">Yes </w:t>
      </w:r>
      <w:r>
        <w:rPr>
          <w:color w:val="000000"/>
        </w:rPr>
        <w:t>☐ </w:t>
      </w:r>
      <w:r>
        <w:rPr>
          <w:rFonts w:ascii="Times New Roman;sans-serif" w:hAnsi="Times New Roman;sans-serif"/>
          <w:b w:val="false"/>
          <w:color w:val="000000"/>
          <w:sz w:val="18"/>
        </w:rPr>
        <w:t>No</w:t>
      </w:r>
    </w:p>
    <w:p>
      <w:pPr>
        <w:pStyle w:val="TextBody"/>
        <w:spacing w:lineRule="auto" w:line="288" w:before="120" w:after="283"/>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or a non-accelerated filer. See definition of “accelerated filer and large accelerated filer” in Rule 12b-2 of the Exchange Act:</w:t>
      </w:r>
    </w:p>
    <w:p>
      <w:pPr>
        <w:pStyle w:val="TextBody"/>
        <w:spacing w:lineRule="auto" w:line="288" w:before="120" w:after="283"/>
        <w:jc w:val="center"/>
        <w:rPr/>
      </w:pPr>
      <w:r>
        <w:rPr>
          <w:rFonts w:ascii="Times New Roman;sans-serif" w:hAnsi="Times New Roman;sans-serif"/>
          <w:b w:val="false"/>
          <w:color w:val="000000"/>
          <w:sz w:val="18"/>
        </w:rPr>
        <w:t>Large accelerated filer </w:t>
      </w:r>
      <w:r>
        <w:rPr>
          <w:color w:val="000000"/>
        </w:rPr>
        <w:t xml:space="preserve">☒ </w:t>
      </w:r>
      <w:r>
        <w:rPr>
          <w:rFonts w:ascii="Times New Roman;sans-serif" w:hAnsi="Times New Roman;sans-serif"/>
          <w:b w:val="false"/>
          <w:color w:val="000000"/>
          <w:sz w:val="18"/>
        </w:rPr>
        <w:t xml:space="preserve">Accelerated filer </w:t>
      </w:r>
      <w:r>
        <w:rPr>
          <w:color w:val="000000"/>
        </w:rPr>
        <w:t xml:space="preserve">☐ </w:t>
      </w:r>
      <w:r>
        <w:rPr>
          <w:rFonts w:ascii="Times New Roman;sans-serif" w:hAnsi="Times New Roman;sans-serif"/>
          <w:b w:val="false"/>
          <w:color w:val="000000"/>
          <w:sz w:val="18"/>
        </w:rPr>
        <w:t>Non-accelerated filer </w:t>
      </w:r>
      <w:r>
        <w:rPr>
          <w:color w:val="000000"/>
        </w:rPr>
        <w:t xml:space="preserve">☐ </w:t>
      </w:r>
    </w:p>
    <w:p>
      <w:pPr>
        <w:pStyle w:val="TextBody"/>
        <w:spacing w:lineRule="auto" w:line="288" w:before="0" w:after="0"/>
        <w:jc w:val="center"/>
        <w:rPr/>
      </w:pPr>
      <w:r>
        <w:rPr>
          <w:rFonts w:ascii="Times New Roman;sans-serif" w:hAnsi="Times New Roman;sans-serif"/>
          <w:b w:val="false"/>
          <w:color w:val="000000"/>
          <w:sz w:val="18"/>
        </w:rPr>
        <w:t>Smaller reporting company </w:t>
      </w:r>
      <w:r>
        <w:rPr>
          <w:color w:val="000000"/>
        </w:rPr>
        <w:t xml:space="preserve">☐ </w:t>
      </w:r>
      <w:r>
        <w:rPr>
          <w:rFonts w:ascii="Times New Roman;sans-serif" w:hAnsi="Times New Roman;sans-serif"/>
          <w:b w:val="false"/>
          <w:color w:val="000000"/>
          <w:sz w:val="18"/>
        </w:rPr>
        <w:t xml:space="preserve">Emerging growth company </w:t>
      </w:r>
      <w:r>
        <w:rPr>
          <w:color w:val="000000"/>
        </w:rPr>
        <w: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w:t>
      </w:r>
    </w:p>
    <w:p>
      <w:pPr>
        <w:pStyle w:val="TextBody"/>
        <w:spacing w:lineRule="auto" w:line="288" w:before="0" w:after="0"/>
        <w:rPr/>
      </w:pPr>
      <w:r>
        <w:rPr>
          <w:rFonts w:ascii="Times New Roman;sans-serif" w:hAnsi="Times New Roman;sans-serif"/>
          <w:b w:val="false"/>
          <w:color w:val="000000"/>
          <w:sz w:val="18"/>
        </w:rPr>
        <w:t xml:space="preserve">period for complying with any new or revised financial accounting standards provided pursuant to Section 13(a) of the Exchange Act. </w:t>
      </w:r>
      <w:r>
        <w:rPr>
          <w:color w:val="000000"/>
        </w:rPr>
        <w:t xml:space="preserve">☐ </w:t>
      </w:r>
    </w:p>
    <w:p>
      <w:pPr>
        <w:pStyle w:val="TextBody"/>
        <w:spacing w:lineRule="auto" w:line="288" w:before="120" w:after="283"/>
        <w:rPr/>
      </w:pPr>
      <w:r>
        <w:rPr>
          <w:rFonts w:ascii="Times New Roman;sans-serif" w:hAnsi="Times New Roman;sans-serif"/>
          <w:b w:val="false"/>
          <w:color w:val="000000"/>
          <w:sz w:val="18"/>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18"/>
        </w:rPr>
        <w:t>No </w:t>
      </w:r>
      <w:r>
        <w:rPr>
          <w:color w:val="000000"/>
        </w:rPr>
        <w:t>☒</w:t>
      </w:r>
    </w:p>
    <w:p>
      <w:pPr>
        <w:pStyle w:val="TextBody"/>
        <w:spacing w:lineRule="auto" w:line="288" w:before="120" w:after="283"/>
        <w:rPr/>
      </w:pPr>
      <w:r>
        <w:rPr>
          <w:rFonts w:ascii="Times New Roman;sans-serif" w:hAnsi="Times New Roman;sans-serif"/>
          <w:b w:val="false"/>
          <w:color w:val="000000"/>
          <w:sz w:val="18"/>
        </w:rPr>
        <w:t>The registrant had outstandin</w:t>
      </w:r>
      <w:r>
        <w:rPr>
          <w:rFonts w:ascii="Times New Roman;sans-serif" w:hAnsi="Times New Roman;sans-serif"/>
          <w:b w:val="false"/>
          <w:color w:val="000000"/>
          <w:sz w:val="18"/>
          <w:highlight w:val="white"/>
        </w:rPr>
        <w:t xml:space="preserve">g 35,932,889 </w:t>
      </w:r>
      <w:r>
        <w:rPr>
          <w:rFonts w:ascii="Times New Roman;sans-serif" w:hAnsi="Times New Roman;sans-serif"/>
          <w:b w:val="false"/>
          <w:color w:val="000000"/>
          <w:sz w:val="18"/>
        </w:rPr>
        <w:t>shares of common stock, par value $0.0001 per share, as of April 30,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INFORMATION RELATING TO FORWARD-LOOKING STATEMENTS</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 xml:space="preserve">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w:t>
      </w:r>
      <w:r>
        <w:rPr>
          <w:rFonts w:ascii="Times New Roman;sans-serif" w:hAnsi="Times New Roman;sans-serif"/>
          <w:b w:val="false"/>
          <w:color w:val="000000"/>
          <w:sz w:val="20"/>
          <w:highlight w:val="white"/>
        </w:rPr>
        <w:t>the overall macroeconomic environment, including increased inflation and interest rates, dema</w:t>
      </w:r>
      <w:r>
        <w:rPr>
          <w:rFonts w:ascii="Times New Roman;sans-serif" w:hAnsi="Times New Roman;sans-serif"/>
          <w:b w:val="false"/>
          <w:color w:val="000000"/>
          <w:sz w:val="20"/>
        </w:rPr>
        <w:t>nd for the healthcare services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2022 (2022 Form 10-K), as filed and updated in our subsequent Quarterly Reports on Form 10-Q and other filings with the Securities and Exchange Commission (SEC).</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Although we believe that these statements are based upon reasonable assumptions, we cannot guarantee future results</w:t>
      </w:r>
      <w:r>
        <w:rPr>
          <w:color w:val="000000"/>
        </w:rPr>
        <w:t> </w:t>
      </w:r>
      <w:r>
        <w:rPr>
          <w:rFonts w:ascii="Times New Roman;sans-serif" w:hAnsi="Times New Roman;sans-serif"/>
          <w:b w:val="false"/>
          <w:color w:val="000000"/>
          <w:sz w:val="20"/>
        </w:rPr>
        <w:t>and readers are cautioned not to place undue reliance on these forward-looking statements, which reflect management’s opinions only as of the date of this filing. There can be no assurance that (i) 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All references to “the Company”, “we”, “us”, “our”, or “Cross Country” in this Quarterly Report on Form 10-Q mean Cross Country Healthcare, Inc. and its consolidated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tbl>
      <w:tblPr>
        <w:tblW w:w="9920" w:type="dxa"/>
        <w:jc w:val="center"/>
        <w:tblInd w:w="0" w:type="dxa"/>
        <w:tblCellMar>
          <w:top w:w="28" w:type="dxa"/>
          <w:left w:w="28" w:type="dxa"/>
          <w:bottom w:w="28" w:type="dxa"/>
          <w:right w:w="28" w:type="dxa"/>
        </w:tblCellMar>
      </w:tblPr>
      <w:tblGrid>
        <w:gridCol w:w="620"/>
        <w:gridCol w:w="547"/>
        <w:gridCol w:w="547"/>
        <w:gridCol w:w="2514"/>
        <w:gridCol w:w="2514"/>
        <w:gridCol w:w="2532"/>
        <w:gridCol w:w="189"/>
        <w:gridCol w:w="189"/>
        <w:gridCol w:w="268"/>
      </w:tblGrid>
      <w:tr>
        <w:trPr/>
        <w:tc>
          <w:tcPr>
            <w:tcW w:w="620"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547"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2532"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7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3">
              <w:r>
                <w:rPr>
                  <w:rStyle w:val="InternetLink"/>
                  <w:rFonts w:ascii="Times New Roman;sans-serif" w:hAnsi="Times New Roman;sans-serif"/>
                  <w:b w:val="false"/>
                  <w:color w:val="0000FF"/>
                  <w:sz w:val="20"/>
                  <w:u w:val="single"/>
                </w:rPr>
                <w:t>PART I. – FINANCIAL INFORMATION</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3">
              <w:r>
                <w:rPr>
                  <w:rStyle w:val="InternetLink"/>
                  <w:rFonts w:ascii="Times New Roman;sans-serif" w:hAnsi="Times New Roman;sans-serif"/>
                  <w:b w:val="false"/>
                  <w:color w:val="0000FF"/>
                  <w:sz w:val="20"/>
                  <w:u w:val="single"/>
                </w:rPr>
                <w:t>1</w:t>
              </w:r>
            </w:hyperlink>
          </w:p>
        </w:tc>
      </w:tr>
      <w:tr>
        <w:trPr/>
        <w:tc>
          <w:tcPr>
            <w:tcW w:w="927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6">
              <w:r>
                <w:rPr>
                  <w:rStyle w:val="InternetLink"/>
                  <w:rFonts w:ascii="Times New Roman;sans-serif" w:hAnsi="Times New Roman;sans-serif"/>
                  <w:b w:val="false"/>
                  <w:color w:val="0000FF"/>
                  <w:sz w:val="20"/>
                  <w:u w:val="single"/>
                </w:rPr>
                <w:t>Item 1.</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6">
              <w:r>
                <w:rPr>
                  <w:rStyle w:val="InternetLink"/>
                  <w:rFonts w:ascii="Times New Roman;sans-serif" w:hAnsi="Times New Roman;sans-serif"/>
                  <w:b w:val="false"/>
                  <w:color w:val="0000FF"/>
                  <w:sz w:val="20"/>
                  <w:u w:val="single"/>
                </w:rPr>
                <w:t>Condensed Consolidated Financial Statements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6">
              <w:r>
                <w:rPr>
                  <w:rStyle w:val="InternetLink"/>
                  <w:rFonts w:ascii="Times New Roman;sans-serif" w:hAnsi="Times New Roman;sans-serif"/>
                  <w:b w:val="false"/>
                  <w:color w:val="0000FF"/>
                  <w:sz w:val="20"/>
                  <w:u w:val="single"/>
                </w:rPr>
                <w:t>1</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9">
              <w:r>
                <w:rPr>
                  <w:rStyle w:val="InternetLink"/>
                  <w:rFonts w:ascii="Times New Roman;sans-serif" w:hAnsi="Times New Roman;sans-serif"/>
                  <w:b w:val="false"/>
                  <w:color w:val="0000FF"/>
                  <w:sz w:val="20"/>
                  <w:u w:val="single"/>
                </w:rPr>
                <w:t>Condensed Consolidated Balance Sheets (Unaudited)</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9">
              <w:r>
                <w:rPr>
                  <w:rStyle w:val="InternetLink"/>
                  <w:rFonts w:ascii="Times New Roman;sans-serif" w:hAnsi="Times New Roman;sans-serif"/>
                  <w:b w:val="false"/>
                  <w:color w:val="0000FF"/>
                  <w:sz w:val="20"/>
                  <w:u w:val="single"/>
                </w:rPr>
                <w:t>1</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22">
              <w:r>
                <w:rPr>
                  <w:rStyle w:val="InternetLink"/>
                </w:rPr>
                <w:t>Condensed Consolidated Statements of Operations</w:t>
              </w:r>
            </w:hyperlink>
            <w:hyperlink w:anchor="i8829ae3f56bb45eb85084a4beb35f618_22">
              <w:r>
                <w:rPr>
                  <w:rStyle w:val="InternetLink"/>
                </w:rPr>
                <w:t xml:space="preserve"> and Comprehensive Income</w:t>
              </w:r>
            </w:hyperlink>
            <w:hyperlink w:anchor="i8829ae3f56bb45eb85084a4beb35f618_22">
              <w:r>
                <w:rPr>
                  <w:rStyle w:val="InternetLink"/>
                </w:rPr>
                <w:t xml:space="preserve"> (Unaudited)</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22">
              <w:r>
                <w:rPr>
                  <w:rStyle w:val="InternetLink"/>
                  <w:rFonts w:ascii="Times New Roman;sans-serif" w:hAnsi="Times New Roman;sans-serif"/>
                  <w:b w:val="false"/>
                  <w:color w:val="0000FF"/>
                  <w:sz w:val="20"/>
                  <w:u w:val="single"/>
                </w:rPr>
                <w:t>2</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Condensed Consolidated Statements of Stockholders' Equity (Unaudited)</w:t>
            </w:r>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28">
              <w:r>
                <w:rPr>
                  <w:rStyle w:val="InternetLink"/>
                  <w:rFonts w:ascii="Times New Roman;sans-serif" w:hAnsi="Times New Roman;sans-serif"/>
                  <w:b w:val="false"/>
                  <w:color w:val="0000FF"/>
                  <w:sz w:val="20"/>
                  <w:u w:val="single"/>
                </w:rPr>
                <w:t>3</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31">
              <w:r>
                <w:rPr>
                  <w:rStyle w:val="InternetLink"/>
                  <w:rFonts w:ascii="Times New Roman;sans-serif" w:hAnsi="Times New Roman;sans-serif"/>
                  <w:b w:val="false"/>
                  <w:color w:val="0000FF"/>
                  <w:sz w:val="20"/>
                  <w:u w:val="single"/>
                </w:rPr>
                <w:t>Condensed Consolidated Statements of Cash Flows (Unaudited)</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31">
              <w:r>
                <w:rPr>
                  <w:rStyle w:val="InternetLink"/>
                  <w:rFonts w:ascii="Times New Roman;sans-serif" w:hAnsi="Times New Roman;sans-serif"/>
                  <w:b w:val="false"/>
                  <w:color w:val="0000FF"/>
                  <w:sz w:val="20"/>
                  <w:u w:val="single"/>
                </w:rPr>
                <w:t>4</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34">
              <w:r>
                <w:rPr>
                  <w:rStyle w:val="InternetLink"/>
                  <w:rFonts w:ascii="Times New Roman;sans-serif" w:hAnsi="Times New Roman;sans-serif"/>
                  <w:b w:val="false"/>
                  <w:color w:val="0000FF"/>
                  <w:sz w:val="20"/>
                  <w:u w:val="single"/>
                </w:rPr>
                <w:t>Notes to Condensed Consolidated Financial Statements (Unaudited)</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34">
              <w:r>
                <w:rPr>
                  <w:rStyle w:val="InternetLink"/>
                  <w:rFonts w:ascii="Times New Roman;sans-serif" w:hAnsi="Times New Roman;sans-serif"/>
                  <w:b w:val="false"/>
                  <w:color w:val="0000FF"/>
                  <w:sz w:val="20"/>
                  <w:u w:val="single"/>
                </w:rPr>
                <w:t>5</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91">
              <w:r>
                <w:rPr>
                  <w:rStyle w:val="InternetLink"/>
                  <w:rFonts w:ascii="Times New Roman;sans-serif" w:hAnsi="Times New Roman;sans-serif"/>
                  <w:b w:val="false"/>
                  <w:color w:val="0000FF"/>
                  <w:sz w:val="20"/>
                  <w:u w:val="single"/>
                </w:rPr>
                <w:t>Item 2.</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91">
              <w:r>
                <w:rPr>
                  <w:rStyle w:val="InternetLink"/>
                  <w:rFonts w:ascii="Times New Roman;sans-serif" w:hAnsi="Times New Roman;sans-serif"/>
                  <w:b w:val="false"/>
                  <w:color w:val="0000FF"/>
                  <w:sz w:val="20"/>
                  <w:u w:val="single"/>
                </w:rPr>
                <w:t>24</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33">
              <w:r>
                <w:rPr>
                  <w:rStyle w:val="InternetLink"/>
                  <w:rFonts w:ascii="Times New Roman;sans-serif" w:hAnsi="Times New Roman;sans-serif"/>
                  <w:b w:val="false"/>
                  <w:color w:val="0000FF"/>
                  <w:sz w:val="20"/>
                  <w:u w:val="single"/>
                </w:rPr>
                <w:t>Item 3.</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33">
              <w:r>
                <w:rPr>
                  <w:rStyle w:val="InternetLink"/>
                  <w:rFonts w:ascii="Times New Roman;sans-serif" w:hAnsi="Times New Roman;sans-serif"/>
                  <w:b w:val="false"/>
                  <w:color w:val="0000FF"/>
                  <w:sz w:val="20"/>
                  <w:u w:val="single"/>
                </w:rPr>
                <w:t>Quantitative and Qualitative Disclosures About Market Risk</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33">
              <w:r>
                <w:rPr>
                  <w:rStyle w:val="InternetLink"/>
                  <w:rFonts w:ascii="Times New Roman;sans-serif" w:hAnsi="Times New Roman;sans-serif"/>
                  <w:b w:val="false"/>
                  <w:color w:val="0000FF"/>
                  <w:sz w:val="20"/>
                  <w:u w:val="single"/>
                </w:rPr>
                <w:t>33</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36">
              <w:r>
                <w:rPr>
                  <w:rStyle w:val="InternetLink"/>
                  <w:rFonts w:ascii="Times New Roman;sans-serif" w:hAnsi="Times New Roman;sans-serif"/>
                  <w:b w:val="false"/>
                  <w:color w:val="0000FF"/>
                  <w:sz w:val="20"/>
                  <w:u w:val="single"/>
                </w:rPr>
                <w:t>Item 4.</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36">
              <w:r>
                <w:rPr>
                  <w:rStyle w:val="InternetLink"/>
                  <w:rFonts w:ascii="Times New Roman;sans-serif" w:hAnsi="Times New Roman;sans-serif"/>
                  <w:b w:val="false"/>
                  <w:color w:val="0000FF"/>
                  <w:sz w:val="20"/>
                  <w:u w:val="single"/>
                </w:rPr>
                <w:t>Controls and Procedures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36">
              <w:r>
                <w:rPr>
                  <w:rStyle w:val="InternetLink"/>
                  <w:rFonts w:ascii="Times New Roman;sans-serif" w:hAnsi="Times New Roman;sans-serif"/>
                  <w:b w:val="false"/>
                  <w:color w:val="0000FF"/>
                  <w:sz w:val="20"/>
                  <w:u w:val="single"/>
                </w:rPr>
                <w:t>33</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7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39">
              <w:r>
                <w:rPr>
                  <w:rStyle w:val="InternetLink"/>
                  <w:rFonts w:ascii="Times New Roman;sans-serif" w:hAnsi="Times New Roman;sans-serif"/>
                  <w:b w:val="false"/>
                  <w:color w:val="0000FF"/>
                  <w:sz w:val="20"/>
                  <w:u w:val="single"/>
                </w:rPr>
                <w:t>PART II. – OTHER INFORMATION</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39">
              <w:r>
                <w:rPr>
                  <w:rStyle w:val="InternetLink"/>
                  <w:rFonts w:ascii="Times New Roman;sans-serif" w:hAnsi="Times New Roman;sans-serif"/>
                  <w:b w:val="false"/>
                  <w:color w:val="0000FF"/>
                  <w:sz w:val="20"/>
                  <w:u w:val="single"/>
                </w:rPr>
                <w:t>34</w:t>
              </w:r>
            </w:hyperlink>
          </w:p>
        </w:tc>
      </w:tr>
      <w:tr>
        <w:trPr/>
        <w:tc>
          <w:tcPr>
            <w:tcW w:w="9274"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42">
              <w:r>
                <w:rPr>
                  <w:rStyle w:val="InternetLink"/>
                  <w:rFonts w:ascii="Times New Roman;sans-serif" w:hAnsi="Times New Roman;sans-serif"/>
                  <w:b w:val="false"/>
                  <w:color w:val="0000FF"/>
                  <w:sz w:val="20"/>
                  <w:u w:val="single"/>
                </w:rPr>
                <w:t>Item 1.</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42">
              <w:r>
                <w:rPr>
                  <w:rStyle w:val="InternetLink"/>
                  <w:rFonts w:ascii="Times New Roman;sans-serif" w:hAnsi="Times New Roman;sans-serif"/>
                  <w:b w:val="false"/>
                  <w:color w:val="0000FF"/>
                  <w:sz w:val="20"/>
                  <w:u w:val="single"/>
                </w:rPr>
                <w:t>Legal Proceedings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42">
              <w:r>
                <w:rPr>
                  <w:rStyle w:val="InternetLink"/>
                  <w:rFonts w:ascii="Times New Roman;sans-serif" w:hAnsi="Times New Roman;sans-serif"/>
                  <w:b w:val="false"/>
                  <w:color w:val="0000FF"/>
                  <w:sz w:val="20"/>
                  <w:u w:val="single"/>
                </w:rPr>
                <w:t>34</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45">
              <w:r>
                <w:rPr>
                  <w:rStyle w:val="InternetLink"/>
                  <w:rFonts w:ascii="Times New Roman;sans-serif" w:hAnsi="Times New Roman;sans-serif"/>
                  <w:b w:val="false"/>
                  <w:color w:val="0000FF"/>
                  <w:sz w:val="20"/>
                  <w:u w:val="single"/>
                </w:rPr>
                <w:t>Item 1A.</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45">
              <w:r>
                <w:rPr>
                  <w:rStyle w:val="InternetLink"/>
                  <w:rFonts w:ascii="Times New Roman;sans-serif" w:hAnsi="Times New Roman;sans-serif"/>
                  <w:b w:val="false"/>
                  <w:color w:val="0000FF"/>
                  <w:sz w:val="20"/>
                  <w:u w:val="single"/>
                </w:rPr>
                <w:t>Risk Factors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45">
              <w:r>
                <w:rPr>
                  <w:rStyle w:val="InternetLink"/>
                  <w:rFonts w:ascii="Times New Roman;sans-serif" w:hAnsi="Times New Roman;sans-serif"/>
                  <w:b w:val="false"/>
                  <w:color w:val="0000FF"/>
                  <w:sz w:val="20"/>
                  <w:u w:val="single"/>
                </w:rPr>
                <w:t>34</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424">
              <w:r>
                <w:rPr>
                  <w:rStyle w:val="InternetLink"/>
                  <w:rFonts w:ascii="Times New Roman;sans-serif" w:hAnsi="Times New Roman;sans-serif"/>
                  <w:b w:val="false"/>
                  <w:color w:val="0000FF"/>
                  <w:sz w:val="20"/>
                  <w:u w:val="single"/>
                </w:rPr>
                <w:t>Item 2.</w:t>
              </w:r>
            </w:hyperlink>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424">
              <w:r>
                <w:rPr>
                  <w:rStyle w:val="InternetLink"/>
                  <w:rFonts w:ascii="Times New Roman;sans-serif" w:hAnsi="Times New Roman;sans-serif"/>
                  <w:b w:val="false"/>
                  <w:color w:val="0000FF"/>
                  <w:sz w:val="20"/>
                  <w:u w:val="single"/>
                </w:rPr>
                <w:t>Unregistered Sales of Equity Securities and Use of Proceeds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424">
              <w:r>
                <w:rPr>
                  <w:rStyle w:val="InternetLink"/>
                  <w:rFonts w:ascii="Times New Roman;sans-serif" w:hAnsi="Times New Roman;sans-serif"/>
                  <w:b w:val="false"/>
                  <w:color w:val="0000FF"/>
                  <w:sz w:val="20"/>
                  <w:u w:val="single"/>
                </w:rPr>
                <w:t>34</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1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Item 6.</w:t>
            </w:r>
          </w:p>
        </w:tc>
        <w:tc>
          <w:tcPr>
            <w:tcW w:w="756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48">
              <w:r>
                <w:rPr>
                  <w:rStyle w:val="InternetLink"/>
                  <w:rFonts w:ascii="Times New Roman;sans-serif" w:hAnsi="Times New Roman;sans-serif"/>
                  <w:b w:val="false"/>
                  <w:color w:val="0000FF"/>
                  <w:sz w:val="20"/>
                  <w:u w:val="single"/>
                </w:rPr>
                <w:t>Exhibits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48">
              <w:r>
                <w:rPr>
                  <w:rStyle w:val="InternetLink"/>
                  <w:rFonts w:ascii="Times New Roman;sans-serif" w:hAnsi="Times New Roman;sans-serif"/>
                  <w:b w:val="false"/>
                  <w:color w:val="0000FF"/>
                  <w:sz w:val="20"/>
                  <w:u w:val="single"/>
                </w:rPr>
                <w:t>35</w:t>
              </w:r>
            </w:hyperlink>
          </w:p>
        </w:tc>
      </w:tr>
      <w:tr>
        <w:trPr/>
        <w:tc>
          <w:tcPr>
            <w:tcW w:w="17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274" w:type="dxa"/>
            <w:gridSpan w:val="6"/>
            <w:tcBorders/>
            <w:shd w:fill="auto" w:val="clear"/>
            <w:tcMar>
              <w:top w:w="0" w:type="dxa"/>
              <w:left w:w="0" w:type="dxa"/>
              <w:bottom w:w="0" w:type="dxa"/>
              <w:right w:w="0" w:type="dxa"/>
            </w:tcMar>
            <w:vAlign w:val="center"/>
          </w:tcPr>
          <w:p>
            <w:pPr>
              <w:pStyle w:val="TableContents"/>
              <w:spacing w:lineRule="auto" w:line="240" w:before="0" w:after="0"/>
              <w:jc w:val="left"/>
              <w:rPr/>
            </w:pPr>
            <w:hyperlink w:anchor="i8829ae3f56bb45eb85084a4beb35f618_151">
              <w:r>
                <w:rPr>
                  <w:rStyle w:val="InternetLink"/>
                  <w:rFonts w:ascii="Times New Roman;sans-serif" w:hAnsi="Times New Roman;sans-serif"/>
                  <w:b w:val="false"/>
                  <w:color w:val="0000FF"/>
                  <w:sz w:val="20"/>
                  <w:u w:val="single"/>
                </w:rPr>
                <w:t>Signatures</w:t>
              </w:r>
            </w:hyperlink>
          </w:p>
        </w:tc>
        <w:tc>
          <w:tcPr>
            <w:tcW w:w="646"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8829ae3f56bb45eb85084a4beb35f618_151">
              <w:r>
                <w:rPr>
                  <w:rStyle w:val="InternetLink"/>
                  <w:rFonts w:ascii="Times New Roman;sans-serif" w:hAnsi="Times New Roman;sans-serif"/>
                  <w:b w:val="false"/>
                  <w:color w:val="0000FF"/>
                  <w:sz w:val="20"/>
                  <w:u w:val="single"/>
                </w:rPr>
                <w:t>36</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w:t>
      </w:r>
    </w:p>
    <w:tbl>
      <w:tblPr>
        <w:tblW w:w="9602" w:type="dxa"/>
        <w:jc w:val="center"/>
        <w:tblInd w:w="0" w:type="dxa"/>
        <w:tblCellMar>
          <w:top w:w="28" w:type="dxa"/>
          <w:left w:w="28" w:type="dxa"/>
          <w:bottom w:w="28" w:type="dxa"/>
          <w:right w:w="28" w:type="dxa"/>
        </w:tblCellMar>
      </w:tblPr>
      <w:tblGrid>
        <w:gridCol w:w="2551"/>
        <w:gridCol w:w="2240"/>
        <w:gridCol w:w="2258"/>
        <w:gridCol w:w="196"/>
        <w:gridCol w:w="736"/>
        <w:gridCol w:w="109"/>
        <w:gridCol w:w="109"/>
        <w:gridCol w:w="109"/>
        <w:gridCol w:w="109"/>
        <w:gridCol w:w="214"/>
        <w:gridCol w:w="803"/>
        <w:gridCol w:w="168"/>
      </w:tblGrid>
      <w:tr>
        <w:trPr/>
        <w:tc>
          <w:tcPr>
            <w:tcW w:w="2551" w:type="dxa"/>
            <w:tcBorders/>
            <w:shd w:fill="auto" w:val="clear"/>
            <w:vAlign w:val="center"/>
          </w:tcPr>
          <w:p>
            <w:pPr>
              <w:pStyle w:val="TableContents"/>
              <w:spacing w:before="0" w:after="283"/>
              <w:rPr>
                <w:sz w:val="4"/>
                <w:szCs w:val="4"/>
              </w:rPr>
            </w:pPr>
            <w:r>
              <w:rPr>
                <w:sz w:val="4"/>
                <w:szCs w:val="4"/>
              </w:rPr>
            </w:r>
          </w:p>
        </w:tc>
        <w:tc>
          <w:tcPr>
            <w:tcW w:w="2240" w:type="dxa"/>
            <w:tcBorders/>
            <w:shd w:fill="auto" w:val="clear"/>
            <w:vAlign w:val="center"/>
          </w:tcPr>
          <w:p>
            <w:pPr>
              <w:pStyle w:val="TableContents"/>
              <w:spacing w:before="0" w:after="283"/>
              <w:rPr>
                <w:sz w:val="4"/>
                <w:szCs w:val="4"/>
              </w:rPr>
            </w:pPr>
            <w:r>
              <w:rPr>
                <w:sz w:val="4"/>
                <w:szCs w:val="4"/>
              </w:rPr>
            </w:r>
          </w:p>
        </w:tc>
        <w:tc>
          <w:tcPr>
            <w:tcW w:w="225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allowances of $19,896 in 2023 and $14,696 in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641,611 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11,067 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 recovery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675,673 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 of accumulated depreciation of $18,953 in 2023 and $17,682 in 2022</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3,254 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163,268 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44,723 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deferred tax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7,092 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insurance recovery receivable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23,058 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11,109 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947,839 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185,507 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72,605 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4,132 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earnout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271,640 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debt, less current portion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138,443 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148,735 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accrued claims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35,881 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earnout liability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18,000 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Uncertain tax positions - non-current</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3,838 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490,620 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292,876 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195,162 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165,726 </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457,219 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920,541 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947,839 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2580"/>
                <wp:effectExtent l="0" t="0" r="0" b="0"/>
                <wp:wrapNone/>
                <wp:docPr id="5" name="Frame4"/>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INCOME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 except per share data)</w:t>
      </w:r>
    </w:p>
    <w:p>
      <w:pPr>
        <w:pStyle w:val="TextBody"/>
        <w:spacing w:before="0" w:after="0"/>
        <w:jc w:val="center"/>
        <w:rPr/>
      </w:pPr>
      <w:r>
        <w:rPr/>
      </w:r>
    </w:p>
    <w:tbl>
      <w:tblPr>
        <w:tblW w:w="8709" w:type="dxa"/>
        <w:jc w:val="center"/>
        <w:tblInd w:w="0" w:type="dxa"/>
        <w:tblCellMar>
          <w:top w:w="28" w:type="dxa"/>
          <w:left w:w="28" w:type="dxa"/>
          <w:bottom w:w="28" w:type="dxa"/>
          <w:right w:w="28" w:type="dxa"/>
        </w:tblCellMar>
      </w:tblPr>
      <w:tblGrid>
        <w:gridCol w:w="2027"/>
        <w:gridCol w:w="1788"/>
        <w:gridCol w:w="1794"/>
        <w:gridCol w:w="211"/>
        <w:gridCol w:w="826"/>
        <w:gridCol w:w="109"/>
        <w:gridCol w:w="109"/>
        <w:gridCol w:w="109"/>
        <w:gridCol w:w="109"/>
        <w:gridCol w:w="211"/>
        <w:gridCol w:w="826"/>
        <w:gridCol w:w="109"/>
        <w:gridCol w:w="109"/>
        <w:gridCol w:w="109"/>
        <w:gridCol w:w="109"/>
        <w:gridCol w:w="154"/>
      </w:tblGrid>
      <w:tr>
        <w:trPr/>
        <w:tc>
          <w:tcPr>
            <w:tcW w:w="2027"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179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services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578,910 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698,100 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foreign currency translation gain (loss), net of tax</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Basic</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Diluted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2580"/>
                <wp:effectExtent l="0" t="0" r="0" b="0"/>
                <wp:wrapNone/>
                <wp:docPr id="6" name="Frame5"/>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 and 2022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636"/>
        <w:gridCol w:w="559"/>
        <w:gridCol w:w="561"/>
        <w:gridCol w:w="323"/>
        <w:gridCol w:w="323"/>
        <w:gridCol w:w="196"/>
        <w:gridCol w:w="109"/>
        <w:gridCol w:w="109"/>
        <w:gridCol w:w="109"/>
        <w:gridCol w:w="226"/>
        <w:gridCol w:w="278"/>
        <w:gridCol w:w="127"/>
        <w:gridCol w:w="109"/>
        <w:gridCol w:w="109"/>
        <w:gridCol w:w="109"/>
        <w:gridCol w:w="204"/>
        <w:gridCol w:w="769"/>
        <w:gridCol w:w="113"/>
        <w:gridCol w:w="109"/>
        <w:gridCol w:w="109"/>
        <w:gridCol w:w="109"/>
        <w:gridCol w:w="309"/>
        <w:gridCol w:w="900"/>
        <w:gridCol w:w="172"/>
        <w:gridCol w:w="109"/>
        <w:gridCol w:w="109"/>
        <w:gridCol w:w="109"/>
        <w:gridCol w:w="343"/>
        <w:gridCol w:w="1092"/>
        <w:gridCol w:w="161"/>
        <w:gridCol w:w="109"/>
        <w:gridCol w:w="109"/>
        <w:gridCol w:w="109"/>
        <w:gridCol w:w="228"/>
        <w:gridCol w:w="860"/>
        <w:gridCol w:w="190"/>
      </w:tblGrid>
      <w:tr>
        <w:trPr/>
        <w:tc>
          <w:tcPr>
            <w:tcW w:w="636"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1092"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7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w:t>
              <w:br/>
              <w:t>Paid-In 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Accumulated Other </w:t>
              <w:br/>
              <w:t>Comprehensive Loss, net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Retained 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Stockholders’ Equity</w:t>
            </w:r>
          </w:p>
        </w:tc>
      </w:tr>
      <w:tr>
        <w:trPr/>
        <w:tc>
          <w:tcPr>
            <w:tcW w:w="1756" w:type="dxa"/>
            <w:gridSpan w:val="3"/>
            <w:vMerge w:val="continue"/>
            <w:tcBorders/>
            <w:shd w:fill="auto" w:val="clear"/>
            <w:tcMar>
              <w:top w:w="0" w:type="dxa"/>
              <w:left w:w="0" w:type="dxa"/>
              <w:bottom w:w="0" w:type="dxa"/>
              <w:right w:w="0" w:type="dxa"/>
            </w:tcMar>
            <w:vAlign w:val="center"/>
          </w:tcPr>
          <w:p>
            <w:pPr>
              <w:pStyle w:val="Normal"/>
              <w:rPr/>
            </w:pPr>
            <w:r>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Dollars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7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2022</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36,303 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292,876 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(1,387)</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457,219 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375 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(4,513)</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(4,513)</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1,775 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1,775 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and retirement</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(1,224)</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(31,760)</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(31,760)</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repurchase excise tax</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(234)</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8" w:type="dxa"/>
            <w:gridSpan w:val="3"/>
            <w:tcBorders/>
            <w:shd w:fill="auto" w:val="cle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29,436 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29,436 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March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35,454 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258,144 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(1,380)</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195,162 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451,930 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80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Common Stock</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Additional</w:t>
              <w:br/>
              <w:t>Paid-In Capital</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 xml:space="preserve">Accumulated Other </w:t>
              <w:br/>
              <w:t>Comprehensive Loss, net</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(Accumulated Deficit) Retained Earnings</w:t>
            </w:r>
          </w:p>
        </w:tc>
        <w:tc>
          <w:tcPr>
            <w:tcW w:w="327"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8"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Stockholders’ Equity</w:t>
            </w:r>
          </w:p>
        </w:tc>
      </w:tr>
      <w:tr>
        <w:trPr/>
        <w:tc>
          <w:tcPr>
            <w:tcW w:w="1756" w:type="dxa"/>
            <w:gridSpan w:val="3"/>
            <w:vMerge w:val="continue"/>
            <w:tcBorders/>
            <w:shd w:fill="auto" w:val="clear"/>
            <w:tcMar>
              <w:top w:w="0" w:type="dxa"/>
              <w:left w:w="0" w:type="dxa"/>
              <w:bottom w:w="0" w:type="dxa"/>
              <w:right w:w="0" w:type="dxa"/>
            </w:tcMar>
            <w:vAlign w:val="center"/>
          </w:tcPr>
          <w:p>
            <w:pPr>
              <w:pStyle w:val="Normal"/>
              <w:rPr/>
            </w:pPr>
            <w:r>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Dollars</w:t>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0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3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5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vMerge w:val="continue"/>
            <w:tcBorders/>
            <w:shd w:fill="auto" w:val="clear"/>
            <w:tcMar>
              <w:top w:w="0" w:type="dxa"/>
              <w:left w:w="0" w:type="dxa"/>
              <w:bottom w:w="0" w:type="dxa"/>
              <w:right w:w="0" w:type="dxa"/>
            </w:tcMar>
            <w:vAlign w:val="center"/>
          </w:tcPr>
          <w:p>
            <w:pPr>
              <w:pStyle w:val="Normal"/>
              <w:rPr/>
            </w:pPr>
            <w:r>
              <w:rPr/>
            </w:r>
          </w:p>
        </w:tc>
        <w:tc>
          <w:tcPr>
            <w:tcW w:w="1278"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December 31, 2021</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37,024 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321,552 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(1,293)</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(22,735)</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297,528 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Vesting of restricted stock</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419 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(5,028)</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(5,028)</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compensation</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1,601 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1,601 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Foreign currency translation adjustment, net of taxes</w:t>
            </w:r>
          </w:p>
        </w:tc>
        <w:tc>
          <w:tcPr>
            <w:tcW w:w="6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w:t>
            </w:r>
          </w:p>
        </w:tc>
        <w:tc>
          <w:tcPr>
            <w:tcW w:w="6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61,983 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61,983 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Balances at March 31, 2022</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37,443 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318,125 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(1,304)</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39,248 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356,073 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2580"/>
                <wp:effectExtent l="0" t="0" r="0" b="0"/>
                <wp:wrapNone/>
                <wp:docPr id="7" name="Frame6"/>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amounts in thousands)</w:t>
      </w:r>
    </w:p>
    <w:tbl>
      <w:tblPr>
        <w:tblW w:w="9924" w:type="dxa"/>
        <w:jc w:val="center"/>
        <w:tblInd w:w="0" w:type="dxa"/>
        <w:tblCellMar>
          <w:top w:w="28" w:type="dxa"/>
          <w:left w:w="28" w:type="dxa"/>
          <w:bottom w:w="28" w:type="dxa"/>
          <w:right w:w="28" w:type="dxa"/>
        </w:tblCellMar>
      </w:tblPr>
      <w:tblGrid>
        <w:gridCol w:w="2700"/>
        <w:gridCol w:w="2377"/>
        <w:gridCol w:w="2393"/>
        <w:gridCol w:w="211"/>
        <w:gridCol w:w="721"/>
        <w:gridCol w:w="109"/>
        <w:gridCol w:w="109"/>
        <w:gridCol w:w="109"/>
        <w:gridCol w:w="109"/>
        <w:gridCol w:w="211"/>
        <w:gridCol w:w="721"/>
        <w:gridCol w:w="154"/>
      </w:tblGrid>
      <w:tr>
        <w:trPr/>
        <w:tc>
          <w:tcPr>
            <w:tcW w:w="2700" w:type="dxa"/>
            <w:tcBorders/>
            <w:shd w:fill="auto" w:val="clear"/>
            <w:vAlign w:val="center"/>
          </w:tcPr>
          <w:p>
            <w:pPr>
              <w:pStyle w:val="TableContents"/>
              <w:spacing w:before="0" w:after="283"/>
              <w:rPr>
                <w:sz w:val="4"/>
                <w:szCs w:val="4"/>
              </w:rPr>
            </w:pPr>
            <w:r>
              <w:rPr>
                <w:sz w:val="4"/>
                <w:szCs w:val="4"/>
              </w:rPr>
            </w:r>
          </w:p>
        </w:tc>
        <w:tc>
          <w:tcPr>
            <w:tcW w:w="2377" w:type="dxa"/>
            <w:tcBorders/>
            <w:shd w:fill="auto" w:val="clear"/>
            <w:vAlign w:val="center"/>
          </w:tcPr>
          <w:p>
            <w:pPr>
              <w:pStyle w:val="TableContents"/>
              <w:spacing w:before="0" w:after="283"/>
              <w:rPr>
                <w:sz w:val="4"/>
                <w:szCs w:val="4"/>
              </w:rPr>
            </w:pPr>
            <w:r>
              <w:rPr>
                <w:sz w:val="4"/>
                <w:szCs w:val="4"/>
              </w:rPr>
            </w:r>
          </w:p>
        </w:tc>
        <w:tc>
          <w:tcPr>
            <w:tcW w:w="239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74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net income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allowances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costs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22,050 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settlements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term loan</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Senior Secured Asset-Based revolving credit facility</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415,176 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Senior Secured Asset-Based revolving credit facility</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(357,834)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(372,874)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shares withheld for taxes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payments on note payable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repurchase and retirement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2580"/>
                <wp:effectExtent l="0" t="0" r="0" b="0"/>
                <wp:wrapNone/>
                <wp:docPr id="8" name="Frame7"/>
                <a:graphic xmlns:a="http://schemas.openxmlformats.org/drawingml/2006/main">
                  <a:graphicData uri="http://schemas.microsoft.com/office/word/2010/wordprocessingShape">
                    <wps:wsp>
                      <wps:cNvSpPr txBox="1"/>
                      <wps:spPr>
                        <a:xfrm>
                          <a:off x="0" y="0"/>
                          <a:ext cx="6480175" cy="322580"/>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CROSS COUNTRY HEALTHCARE,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    ORGANIZATION AND BASIS OF PRESENTATION</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Nature of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2023.</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These unaudited interim condensed consolidated financial statements should be read in conjunction with the audited consolidated financial statements and notes thereto for the year ended December 31, 2022 included in the 2022 Form 10-K. The December 31, 2022 condensed consolidated balance sheet included herein was derived from the December 31, 2022 audited consolidated balance sheet included in the 2022 Form 10-K.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prior year amounts have been reclassified to conform to the current year presentation. See the condensed consolidated balance sheets and the condensed consolidated statements of operations and comprehensive income.</w:t>
      </w:r>
    </w:p>
    <w:p>
      <w:pPr>
        <w:pStyle w:val="TextBody"/>
        <w:spacing w:before="0" w:after="0"/>
        <w:rPr/>
      </w:pPr>
      <w:r>
        <w:rPr/>
      </w:r>
    </w:p>
    <w:p>
      <w:pPr>
        <w:pStyle w:val="TextBody"/>
        <w:spacing w:before="0" w:after="0"/>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preparation of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 estimates</w:t>
      </w:r>
      <w:r>
        <w:rPr>
          <w:color w:val="000000"/>
          <w:highlight w:val="white"/>
        </w:rPr>
        <w:t xml:space="preserve"> </w:t>
      </w:r>
      <w:r>
        <w:rPr>
          <w:rFonts w:ascii="Times New Roman;sans-serif" w:hAnsi="Times New Roman;sans-serif"/>
          <w:b w:val="false"/>
          <w:color w:val="000000"/>
          <w:sz w:val="20"/>
        </w:rPr>
        <w:t xml:space="preserve">could materially and adversely impact the Company's consolidated financial statements in future reporting periods. Actual results could differ from those estimates. </w:t>
      </w:r>
    </w:p>
    <w:p>
      <w:pPr>
        <w:pStyle w:val="TextBody"/>
        <w:spacing w:before="0" w:after="0"/>
        <w:rPr/>
      </w:pPr>
      <w:r>
        <w:rPr/>
      </w:r>
    </w:p>
    <w:p>
      <w:pPr>
        <w:pStyle w:val="TextBody"/>
        <w:spacing w:lineRule="auto" w:line="28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Risks and Uncertainties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w:t>
      </w:r>
    </w:p>
    <w:p>
      <w:pPr>
        <w:pStyle w:val="TextBody"/>
        <w:spacing w:before="0" w:after="0"/>
        <w:rPr/>
      </w:pPr>
      <w:r>
        <w:rPr/>
      </w:r>
    </w:p>
    <w:p>
      <w:pPr>
        <w:pStyle w:val="TextBody"/>
        <w:spacing w:lineRule="auto" w:line="268" w:before="0" w:after="0"/>
        <w:rPr>
          <w:rFonts w:ascii="Times New Roman;sans-serif" w:hAnsi="Times New Roman;sans-serif"/>
          <w:b/>
          <w:color w:val="000000"/>
          <w:sz w:val="20"/>
          <w:highlight w:val="white"/>
        </w:rPr>
      </w:pPr>
      <w:r>
        <w:rPr>
          <w:rFonts w:ascii="Times New Roman;sans-serif" w:hAnsi="Times New Roman;sans-serif"/>
          <w:b/>
          <w:color w:val="000000"/>
          <w:sz w:val="20"/>
          <w:highlight w:val="white"/>
        </w:rPr>
        <w:t>Accounts Receivable, net</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billings, and collections results in billed and unbilled accounts receivable from customers, which are classified as accounts receivable on the condensed consolidated balance sheets and are presented net of allowances for doubtful accounts and sales allowances. Estimated revenue for the Company employees', subcontracted employees', and independent contractors’ time worked but not yet billed at March 31, 2023 and December 31, 2022 totaled $149.9 million and $152.4 million, respectively.</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 generally does not require collateral and mitigates its credit risk by performing credit evaluations and monitoring at-risk accounts. The allowance for doubtful accounts is established for losses expected to be incurred on accounts receivable balances. Accounts receivable are written off against the allowance for doubtful accounts when the Company determines amounts are no longer collectible. Judgment is required in the estimation of the allowance and the Company evaluates the collectability of its accounts receivable based on a combination of factors. The Company bases its allowance for doubtful account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w:t>
      </w:r>
      <w:r>
        <w:rPr>
          <w:rFonts w:ascii="Times New Roman;sans-serif" w:hAnsi="Times New Roman;sans-serif"/>
          <w:b w:val="false"/>
          <w:color w:val="000000"/>
          <w:sz w:val="20"/>
          <w:highlight w:val="white"/>
        </w:rPr>
        <w:t xml:space="preserve">s </w:t>
      </w:r>
      <w:r>
        <w:rPr>
          <w:rFonts w:ascii="Times New Roman;sans-serif" w:hAnsi="Times New Roman;sans-serif"/>
          <w:b w:val="false"/>
          <w:color w:val="000000"/>
          <w:sz w:val="20"/>
        </w:rPr>
        <w:t>when estimating its allowance for doubtful accounts.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opening balance of the allowance for doubtful accounts is reconciled to the closing balance for expected credit losses as follows:</w:t>
      </w:r>
    </w:p>
    <w:tbl>
      <w:tblPr>
        <w:tblW w:w="4808" w:type="dxa"/>
        <w:jc w:val="left"/>
        <w:tblInd w:w="0" w:type="dxa"/>
        <w:tblCellMar>
          <w:top w:w="28" w:type="dxa"/>
          <w:left w:w="28" w:type="dxa"/>
          <w:bottom w:w="28" w:type="dxa"/>
          <w:right w:w="28" w:type="dxa"/>
        </w:tblCellMar>
      </w:tblPr>
      <w:tblGrid>
        <w:gridCol w:w="891"/>
        <w:gridCol w:w="781"/>
        <w:gridCol w:w="787"/>
        <w:gridCol w:w="211"/>
        <w:gridCol w:w="721"/>
        <w:gridCol w:w="109"/>
        <w:gridCol w:w="109"/>
        <w:gridCol w:w="109"/>
        <w:gridCol w:w="109"/>
        <w:gridCol w:w="211"/>
        <w:gridCol w:w="616"/>
        <w:gridCol w:w="154"/>
      </w:tblGrid>
      <w:tr>
        <w:trPr/>
        <w:tc>
          <w:tcPr>
            <w:tcW w:w="89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1308" w:type="dxa"/>
            <w:gridSpan w:val="6"/>
            <w:tcBorders/>
            <w:shd w:fill="auto" w:val="clea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Write-Offs, net of Recoveries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2459"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the allowance for doubtful accounts, the Company maintains a sales allowance for billing-related adjustments which may arise in the ordinary course of business and adjustments to the reserve are recorded as contra-revenue. The sales allowance balance as of March 31, 2023 and December 31, 2022 was $1.9 million and $1.6 million, respectively.</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w:t>
      </w:r>
      <w:r>
        <w:rPr>
          <w:rFonts w:ascii="Times New Roman;sans-serif" w:hAnsi="Times New Roman;sans-serif"/>
          <w:b w:val="false"/>
          <w:color w:val="000000"/>
          <w:sz w:val="20"/>
          <w:highlight w:val="white"/>
        </w:rPr>
        <w:t xml:space="preserve">No single customer accounted for more than 10% of the Company’s </w:t>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revenue for the three months ended March 31, 2023 and 2022, or the accounts receivable balance as of March 31, 2023 and December 31, 2022.</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Restructuring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considers restructuring activities to be programs whereby it fundamentally changes its operations, such as closing and consolidating facilities, reducing headcount, and realigning operations in response to changing market conditions. As a result, restructuring costs on the condensed consolidated statements of operations and comprehensive income primarily include employee termination costs and lease-related exit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Reconciliations of the employee termination costs and lease-related exit costs beginning and ending liability balance is presented below:</w:t>
      </w:r>
    </w:p>
    <w:tbl>
      <w:tblPr>
        <w:tblW w:w="8080" w:type="dxa"/>
        <w:jc w:val="left"/>
        <w:tblInd w:w="0" w:type="dxa"/>
        <w:tblCellMar>
          <w:top w:w="28" w:type="dxa"/>
          <w:left w:w="28" w:type="dxa"/>
          <w:bottom w:w="28" w:type="dxa"/>
          <w:right w:w="28" w:type="dxa"/>
        </w:tblCellMar>
      </w:tblPr>
      <w:tblGrid>
        <w:gridCol w:w="1060"/>
        <w:gridCol w:w="928"/>
        <w:gridCol w:w="936"/>
        <w:gridCol w:w="692"/>
        <w:gridCol w:w="1529"/>
        <w:gridCol w:w="359"/>
        <w:gridCol w:w="109"/>
        <w:gridCol w:w="109"/>
        <w:gridCol w:w="109"/>
        <w:gridCol w:w="483"/>
        <w:gridCol w:w="1412"/>
        <w:gridCol w:w="354"/>
      </w:tblGrid>
      <w:tr>
        <w:trPr/>
        <w:tc>
          <w:tcPr>
            <w:tcW w:w="1060"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692"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141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2576" w:type="dxa"/>
            <w:gridSpan w:val="6"/>
            <w:tcBorders/>
            <w:shd w:fill="auto" w:val="clea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Termination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Lease-Related Exit Costs</w:t>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January 1, 2023</w:t>
            </w:r>
          </w:p>
        </w:tc>
        <w:tc>
          <w:tcPr>
            <w:tcW w:w="6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799 </w:t>
            </w:r>
          </w:p>
        </w:tc>
        <w:tc>
          <w:tcPr>
            <w:tcW w:w="3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2,196 </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Charged (credited) to restructuring</w:t>
            </w:r>
          </w:p>
        </w:tc>
        <w:tc>
          <w:tcPr>
            <w:tcW w:w="22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35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3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and adjustments</w:t>
            </w:r>
          </w:p>
        </w:tc>
        <w:tc>
          <w:tcPr>
            <w:tcW w:w="22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3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w:t>
            </w:r>
          </w:p>
        </w:tc>
        <w:tc>
          <w:tcPr>
            <w:tcW w:w="3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69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35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1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1,800 </w:t>
            </w:r>
          </w:p>
        </w:tc>
        <w:tc>
          <w:tcPr>
            <w:tcW w:w="3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vAlign w:val="center"/>
          </w:tcPr>
          <w:p>
            <w:pPr>
              <w:pStyle w:val="TableContents"/>
              <w:spacing w:before="0" w:after="283"/>
              <w:rPr>
                <w:sz w:val="4"/>
                <w:szCs w:val="4"/>
              </w:rPr>
            </w:pPr>
            <w:r>
              <w:rPr>
                <w:sz w:val="4"/>
                <w:szCs w:val="4"/>
              </w:rPr>
            </w:r>
          </w:p>
        </w:tc>
        <w:tc>
          <w:tcPr>
            <w:tcW w:w="258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4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On October 28, 2021, the Financial Accounting Standards Board (FASB) issued Accounting Standards Update (ASU) No. 2021-08, </w:t>
      </w:r>
      <w:r>
        <w:rPr>
          <w:rFonts w:ascii="Times New Roman;sans-serif" w:hAnsi="Times New Roman;sans-serif"/>
          <w:b w:val="false"/>
          <w:i/>
          <w:color w:val="000000"/>
          <w:sz w:val="20"/>
        </w:rPr>
        <w:t>Business Combinations (Topic 805): Accounting for Contract Assets and Contract Liabilities from Contracts with Customers</w:t>
      </w:r>
      <w:r>
        <w:rPr>
          <w:rFonts w:ascii="Times New Roman;sans-serif" w:hAnsi="Times New Roman;sans-serif"/>
          <w:b w:val="false"/>
          <w:color w:val="000000"/>
          <w:sz w:val="20"/>
        </w:rPr>
        <w:t xml:space="preserve">, which requires contract assets and contract liabilities such as deferred revenue acquired in a business combination to be recognized and measured by the acquirer on the acquisition date in accordance with Accounting Standards Codification (ASC) 606, </w:t>
      </w:r>
      <w:r>
        <w:rPr>
          <w:rFonts w:ascii="Times New Roman;sans-serif" w:hAnsi="Times New Roman;sans-serif"/>
          <w:b w:val="false"/>
          <w:i/>
          <w:color w:val="000000"/>
          <w:sz w:val="20"/>
        </w:rPr>
        <w:t>Revenue from Contracts with Customers</w:t>
      </w:r>
      <w:r>
        <w:rPr>
          <w:rFonts w:ascii="Times New Roman;sans-serif" w:hAnsi="Times New Roman;sans-serif"/>
          <w:b w:val="false"/>
          <w:color w:val="000000"/>
          <w:sz w:val="20"/>
        </w:rPr>
        <w:t>. Generally, this amendment will result in the acquirer recognizing contract assets and contract liabilities at the same amounts recorded by the acquiree. Historically such amounts were recognized by the acquirer at fair value in acquisition accounting. This guidance is effective for fiscal years beginning after December 15, 2022, including interim periods within those fiscal years. The amendments should be applied prospectively to business combinations occurring on or after the effective date of the amendments. Early adoption is permitted, including adoption in an interim period. The Company adopted this standard in the first quarter of 2023 and will apply the guidance as it relates to future acquisitions.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0" w:after="160"/>
        <w:rPr>
          <w:rFonts w:ascii="Times New Roman;sans-serif" w:hAnsi="Times New Roman;sans-serif"/>
          <w:b/>
          <w:color w:val="000000"/>
          <w:sz w:val="20"/>
        </w:rPr>
      </w:pPr>
      <w:r>
        <w:rPr>
          <w:rFonts w:ascii="Times New Roman;sans-serif" w:hAnsi="Times New Roman;sans-serif"/>
          <w:b/>
          <w:color w:val="000000"/>
          <w:sz w:val="20"/>
        </w:rPr>
        <w:t>3.    REVENUE RECOGNITION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revenues from customer contracts are generated from temporary staffing services and other services. Revenue is disaggregated by segment in the following table. Sales and usage-based taxes are excluded from revenue.</w:t>
      </w:r>
    </w:p>
    <w:tbl>
      <w:tblPr>
        <w:tblW w:w="7406" w:type="dxa"/>
        <w:jc w:val="left"/>
        <w:tblInd w:w="0" w:type="dxa"/>
        <w:tblCellMar>
          <w:top w:w="28" w:type="dxa"/>
          <w:left w:w="28" w:type="dxa"/>
          <w:bottom w:w="28" w:type="dxa"/>
          <w:right w:w="28" w:type="dxa"/>
        </w:tblCellMar>
      </w:tblPr>
      <w:tblGrid>
        <w:gridCol w:w="874"/>
        <w:gridCol w:w="768"/>
        <w:gridCol w:w="773"/>
        <w:gridCol w:w="247"/>
        <w:gridCol w:w="971"/>
        <w:gridCol w:w="128"/>
        <w:gridCol w:w="128"/>
        <w:gridCol w:w="128"/>
        <w:gridCol w:w="128"/>
        <w:gridCol w:w="247"/>
        <w:gridCol w:w="848"/>
        <w:gridCol w:w="128"/>
        <w:gridCol w:w="128"/>
        <w:gridCol w:w="128"/>
        <w:gridCol w:w="109"/>
        <w:gridCol w:w="109"/>
        <w:gridCol w:w="109"/>
        <w:gridCol w:w="257"/>
        <w:gridCol w:w="1010"/>
        <w:gridCol w:w="188"/>
      </w:tblGrid>
      <w:tr>
        <w:trPr/>
        <w:tc>
          <w:tcPr>
            <w:tcW w:w="874"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10"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1782" w:type="dxa"/>
            <w:gridSpan w:val="6"/>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1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1782" w:type="dxa"/>
            <w:gridSpan w:val="6"/>
            <w:tcBorders/>
            <w:shd w:fill="auto" w:val="clea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567,650 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605,847 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14,652 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16,860 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582,302 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622,707 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1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1782" w:type="dxa"/>
            <w:gridSpan w:val="6"/>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Segments</w:t>
            </w:r>
          </w:p>
        </w:tc>
      </w:tr>
      <w:tr>
        <w:trPr/>
        <w:tc>
          <w:tcPr>
            <w:tcW w:w="2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9" w:type="dxa"/>
            <w:gridSpan w:val="1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1782" w:type="dxa"/>
            <w:gridSpan w:val="6"/>
            <w:tcBorders/>
            <w:shd w:fill="auto" w:val="clea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Temporary Staffing Services</w:t>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749,447 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22,104 </w:t>
            </w:r>
          </w:p>
        </w:tc>
        <w:tc>
          <w:tcPr>
            <w:tcW w:w="1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771,551 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Services</w:t>
            </w:r>
          </w:p>
        </w:tc>
        <w:tc>
          <w:tcPr>
            <w:tcW w:w="121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16,133 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17,181 </w:t>
            </w:r>
          </w:p>
        </w:tc>
        <w:tc>
          <w:tcPr>
            <w:tcW w:w="18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765,580 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788,732 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645" w:type="dxa"/>
            <w:gridSpan w:val="14"/>
            <w:tcBorders/>
            <w:shd w:fill="auto" w:val="clea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vAlign w:val="center"/>
          </w:tcPr>
          <w:p>
            <w:pPr>
              <w:pStyle w:val="TableContents"/>
              <w:spacing w:before="0" w:after="283"/>
              <w:rPr>
                <w:sz w:val="4"/>
                <w:szCs w:val="4"/>
              </w:rPr>
            </w:pPr>
            <w:r>
              <w:rPr>
                <w:sz w:val="4"/>
                <w:szCs w:val="4"/>
              </w:rPr>
            </w:r>
          </w:p>
        </w:tc>
        <w:tc>
          <w:tcPr>
            <w:tcW w:w="134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See Note 12 - Segment Data.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4.    ACQUISITIONS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HireUp</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13, 2022, the Company purchased and acquired substantially all of the assets and assumed certain liabilities of HireUp Leadership Inc. (HireUp) for a purchase price of $6.0 million in cash, subject to adjustment, and $0.8 million in shares (or 29,811 shares) of the Company's common stock. The transaction was treated as a purchase of assets for income tax purposes.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sellers are eligible to receive up to an additional $8.0 million total in earnout cash consideration based on HireUp's revenues and Adjusted EBITDA for each of the twelve-month periods ending on the first and second anniversaries of the first day after the closing date. The earnout liability is included in non-current earnout liability on the condensed consolidated balance sheets. See Note 10 - 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assigned the following values to other identifiable intangible assets: (i) $0.9 million to trade names with a weighted average estimated useful life of 2 years; (ii) $2.5 million to a customer list with a weighted average estimated useful life of 10 years; and (iii) $3.5 million to a database with a weighted average estimated useful life of 7 years, for a total of $6.9 million in definite life intangible assets with a weighted average estimated useful life of 7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excess purchase price over the fair value of net assets acquired of $7.6 million was recorded as goodwill on the Company's condensed consolidated balance sheets. The Company may record additional valuation adjustments during the remainder of the measurement period, which is not to exceed one year from the acquisition date. See Note 7 - Goodwill, Trade Names, and Other Intangible Assets.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Mint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sellers are eligible to receive up to an additional $10.0 million in earnout cash consideration based on Mint's revenues and gross profit for each of the twelve-month periods ending on the first and second anniversaries of the first day of the calendar month following the closing date. The short-term portion of the liability of $5.0 million is included in current portion of earnout liability and the long-term portion of the liability of $5.0 million is included in non-current earnout liability on the condensed consolidated balance sheets. See Note 10 - 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2023, the Company assigned the following values to other identifiable intangible assets: (i) $0.4 million to trade names with a weighted average estimated useful life of 1 year; (ii) $2.3 million to a customer list with a weighted average estimated useful life of 11 years; and (iii) $12.4 million to a database with a weighted average estimated useful life of 7 years, for a total of $15.1 million in definite life intangible assets with a weighted average estimated useful life of 7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excess purchase price over the fair value of net assets acquired of $20.1 million was recorded as goodwill on the Company's condensed consolidated balance sheets. The Company may record additional valuation adjustments during the remainder of the measurement period, which is not to exceed one year from the acquisition date. See Note 7 - Goodwill, Trade Names, and Other Intangible Assets.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Local Business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15, 2022, the Company purchased and acquired certain assets and assumed certain liabilities of an Ohio based business for a purchase price of $2.0 million in cash, subject to customary post-closing adjustments. The transaction was treated as a purchase of assets for income tax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December 15, 2022, an immaterial amount was recorded as goodwill on the Company's condensed consolidated balance sheets. The Company may record additional valuation adjustments during the remainder of the measurement period, which is not to exceed one year from the acquisition date. See Note 7 - Goodwill, Trade Names, and Other Intangible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above acquisitions made in 2022, HireUp, Mint, and a local business, both individually and in the aggregate, were not significant and have been accounted for using the acquisition method of accounting. The pro-forma impact on the Company's consolidated revenue from services and net income, including the pro forma effect of events that are directly attributable to the acquisitions, was not significant. Associated immaterial acquisition-related costs incurred have been included in selling, general and administrative expenses on the Company's condensed consolidated statements of operations and comprehensive income for the three months ended March 31, 2023 and December 31,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Selected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16, 2021, the Company purchased and acquired substantially all of the assets and assumed certain liabilities of Selected, Inc. (Selected) for a purchase price of $3.5 million in cash, subject to adjustment, and $1.5 million in shares (or 59,429 shares) of the Company's common stock. The transaction was treated as a purchase of assets for income tax purposes.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sellers were eligible to receive up to an additional $1.5 million in earnout cash consideration, based on Selected's revenues for each of the twelve-month periods ending on the first and second anniversaries of the first day after the closing date. In the second quarter of 2022, the Company determined that the contingent consideration earnout related to the Selected acquisition would not be achieved for 2022 and 2023 and, as a result, the entire liability was reversed. See Note 10 - 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2022, the Company assigned the following values to other identifiable intangible assets: (i) an immaterial amount to trade names with a weighted average estimated useful life of 2 years; (ii) $1.7 million to software with a weighted average estimated useful life of 5 years; and (iii) $2.9 million to a database, consisting of education professionals, with a weighted average estimated useful life of 5 years, for a total of $4.6 million in definite life intangible assets with a weighted average estimated useful life of 5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excess purchase price over the fair value of net assets acquired of $0.4 million was recorded as goodwill on the Company's condensed consolidated balance sheets. See Note 7 - Goodwill, Trade Names, and Other Intangible Assets.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 Associated immaterial acquisition-related costs incurred have been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included in selling, general and administrative expenses on the Company's condensed consolidated statements of operations and comprehensive income for the three months ended March 31, 2023 and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Cross Country Workforce Solutions Group (CCWSG)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purchased and acquired substantially all of the assets and assumed certain liabilities of Workforce Solutions Group, Inc. (WSG) for a purchase price of $25.0 million in cash and $5.0 million in shares (or 307,730 shares) of the Company's common stock. The parties agreed to a final net working capital reduction of $1.1 million, which was received in the fourth quarter of 2021. Included in the amount paid at closing and held in an escrow account was $2.0 million related to potential wage and hour indemnification claims. On December 16, 2022, this amount was released from escrow to the seller. The transaction was treated as a purchase of assets for income tax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sellers are eligible to receive an earnout based on the business' performance through three years after the acquisition date that could provide up to an additional $15.0 million in cash. In the third quarter of 2022, the Company determined that the contingent consideration earnout was achieved for the 2021 through 2022 period and, as a result, the Company made a $7.5 million earnout payment. The remaining earnout liability's carrying amount of $7.5 million is included in current portion of earnout liability on the condensed consolidated balance sheets. See Note 10 - 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September 30, 2021, the Company assigned a value to other identifiable intangible assets of $14.2 million in customer relationships with a weighted average estimated useful life of 11.5 years.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remaining excess purchase price over the fair value of net assets acquired of $22.1 million was recorded as goodwill on the Company's condensed consolidated balance sheets. See Note 7 - Goodwill, Trade Names, and Other Intangible Assets.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acquisition was not significant and has been accounted for using the acquisition method of accounting. The pro-forma impact on the Company's consolidated revenue from services and net income, including the pro forma effect of events that are directly attributable to the acquisition, was not significant.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Mediscan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2020, the Company entered into a note payable of $7.3 million related to contingent consideration assumed as part of the Mediscan acquisition, payable in three installments. The first two installments of $2.4 million each were paid in the second quarter of 2020 and in the first quarter of 2021, respectively. The third and final installment of $2.6 million, including interest, was paid in the first quarter of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5.    COMPREHENSIVE INCOME</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Total comprehensive income includes net income or loss and foreign currency translation adjustments, net of any related deferred taxes, and is included within the accompanying condensed consolidated statements of operations and comprehensive income.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w:t>
      </w:r>
      <w:r>
        <w:rPr>
          <w:color w:val="000000"/>
          <w:highlight w:val="white"/>
        </w:rPr>
        <w:t xml:space="preserve"> </w:t>
      </w:r>
      <w:r>
        <w:rPr>
          <w:rFonts w:ascii="Times New Roman;sans-serif" w:hAnsi="Times New Roman;sans-serif"/>
          <w:b w:val="false"/>
          <w:color w:val="000000"/>
          <w:sz w:val="20"/>
          <w:highlight w:val="white"/>
        </w:rPr>
        <w:t>$1.5 million</w:t>
      </w:r>
      <w:r>
        <w:rPr>
          <w:color w:val="000000"/>
        </w:rPr>
        <w:t xml:space="preserve"> </w:t>
      </w:r>
      <w:r>
        <w:rPr>
          <w:rFonts w:ascii="Times New Roman;sans-serif" w:hAnsi="Times New Roman;sans-serif"/>
          <w:b w:val="false"/>
          <w:color w:val="000000"/>
          <w:sz w:val="20"/>
        </w:rPr>
        <w:t>at March 31, 2023 and December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income tax impact related to components of other comprehensive income for the three months ended March 31, 2023 and 2022 is included in unrealized foreign currency translation gain (loss), net of tax in the condensed consolidated statements of operations and comprehensive income.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6.    EARNINGS PER SHARE</w:t>
      </w:r>
    </w:p>
    <w:p>
      <w:pPr>
        <w:pStyle w:val="TextBody"/>
        <w:spacing w:before="0" w:after="0"/>
        <w:ind w:left="0" w:right="0" w:hanging="72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numerator and denominator for the computation of the basic and diluted earnings per share:</w:t>
      </w:r>
    </w:p>
    <w:tbl>
      <w:tblPr>
        <w:tblW w:w="9434" w:type="dxa"/>
        <w:jc w:val="left"/>
        <w:tblInd w:w="0" w:type="dxa"/>
        <w:tblCellMar>
          <w:top w:w="28" w:type="dxa"/>
          <w:left w:w="28" w:type="dxa"/>
          <w:bottom w:w="28" w:type="dxa"/>
          <w:right w:w="28" w:type="dxa"/>
        </w:tblCellMar>
      </w:tblPr>
      <w:tblGrid>
        <w:gridCol w:w="2056"/>
        <w:gridCol w:w="1810"/>
        <w:gridCol w:w="1819"/>
        <w:gridCol w:w="286"/>
        <w:gridCol w:w="978"/>
        <w:gridCol w:w="148"/>
        <w:gridCol w:w="148"/>
        <w:gridCol w:w="148"/>
        <w:gridCol w:w="148"/>
        <w:gridCol w:w="286"/>
        <w:gridCol w:w="978"/>
        <w:gridCol w:w="148"/>
        <w:gridCol w:w="109"/>
        <w:gridCol w:w="109"/>
        <w:gridCol w:w="109"/>
        <w:gridCol w:w="154"/>
      </w:tblGrid>
      <w:tr>
        <w:trPr/>
        <w:tc>
          <w:tcPr>
            <w:tcW w:w="2056"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181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vMerge w:val="restart"/>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85" w:type="dxa"/>
            <w:gridSpan w:val="3"/>
            <w:vMerge w:val="continue"/>
            <w:tcBorders/>
            <w:shd w:fill="auto" w:val="clear"/>
            <w:tcMar>
              <w:top w:w="0" w:type="dxa"/>
              <w:left w:w="0" w:type="dxa"/>
              <w:bottom w:w="0" w:type="dxa"/>
              <w:right w:w="0" w:type="dxa"/>
            </w:tcMar>
            <w:vAlign w:val="center"/>
          </w:tcPr>
          <w:p>
            <w:pPr>
              <w:pStyle w:val="Normal"/>
              <w:rPr/>
            </w:pPr>
            <w:r>
              <w:rPr/>
            </w:r>
          </w:p>
        </w:tc>
        <w:tc>
          <w:tcPr>
            <w:tcW w:w="326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5685" w:type="dxa"/>
            <w:gridSpan w:val="3"/>
            <w:vMerge w:val="continue"/>
            <w:tcBorders/>
            <w:shd w:fill="auto" w:val="clear"/>
            <w:tcMar>
              <w:top w:w="0" w:type="dxa"/>
              <w:left w:w="0" w:type="dxa"/>
              <w:bottom w:w="0" w:type="dxa"/>
              <w:right w:w="0" w:type="dxa"/>
            </w:tcMar>
            <w:vAlign w:val="center"/>
          </w:tcPr>
          <w:p>
            <w:pPr>
              <w:pStyle w:val="Normal"/>
              <w:rPr/>
            </w:pPr>
            <w:r>
              <w:rPr/>
            </w:r>
          </w:p>
        </w:tc>
        <w:tc>
          <w:tcPr>
            <w:tcW w:w="14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6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(amounts in thousands, except per share data)</w:t>
            </w:r>
          </w:p>
        </w:tc>
        <w:tc>
          <w:tcPr>
            <w:tcW w:w="481" w:type="dxa"/>
            <w:gridSpan w:val="4"/>
            <w:tcBorders/>
            <w:shd w:fill="auto" w:val="clea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14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 - Basic and Diluted</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61,983 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Basic</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35,864 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37,028 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diluted shares:</w:t>
            </w:r>
          </w:p>
        </w:tc>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Share-based awards</w:t>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945 </w:t>
            </w:r>
          </w:p>
        </w:tc>
        <w:tc>
          <w:tcPr>
            <w:tcW w:w="1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 Diluted</w:t>
            </w:r>
          </w:p>
        </w:tc>
        <w:tc>
          <w:tcPr>
            <w:tcW w:w="126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36,560 </w:t>
            </w:r>
          </w:p>
        </w:tc>
        <w:tc>
          <w:tcPr>
            <w:tcW w:w="14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37,973 </w:t>
            </w:r>
          </w:p>
        </w:tc>
        <w:tc>
          <w:tcPr>
            <w:tcW w:w="14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Basic</w:t>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4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6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per share attributable to common stockholders - Diluted</w:t>
            </w:r>
          </w:p>
        </w:tc>
        <w:tc>
          <w:tcPr>
            <w:tcW w:w="286"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0.81 </w:t>
            </w:r>
          </w:p>
        </w:tc>
        <w:tc>
          <w:tcPr>
            <w:tcW w:w="148"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8" w:type="dxa"/>
            <w:tcBorders>
              <w:bottom w:val="doub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48" w:type="dxa"/>
            <w:tcBorders>
              <w:bottom w:val="double" w:sz="8" w:space="0" w:color="000000"/>
            </w:tcBorders>
            <w:shd w:fill="auto"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there were no share-based awards that could potentially dilute net income per share attributable to common stockholders in the future included in the computation of diluted net income per share attributable to common stockholders because to do so would have been anti-dilutive.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7.    GOODWILL, TRADE NAMES, AND OTHER INTANGIBLE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had the following acquired intangible assets:</w:t>
      </w:r>
    </w:p>
    <w:tbl>
      <w:tblPr>
        <w:tblW w:w="10205" w:type="dxa"/>
        <w:jc w:val="left"/>
        <w:tblInd w:w="0" w:type="dxa"/>
        <w:tblCellMar>
          <w:top w:w="28" w:type="dxa"/>
          <w:left w:w="28" w:type="dxa"/>
          <w:bottom w:w="28" w:type="dxa"/>
          <w:right w:w="28" w:type="dxa"/>
        </w:tblCellMar>
      </w:tblPr>
      <w:tblGrid>
        <w:gridCol w:w="653"/>
        <w:gridCol w:w="552"/>
        <w:gridCol w:w="557"/>
        <w:gridCol w:w="211"/>
        <w:gridCol w:w="826"/>
        <w:gridCol w:w="109"/>
        <w:gridCol w:w="109"/>
        <w:gridCol w:w="109"/>
        <w:gridCol w:w="109"/>
        <w:gridCol w:w="252"/>
        <w:gridCol w:w="862"/>
        <w:gridCol w:w="132"/>
        <w:gridCol w:w="109"/>
        <w:gridCol w:w="109"/>
        <w:gridCol w:w="109"/>
        <w:gridCol w:w="211"/>
        <w:gridCol w:w="721"/>
        <w:gridCol w:w="109"/>
        <w:gridCol w:w="109"/>
        <w:gridCol w:w="109"/>
        <w:gridCol w:w="109"/>
        <w:gridCol w:w="211"/>
        <w:gridCol w:w="721"/>
        <w:gridCol w:w="109"/>
        <w:gridCol w:w="109"/>
        <w:gridCol w:w="109"/>
        <w:gridCol w:w="109"/>
        <w:gridCol w:w="252"/>
        <w:gridCol w:w="862"/>
        <w:gridCol w:w="132"/>
        <w:gridCol w:w="109"/>
        <w:gridCol w:w="109"/>
        <w:gridCol w:w="109"/>
        <w:gridCol w:w="211"/>
        <w:gridCol w:w="721"/>
        <w:gridCol w:w="156"/>
      </w:tblGrid>
      <w:tr>
        <w:trPr/>
        <w:tc>
          <w:tcPr>
            <w:tcW w:w="65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87"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29"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7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w:t>
              <w:br/>
              <w:t>Carrying</w:t>
              <w:br/>
              <w:t>Amount</w:t>
            </w:r>
          </w:p>
        </w:tc>
      </w:tr>
      <w:tr>
        <w:trPr/>
        <w:tc>
          <w:tcPr>
            <w:tcW w:w="1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3" w:type="dxa"/>
            <w:gridSpan w:val="3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10205" w:type="dxa"/>
            <w:gridSpan w:val="36"/>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r>
      <w:tr>
        <w:trPr/>
        <w:tc>
          <w:tcPr>
            <w:tcW w:w="17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Databases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Non-compete agreements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47,716 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62"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8"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not subject to amortization:</w:t>
            </w:r>
          </w:p>
        </w:tc>
      </w:tr>
      <w:tr>
        <w:trPr/>
        <w:tc>
          <w:tcPr>
            <w:tcW w:w="1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names, indefinite-lived</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5,900 </w:t>
            </w:r>
          </w:p>
        </w:tc>
        <w:tc>
          <w:tcPr>
            <w:tcW w:w="156"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estimated annual amortization expense was as follows:</w:t>
      </w:r>
    </w:p>
    <w:p>
      <w:pPr>
        <w:pStyle w:val="TextBody"/>
        <w:spacing w:before="0" w:after="0"/>
        <w:rPr/>
      </w:pPr>
      <w:r>
        <w:rPr/>
      </w:r>
    </w:p>
    <w:tbl>
      <w:tblPr>
        <w:tblW w:w="4304" w:type="dxa"/>
        <w:jc w:val="left"/>
        <w:tblInd w:w="0" w:type="dxa"/>
        <w:tblCellMar>
          <w:top w:w="28" w:type="dxa"/>
          <w:left w:w="28" w:type="dxa"/>
          <w:bottom w:w="28" w:type="dxa"/>
          <w:right w:w="28" w:type="dxa"/>
        </w:tblCellMar>
      </w:tblPr>
      <w:tblGrid>
        <w:gridCol w:w="902"/>
        <w:gridCol w:w="793"/>
        <w:gridCol w:w="795"/>
        <w:gridCol w:w="352"/>
        <w:gridCol w:w="1205"/>
        <w:gridCol w:w="257"/>
      </w:tblGrid>
      <w:tr>
        <w:trPr/>
        <w:tc>
          <w:tcPr>
            <w:tcW w:w="902"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18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10,481 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9,571 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6,191 </w:t>
            </w:r>
          </w:p>
        </w:tc>
        <w:tc>
          <w:tcPr>
            <w:tcW w:w="2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13,964 </w:t>
            </w:r>
          </w:p>
        </w:tc>
        <w:tc>
          <w:tcPr>
            <w:tcW w:w="2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57,186 </w:t>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by reportable segment are as follows:</w:t>
      </w:r>
    </w:p>
    <w:tbl>
      <w:tblPr>
        <w:tblW w:w="7436" w:type="dxa"/>
        <w:jc w:val="left"/>
        <w:tblInd w:w="0" w:type="dxa"/>
        <w:tblCellMar>
          <w:top w:w="28" w:type="dxa"/>
          <w:left w:w="28" w:type="dxa"/>
          <w:bottom w:w="28" w:type="dxa"/>
          <w:right w:w="28" w:type="dxa"/>
        </w:tblCellMar>
      </w:tblPr>
      <w:tblGrid>
        <w:gridCol w:w="1231"/>
        <w:gridCol w:w="1085"/>
        <w:gridCol w:w="1088"/>
        <w:gridCol w:w="211"/>
        <w:gridCol w:w="826"/>
        <w:gridCol w:w="109"/>
        <w:gridCol w:w="109"/>
        <w:gridCol w:w="109"/>
        <w:gridCol w:w="109"/>
        <w:gridCol w:w="211"/>
        <w:gridCol w:w="721"/>
        <w:gridCol w:w="109"/>
        <w:gridCol w:w="109"/>
        <w:gridCol w:w="109"/>
        <w:gridCol w:w="109"/>
        <w:gridCol w:w="211"/>
        <w:gridCol w:w="826"/>
        <w:gridCol w:w="154"/>
      </w:tblGrid>
      <w:tr>
        <w:trPr/>
        <w:tc>
          <w:tcPr>
            <w:tcW w:w="1231"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Nurse</w:t>
              <w:br/>
              <w:t>And Allied</w:t>
              <w:br/>
              <w:t>Staffing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Physician</w:t>
              <w:br/>
              <w:t>Staffing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0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December 31, 2022</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goodwill acquired</w:t>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405,008 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483,629 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business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(269,874)</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(310,472)</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impairment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Changes to aggregate goodwill in 2023</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Goodwill acquisition adjustments</w:t>
            </w:r>
            <w:r>
              <w:rPr>
                <w:rFonts w:ascii="Times New Roman;sans-serif" w:hAnsi="Times New Roman;sans-serif"/>
                <w:b w:val="false"/>
                <w:color w:val="000000"/>
                <w:sz w:val="13"/>
              </w:rPr>
              <w:t>(a)</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(6,648)</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(15,100)</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(21,748)</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Balances as of March 31, 2023</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Aggregate goodwill acquired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461,881 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 of business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 loss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(269,874)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(310,472)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net of impairment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Represents adjustments to the fair value of the identifiable net assets acquired, with a corresponding offset to goodwill, made during the measurement period related to the acquisitions of HireUp, Mint, and a local business. The Company may record additional adjustments related to these acquisitions during the remainder of the measurement period, which is not to exceed one year from the acquisition date. Upon conclusion of the measurement period, any subsequent adjustments will be recorded to earnings. See Note 4 - Acquisitions.</w:t>
      </w:r>
    </w:p>
    <w:p>
      <w:pPr>
        <w:pStyle w:val="TextBody"/>
        <w:spacing w:before="0" w:after="0"/>
        <w:rPr/>
      </w:pPr>
      <w:r>
        <w:rPr/>
      </w:r>
    </w:p>
    <w:p>
      <w:pPr>
        <w:pStyle w:val="TextBody"/>
        <w:spacing w:lineRule="auto" w:line="26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 xml:space="preserve">Goodwill, Trade Names, and Other Intangible Assets Impairment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w:t>
      </w:r>
      <w:r>
        <w:rPr>
          <w:color w:val="000000"/>
          <w:highlight w:val="white"/>
        </w:rPr>
        <w:t xml:space="preserve"> </w:t>
      </w:r>
      <w:r>
        <w:rPr>
          <w:rFonts w:ascii="Times New Roman;sans-serif" w:hAnsi="Times New Roman;sans-serif"/>
          <w:b w:val="false"/>
          <w:color w:val="000000"/>
          <w:sz w:val="20"/>
        </w:rPr>
        <w:t>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As of March 31, 2023, the Company performed a qualitative assessment of each of its reporting units and determined it was not more likely than not that the fair value of its reporting units dropped below their carrying value. </w:t>
      </w:r>
      <w:r>
        <w:rPr>
          <w:rFonts w:ascii="Times New Roman;sans-serif" w:hAnsi="Times New Roman;sans-serif"/>
          <w:b w:val="false"/>
          <w:color w:val="000000"/>
          <w:sz w:val="20"/>
          <w:highlight w:val="white"/>
        </w:rPr>
        <w:t>A</w:t>
      </w:r>
      <w:r>
        <w:rPr>
          <w:rFonts w:ascii="Times New Roman;sans-serif" w:hAnsi="Times New Roman;sans-serif"/>
          <w:b w:val="false"/>
          <w:color w:val="000000"/>
          <w:sz w:val="20"/>
        </w:rPr>
        <w:t>lthough management believes that the Company's current estimates and assumptions utilized in its qualitative testing are reasonable and supportable, there can be no assurance that the estimates and assumptions management used for purposes of its assessment as of March 31, 2023 will prove to be accurate predictions of future performance.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For its long-lived assets and definite-lived intangible assets, the Company reviews for impairment whenever events or changes in circumstances indicate the carrying amount may not be recoverable. As of March 31, 2023, the Company performed a qualitative assessment of its trade names and other intangible assets and determined it was not more likely than not that their carrying value may not be recoverable.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long-term debt consists of the following:</w:t>
      </w:r>
    </w:p>
    <w:tbl>
      <w:tblPr>
        <w:tblW w:w="10205" w:type="dxa"/>
        <w:jc w:val="left"/>
        <w:tblInd w:w="0" w:type="dxa"/>
        <w:tblCellMar>
          <w:top w:w="28" w:type="dxa"/>
          <w:left w:w="28" w:type="dxa"/>
          <w:bottom w:w="28" w:type="dxa"/>
          <w:right w:w="28" w:type="dxa"/>
        </w:tblCellMar>
      </w:tblPr>
      <w:tblGrid>
        <w:gridCol w:w="1656"/>
        <w:gridCol w:w="1356"/>
        <w:gridCol w:w="1366"/>
        <w:gridCol w:w="211"/>
        <w:gridCol w:w="826"/>
        <w:gridCol w:w="109"/>
        <w:gridCol w:w="109"/>
        <w:gridCol w:w="109"/>
        <w:gridCol w:w="109"/>
        <w:gridCol w:w="269"/>
        <w:gridCol w:w="845"/>
        <w:gridCol w:w="139"/>
        <w:gridCol w:w="109"/>
        <w:gridCol w:w="109"/>
        <w:gridCol w:w="109"/>
        <w:gridCol w:w="211"/>
        <w:gridCol w:w="826"/>
        <w:gridCol w:w="109"/>
        <w:gridCol w:w="109"/>
        <w:gridCol w:w="109"/>
        <w:gridCol w:w="109"/>
        <w:gridCol w:w="266"/>
        <w:gridCol w:w="836"/>
        <w:gridCol w:w="199"/>
      </w:tblGrid>
      <w:tr>
        <w:trPr/>
        <w:tc>
          <w:tcPr>
            <w:tcW w:w="1656" w:type="dxa"/>
            <w:tcBorders/>
            <w:shd w:fill="auto" w:val="clear"/>
            <w:vAlign w:val="center"/>
          </w:tcPr>
          <w:p>
            <w:pPr>
              <w:pStyle w:val="TableContents"/>
              <w:spacing w:before="0" w:after="283"/>
              <w:rPr>
                <w:sz w:val="4"/>
                <w:szCs w:val="4"/>
              </w:rPr>
            </w:pPr>
            <w:r>
              <w:rPr>
                <w:sz w:val="4"/>
                <w:szCs w:val="4"/>
              </w:rPr>
            </w:r>
          </w:p>
        </w:tc>
        <w:tc>
          <w:tcPr>
            <w:tcW w:w="1356" w:type="dxa"/>
            <w:tcBorders/>
            <w:shd w:fill="auto" w:val="clear"/>
            <w:vAlign w:val="center"/>
          </w:tcPr>
          <w:p>
            <w:pPr>
              <w:pStyle w:val="TableContents"/>
              <w:spacing w:before="0" w:after="283"/>
              <w:rPr>
                <w:sz w:val="4"/>
                <w:szCs w:val="4"/>
              </w:rPr>
            </w:pPr>
            <w:r>
              <w:rPr>
                <w:sz w:val="4"/>
                <w:szCs w:val="4"/>
              </w:rPr>
            </w:r>
          </w:p>
        </w:tc>
        <w:tc>
          <w:tcPr>
            <w:tcW w:w="136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4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2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43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Principal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Debt Issuance Costs</w:t>
            </w:r>
          </w:p>
        </w:tc>
      </w:tr>
      <w:tr>
        <w:trPr/>
        <w:tc>
          <w:tcPr>
            <w:tcW w:w="43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7"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3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Term Loan, interest of 10.59% and 10.14% at March 31, 2023 and December 31, 2022, respectively</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Asset-Based Loan, interest of 6.68% and 5.90% at March 31, 2023 and December 31, 2022, respectively</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7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r>
        <w:trPr/>
        <w:tc>
          <w:tcPr>
            <w:tcW w:w="437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r>
        <w:trPr/>
        <w:tc>
          <w:tcPr>
            <w:tcW w:w="4378"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01" w:type="dxa"/>
            <w:gridSpan w:val="3"/>
            <w:tcBorders/>
            <w:shd w:fill="auto" w:val="clear"/>
            <w:vAlign w:val="center"/>
          </w:tcPr>
          <w:p>
            <w:pPr>
              <w:pStyle w:val="TableContents"/>
              <w:spacing w:before="0" w:after="283"/>
              <w:rPr>
                <w:sz w:val="4"/>
                <w:szCs w:val="4"/>
              </w:rPr>
            </w:pPr>
            <w:r>
              <w:rPr>
                <w:sz w:val="4"/>
                <w:szCs w:val="4"/>
              </w:rPr>
            </w:r>
          </w:p>
        </w:tc>
      </w:tr>
      <w:tr>
        <w:trPr/>
        <w:tc>
          <w:tcPr>
            <w:tcW w:w="43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all debt is included in long-term debt on the condensed consolidated balance sheets. The Company has elected to present the debt issuance costs associated with its revolving line-of-credit as an asset, which is included in other non-current assets on the condensed consolidated balance sheets. As a result, the long-term debt in the above table will not agree to long-term debt, net of current portion on the condensed consolidated balance sheets herein.</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In addition to its scheduled payments, the Company made optional prepayments of $50.0 million on its term loan on June 23, 2022 and October 26, 2022, totaling $100.0 million, to reduce interest costs. The Company was entitled to determine the application of the prepayments, which were applied to all future amortization payments, with the balance applied to the remaining balloon payment in 2027. As of March 31, 2023, the aggregate schedule for maturities of debt was as follows:</w:t>
      </w:r>
    </w:p>
    <w:tbl>
      <w:tblPr>
        <w:tblW w:w="8098" w:type="dxa"/>
        <w:jc w:val="left"/>
        <w:tblInd w:w="0" w:type="dxa"/>
        <w:tblCellMar>
          <w:top w:w="28" w:type="dxa"/>
          <w:left w:w="28" w:type="dxa"/>
          <w:bottom w:w="28" w:type="dxa"/>
          <w:right w:w="28" w:type="dxa"/>
        </w:tblCellMar>
      </w:tblPr>
      <w:tblGrid>
        <w:gridCol w:w="1190"/>
        <w:gridCol w:w="1046"/>
        <w:gridCol w:w="1049"/>
        <w:gridCol w:w="219"/>
        <w:gridCol w:w="748"/>
        <w:gridCol w:w="113"/>
        <w:gridCol w:w="109"/>
        <w:gridCol w:w="109"/>
        <w:gridCol w:w="109"/>
        <w:gridCol w:w="592"/>
        <w:gridCol w:w="2025"/>
        <w:gridCol w:w="308"/>
        <w:gridCol w:w="109"/>
        <w:gridCol w:w="109"/>
        <w:gridCol w:w="109"/>
        <w:gridCol w:w="154"/>
      </w:tblGrid>
      <w:tr>
        <w:trPr/>
        <w:tc>
          <w:tcPr>
            <w:tcW w:w="1190"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74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2025"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Term Loan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Senior Secured Asset-Based Loan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2"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Through Years Ending December 31:</w:t>
            </w:r>
          </w:p>
        </w:tc>
        <w:tc>
          <w:tcPr>
            <w:tcW w:w="10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5"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73,875 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66,400 </w:t>
            </w:r>
          </w:p>
        </w:tc>
        <w:tc>
          <w:tcPr>
            <w:tcW w:w="3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9"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73,875 </w:t>
            </w:r>
          </w:p>
        </w:tc>
        <w:tc>
          <w:tcPr>
            <w:tcW w:w="113"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2"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25"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66,400 </w:t>
            </w:r>
          </w:p>
        </w:tc>
        <w:tc>
          <w:tcPr>
            <w:tcW w:w="308" w:type="dxa"/>
            <w:tcBorders>
              <w:top w:val="single" w:sz="16"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2021 Term Loan Credit Agreement</w:t>
      </w:r>
    </w:p>
    <w:p>
      <w:pPr>
        <w:pStyle w:val="TextBody"/>
        <w:spacing w:lineRule="auto" w:line="268" w:before="0" w:after="0"/>
        <w:rPr/>
      </w:pPr>
      <w:r>
        <w:rPr>
          <w:rFonts w:ascii="Times New Roman;sans-serif" w:hAnsi="Times New Roman;sans-serif"/>
          <w:b w:val="false"/>
          <w:color w:val="000000"/>
          <w:sz w:val="20"/>
        </w:rPr>
        <w:t>On June 8, 2021, the Company entered into a Term Loan Credit Agreement (Term Loan Agreement) with</w:t>
      </w:r>
      <w:r>
        <w:rPr>
          <w:color w:val="000000"/>
          <w:highlight w:val="white"/>
        </w:rPr>
        <w:t xml:space="preserve"> </w:t>
      </w:r>
      <w:r>
        <w:rPr>
          <w:rFonts w:ascii="Times New Roman;sans-serif" w:hAnsi="Times New Roman;sans-serif"/>
          <w:b w:val="false"/>
          <w:color w:val="000000"/>
          <w:sz w:val="20"/>
          <w:highlight w:val="white"/>
        </w:rPr>
        <w:t>certain lenders identified therein (collectively, the Lenders) and Wilmington Trust</w:t>
      </w:r>
      <w:r>
        <w:rPr>
          <w:rFonts w:ascii="Times New Roman;sans-serif" w:hAnsi="Times New Roman;sans-serif"/>
          <w:b w:val="false"/>
          <w:color w:val="000000"/>
          <w:sz w:val="20"/>
        </w:rPr>
        <w:t>, National Association as administrative agent and collateral agent, pursuant to which the Lenders extended to the Company a six-year second lien subordinated term loan in the amount of $100.0 million (term loan). The term loan has an interest rate of one-month London Inter-Bank Offered Rate (LIBOR) plus 5.75% per annum, subject to a 0.75% LIBOR floor. Fees paid in connection with the Term Loan Agreement have been included as debt issuance costs and as a reduction to the carrying amount of the term loan and are expected to be amortized to interest expense over the term of the Term Loan Agreement.</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68" w:before="0" w:after="120"/>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March 31, 2023. Obligations under the Term Loan Agreement are secured by substantially all the assets of the borrowers and guarantors under the Term Loan Agreement, subject to customary exceptions.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amended its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were used primarily to fund organic growth. Commencing on December 31, 2021, installments of the mandatory prepayments will be in the aggregate principal amount of $0.4 million. All other terms, conditions, covenants, and pricing of the Term Loan Agreement remain the same. In conjunction with the Term Loan First Amendment, the Company entered into the Term Loan First Amendment to the Intercreditor Agreement (as defined below), effective as of November 18, 2021, which sets forth the lien priority, relative rights, and other creditors’ rights issues in respect of the collateral lenders.</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On April 14, 2023, the Company amended its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will be equal to the Term SOFR (as defined in the Term Loan Second Amendment) for the interest period plus an adjustment of 10 basis points due to the credit spread associated with the transition to SOFR. All other terms, conditions, covenants, and pricing of the Term Loan Agreement remain the same.</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early prepayments totaling $100 million, the Company incurred prepayment premiums of $1.0 million pursuant to the Term Loan Agreement, and debt issuance costs of $1.4 million and $1.3 million were written off in the second and fourth quarters of 2022, respectively. The prepayment premiums and the write-off of debt issuance costs are included as loss on early extinguishment of debt in the condensed consolidated statements of operations and comprehensive income.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term loan is secured by a second-priority security interest in the collateral as defined in the ABL Credit Agreement (Loan Agreement) (as described below), and Wells Fargo Bank, National Association as agent, as amended by the First Amendment, Second Amendment, Third Amendment, Fourth Amendment, and Fifth Amendment (each as defined below) to the Loan Agreement. The lien priority, relative rights, and other creditors’ rights issues in respect of the collateral lenders are set forth in the Intercreditor Agreement, by and among Wells Fargo Bank, National Association, as first lien agent, and Wilmington Trust, National Association, as second lien agent, as amended, restated, amended and restated, supplemented or otherwise modified from time to time in accordance with the terms thereof dated June 8, 2021 (Intercreditor Agreement).</w:t>
      </w:r>
    </w:p>
    <w:p>
      <w:pPr>
        <w:pStyle w:val="TextBody"/>
        <w:spacing w:before="0" w:after="0"/>
        <w:rPr/>
      </w:pPr>
      <w:r>
        <w:rPr/>
      </w:r>
    </w:p>
    <w:p>
      <w:pPr>
        <w:pStyle w:val="TextBody"/>
        <w:spacing w:lineRule="auto" w:line="288" w:before="0" w:after="120"/>
        <w:jc w:val="both"/>
        <w:rPr>
          <w:rFonts w:ascii="Times New Roman;sans-serif" w:hAnsi="Times New Roman;sans-serif"/>
          <w:b/>
          <w:i/>
          <w:color w:val="000000"/>
          <w:sz w:val="20"/>
        </w:rPr>
      </w:pPr>
      <w:r>
        <w:rPr>
          <w:rFonts w:ascii="Times New Roman;sans-serif" w:hAnsi="Times New Roman;sans-serif"/>
          <w:b/>
          <w:i/>
          <w:color w:val="000000"/>
          <w:sz w:val="20"/>
        </w:rPr>
        <w:t>2019 Loan Agreement</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Effective October 25, 2019, the Company terminated its prior senior credit facility and entered into a Loan Agreement, by and among the Company and certain of its domestic subsidiaries, as borrowers or guarantors, Wells Fargo, PNC Bank N.A., as well as other Lenders (as defined therein) from time to time parties thereto (Loan Agreement). The Loan Agreement provides for a five-year revolving senior secured asset-based credit facility (ABL) in the aggregate principal amount of up to $120.0 million, including a sublimit for swing loans up to $15.0 million and a $35.0 million sublimit for standby letters of credit.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2020, the Company amended its Loan Agreement (First Amendment), which increased the current aggregate committed size of the ABL from $120.0 million to $130.0 million. All other terms, conditions, covenants, and pricing of the Loan Agreement remained the same. </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8, 2021, the Company amended its Loan Agreement (Second Amendment), which increased the current aggregate committed size of the ABL from $130.0 million to $150.0 million, increased certain borrowing base sub-limits, and decreased both the cash dominion event and financial reporting triggers.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June 8, 2021, the Company amended its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November 18, 2021, the Company amended its Loan Agreement (Fourth Amendment), whereby the permitted indebtedness (as defined in the Loan Agreement), was increased to $175.0 million.</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On March 21, 2022, the Company amended its Loan Agreement (Fifth Amendment), which increased the current aggregate committed size of the ABL from $150.0 million to $300.0 million, extended the credit facility for an additional five years, and increased certain borrowing base sub-limits. In addition, the agreement provides the option for all or a portion of the borrowings to bear interest at a rate based on the SOFR or the Base Rate, at the election of the borrowers, plus an applicable margin. The applicable margin will increase 10 basis points due to the credit spread associated with the transition to SOFR.</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These amendments were treated as modifications of debt and, as a result, the associated fees and costs were included in debt issuance costs and will be amortized ratably over the remaining term of the Loan Agreement.</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Availability of the ABL commitments is subject to a borrowing base of up to 85% of secured eligible accounts receivable, subject to adjustment at certain quality levels, minus customary reserves and subject to customary adjustments. Revolving loans and letters of credit issued under the Loan Agreement reduce availability under the ABL on a dollar-for-dollar basis. At March 31, 2023, borrowing base availability under the ABL was $300.0 million and the Company had $66.4 million of borrowings drawn, as well as $18.2 million of letters of credit outstanding related to workers' compensation and professional liability policies, leaving $215.4 million of excess availability.</w:t>
      </w:r>
    </w:p>
    <w:p>
      <w:pPr>
        <w:pStyle w:val="TextBody"/>
        <w:spacing w:lineRule="auto" w:line="288" w:before="120" w:after="283"/>
        <w:rPr/>
      </w:pPr>
      <w:r>
        <w:rPr>
          <w:rFonts w:ascii="Times New Roman;sans-serif" w:hAnsi="Times New Roman;sans-serif"/>
          <w:b w:val="false"/>
          <w:color w:val="000000"/>
          <w:sz w:val="20"/>
        </w:rPr>
        <w:t>As of March 31, 2023, the interest rate spreads and fees under the Loan Agreement were based on SOFR plus 1.60% for the revolving portion of the borrowing base. The Base Rate (as defined by the Loan Agreement) margin would have been 0.50% for the revolving portion</w:t>
      </w:r>
      <w:r>
        <w:rPr>
          <w:rFonts w:ascii="Times New Roman;sans-serif" w:hAnsi="Times New Roman;sans-serif"/>
          <w:b w:val="false"/>
          <w:color w:val="000000"/>
          <w:sz w:val="20"/>
          <w:highlight w:val="white"/>
        </w:rPr>
        <w:t>.</w:t>
      </w:r>
      <w:r>
        <w:rPr>
          <w:color w:val="000000"/>
        </w:rPr>
        <w:t xml:space="preserve"> </w:t>
      </w:r>
      <w:r>
        <w:rPr>
          <w:rFonts w:ascii="Times New Roman;sans-serif" w:hAnsi="Times New Roman;sans-serif"/>
          <w:b w:val="false"/>
          <w:color w:val="000000"/>
          <w:sz w:val="20"/>
        </w:rPr>
        <w:t>The SOFR and Base Rate margins are subject to monthly pricing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The Loan Agreement contains various restrictions and covenants applicable to the Company and its subsidiaries, including a covenant to maintain a minimum fixed charge coverage ratio. The Company was in compliance with this covenant as of March 31, 2023. Obligations under the ABL are secured by substantially all the assets of the borrowers and guarantors, subject to customary exceptions.</w:t>
      </w:r>
    </w:p>
    <w:p>
      <w:pPr>
        <w:pStyle w:val="TextBody"/>
        <w:spacing w:before="120" w:after="1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9.    LEASES</w:t>
      </w:r>
    </w:p>
    <w:p>
      <w:pPr>
        <w:pStyle w:val="TextBody"/>
        <w:spacing w:before="0" w:after="0"/>
        <w:ind w:left="0" w:right="0" w:hanging="72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months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Beginning in the second quarter of 2020, in connection with the global pandemic, the Company expedited restructuring plans and either reduced or fully vacated leased office space. The decision and change in the use of space resulted in a right-of-use asset impairment charge of $1.5 million for the three months ended March 31, 2022. This loss was determined by comparing the fair value of the impacted right-of-use assets to the carrying value of the assets as of the impairment measurement date. The fair value of the right-of-use assets was based on the estimated sublease income for the space taking into consideration the time period it will take to obtain a subtenant, the applicable discount rate, and the sublease rate. For the three months ended March 31, 2022, the Company wrote off an immaterial amount of leasehold improvements and other property and equipment related to these locations. The Company did not record any lease-related impairment charges for the three months ended March 31, 2023. The measurement of the right-of-use asset impairments, using the assumptions described, is a Level 3 fair value measurement. See Note 10 - Fair Value Measurements for a description of Level 3 inputs.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lease-related assets and liabilities included on the condensed consolidated balance sheets:</w:t>
      </w:r>
    </w:p>
    <w:p>
      <w:pPr>
        <w:pStyle w:val="TextBody"/>
        <w:spacing w:before="0" w:after="0"/>
        <w:rPr/>
      </w:pPr>
      <w:r>
        <w:rPr/>
      </w:r>
    </w:p>
    <w:tbl>
      <w:tblPr>
        <w:tblW w:w="8545" w:type="dxa"/>
        <w:jc w:val="left"/>
        <w:tblInd w:w="0" w:type="dxa"/>
        <w:tblCellMar>
          <w:top w:w="28" w:type="dxa"/>
          <w:left w:w="28" w:type="dxa"/>
          <w:bottom w:w="28" w:type="dxa"/>
          <w:right w:w="28" w:type="dxa"/>
        </w:tblCellMar>
      </w:tblPr>
      <w:tblGrid>
        <w:gridCol w:w="1814"/>
        <w:gridCol w:w="1594"/>
        <w:gridCol w:w="1602"/>
        <w:gridCol w:w="324"/>
        <w:gridCol w:w="948"/>
        <w:gridCol w:w="167"/>
        <w:gridCol w:w="109"/>
        <w:gridCol w:w="109"/>
        <w:gridCol w:w="109"/>
        <w:gridCol w:w="380"/>
        <w:gridCol w:w="1110"/>
        <w:gridCol w:w="279"/>
      </w:tblGrid>
      <w:tr>
        <w:trPr/>
        <w:tc>
          <w:tcPr>
            <w:tcW w:w="1814" w:type="dxa"/>
            <w:tcBorders/>
            <w:shd w:fill="auto" w:val="clear"/>
            <w:vAlign w:val="center"/>
          </w:tcPr>
          <w:p>
            <w:pPr>
              <w:pStyle w:val="TableContents"/>
              <w:spacing w:before="0" w:after="283"/>
              <w:rPr>
                <w:sz w:val="4"/>
                <w:szCs w:val="4"/>
              </w:rPr>
            </w:pPr>
            <w:r>
              <w:rPr>
                <w:sz w:val="4"/>
                <w:szCs w:val="4"/>
              </w:rPr>
            </w:r>
          </w:p>
        </w:tc>
        <w:tc>
          <w:tcPr>
            <w:tcW w:w="1594"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Classification on Condensed Consolidated Balance Sheets:</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0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2,506 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current</w:t>
            </w:r>
          </w:p>
        </w:tc>
        <w:tc>
          <w:tcPr>
            <w:tcW w:w="3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3,584 </w:t>
            </w:r>
          </w:p>
        </w:tc>
        <w:tc>
          <w:tcPr>
            <w:tcW w:w="1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2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4,880 </w:t>
            </w:r>
          </w:p>
        </w:tc>
        <w:tc>
          <w:tcPr>
            <w:tcW w:w="2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1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tbl>
      <w:tblPr>
        <w:tblW w:w="6850" w:type="dxa"/>
        <w:jc w:val="center"/>
        <w:tblInd w:w="0" w:type="dxa"/>
        <w:tblCellMar>
          <w:top w:w="28" w:type="dxa"/>
          <w:left w:w="28" w:type="dxa"/>
          <w:bottom w:w="28" w:type="dxa"/>
          <w:right w:w="28" w:type="dxa"/>
        </w:tblCellMar>
      </w:tblPr>
      <w:tblGrid>
        <w:gridCol w:w="1198"/>
        <w:gridCol w:w="1055"/>
        <w:gridCol w:w="1062"/>
        <w:gridCol w:w="319"/>
        <w:gridCol w:w="319"/>
        <w:gridCol w:w="801"/>
        <w:gridCol w:w="109"/>
        <w:gridCol w:w="109"/>
        <w:gridCol w:w="109"/>
        <w:gridCol w:w="360"/>
        <w:gridCol w:w="360"/>
        <w:gridCol w:w="1049"/>
      </w:tblGrid>
      <w:tr>
        <w:trPr/>
        <w:tc>
          <w:tcPr>
            <w:tcW w:w="1198"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years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years</w:t>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6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80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04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table below reconciles the undiscounted cash flows for each of, and total of, the remaining years to the operating lease liabilities (which do not include short-term leases) recorded on the condensed consolidated balance sheets as of March 31, 2023:</w:t>
      </w:r>
    </w:p>
    <w:tbl>
      <w:tblPr>
        <w:tblW w:w="6419" w:type="dxa"/>
        <w:jc w:val="left"/>
        <w:tblInd w:w="0" w:type="dxa"/>
        <w:tblCellMar>
          <w:top w:w="28" w:type="dxa"/>
          <w:left w:w="28" w:type="dxa"/>
          <w:bottom w:w="28" w:type="dxa"/>
          <w:right w:w="28" w:type="dxa"/>
        </w:tblCellMar>
      </w:tblPr>
      <w:tblGrid>
        <w:gridCol w:w="1587"/>
        <w:gridCol w:w="1394"/>
        <w:gridCol w:w="1399"/>
        <w:gridCol w:w="438"/>
        <w:gridCol w:w="1281"/>
        <w:gridCol w:w="320"/>
      </w:tblGrid>
      <w:tr>
        <w:trPr/>
        <w:tc>
          <w:tcPr>
            <w:tcW w:w="1587" w:type="dxa"/>
            <w:tcBorders/>
            <w:shd w:fill="auto" w:val="clear"/>
            <w:vAlign w:val="center"/>
          </w:tcPr>
          <w:p>
            <w:pPr>
              <w:pStyle w:val="TableContents"/>
              <w:spacing w:before="0" w:after="283"/>
              <w:rPr>
                <w:sz w:val="4"/>
                <w:szCs w:val="4"/>
              </w:rPr>
            </w:pPr>
            <w:r>
              <w:rPr>
                <w:sz w:val="4"/>
                <w:szCs w:val="4"/>
              </w:rPr>
            </w:r>
          </w:p>
        </w:tc>
        <w:tc>
          <w:tcPr>
            <w:tcW w:w="1394" w:type="dxa"/>
            <w:tcBorders/>
            <w:shd w:fill="auto" w:val="clear"/>
            <w:vAlign w:val="center"/>
          </w:tcPr>
          <w:p>
            <w:pPr>
              <w:pStyle w:val="TableContents"/>
              <w:spacing w:before="0" w:after="283"/>
              <w:rPr>
                <w:sz w:val="4"/>
                <w:szCs w:val="4"/>
              </w:rPr>
            </w:pPr>
            <w:r>
              <w:rPr>
                <w:sz w:val="4"/>
                <w:szCs w:val="4"/>
              </w:rPr>
            </w:r>
          </w:p>
        </w:tc>
        <w:tc>
          <w:tcPr>
            <w:tcW w:w="1399"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43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Years Ending December 31:</w:t>
            </w:r>
          </w:p>
        </w:tc>
        <w:tc>
          <w:tcPr>
            <w:tcW w:w="20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4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7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3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payments</w:t>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amount of lease payments representing interest</w:t>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future minimum lease payments</w:t>
            </w:r>
          </w:p>
        </w:tc>
        <w:tc>
          <w:tcPr>
            <w:tcW w:w="171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operating lease liabilities - current</w:t>
            </w:r>
          </w:p>
        </w:tc>
        <w:tc>
          <w:tcPr>
            <w:tcW w:w="17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(3,584)</w:t>
            </w:r>
          </w:p>
        </w:tc>
        <w:tc>
          <w:tcPr>
            <w:tcW w:w="3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non-current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3,845 </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information regarding supplemental cash flows:</w:t>
      </w:r>
    </w:p>
    <w:tbl>
      <w:tblPr>
        <w:tblW w:w="8873" w:type="dxa"/>
        <w:jc w:val="left"/>
        <w:tblInd w:w="0" w:type="dxa"/>
        <w:tblCellMar>
          <w:top w:w="28" w:type="dxa"/>
          <w:left w:w="28" w:type="dxa"/>
          <w:bottom w:w="28" w:type="dxa"/>
          <w:right w:w="28" w:type="dxa"/>
        </w:tblCellMar>
      </w:tblPr>
      <w:tblGrid>
        <w:gridCol w:w="2401"/>
        <w:gridCol w:w="2109"/>
        <w:gridCol w:w="2119"/>
        <w:gridCol w:w="211"/>
        <w:gridCol w:w="616"/>
        <w:gridCol w:w="109"/>
        <w:gridCol w:w="109"/>
        <w:gridCol w:w="109"/>
        <w:gridCol w:w="109"/>
        <w:gridCol w:w="211"/>
        <w:gridCol w:w="616"/>
        <w:gridCol w:w="154"/>
      </w:tblGrid>
      <w:tr>
        <w:trPr/>
        <w:tc>
          <w:tcPr>
            <w:tcW w:w="2401" w:type="dxa"/>
            <w:tcBorders/>
            <w:shd w:fill="auto" w:val="clear"/>
            <w:vAlign w:val="center"/>
          </w:tcPr>
          <w:p>
            <w:pPr>
              <w:pStyle w:val="TableContents"/>
              <w:spacing w:before="0" w:after="283"/>
              <w:rPr>
                <w:sz w:val="4"/>
                <w:szCs w:val="4"/>
              </w:rPr>
            </w:pPr>
            <w:r>
              <w:rPr>
                <w:sz w:val="4"/>
                <w:szCs w:val="4"/>
              </w:rPr>
            </w:r>
          </w:p>
        </w:tc>
        <w:tc>
          <w:tcPr>
            <w:tcW w:w="2109" w:type="dxa"/>
            <w:tcBorders/>
            <w:shd w:fill="auto" w:val="clear"/>
            <w:vAlign w:val="center"/>
          </w:tcPr>
          <w:p>
            <w:pPr>
              <w:pStyle w:val="TableContents"/>
              <w:spacing w:before="0" w:after="283"/>
              <w:rPr>
                <w:sz w:val="4"/>
                <w:szCs w:val="4"/>
              </w:rPr>
            </w:pPr>
            <w:r>
              <w:rPr>
                <w:sz w:val="4"/>
                <w:szCs w:val="4"/>
              </w:rPr>
            </w:r>
          </w:p>
        </w:tc>
        <w:tc>
          <w:tcPr>
            <w:tcW w:w="21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r>
      <w:tr>
        <w:trPr/>
        <w:tc>
          <w:tcPr>
            <w:tcW w:w="6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r>
      <w:tr>
        <w:trPr/>
        <w:tc>
          <w:tcPr>
            <w:tcW w:w="6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operating lease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acquired under operating lease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 are as follows:</w:t>
      </w:r>
    </w:p>
    <w:tbl>
      <w:tblPr>
        <w:tblW w:w="10205" w:type="dxa"/>
        <w:jc w:val="left"/>
        <w:tblInd w:w="0" w:type="dxa"/>
        <w:tblCellMar>
          <w:top w:w="28" w:type="dxa"/>
          <w:left w:w="28" w:type="dxa"/>
          <w:bottom w:w="28" w:type="dxa"/>
          <w:right w:w="28" w:type="dxa"/>
        </w:tblCellMar>
      </w:tblPr>
      <w:tblGrid>
        <w:gridCol w:w="2858"/>
        <w:gridCol w:w="2514"/>
        <w:gridCol w:w="2519"/>
        <w:gridCol w:w="211"/>
        <w:gridCol w:w="466"/>
        <w:gridCol w:w="109"/>
        <w:gridCol w:w="109"/>
        <w:gridCol w:w="109"/>
        <w:gridCol w:w="109"/>
        <w:gridCol w:w="211"/>
        <w:gridCol w:w="616"/>
        <w:gridCol w:w="109"/>
        <w:gridCol w:w="109"/>
        <w:gridCol w:w="156"/>
      </w:tblGrid>
      <w:tr>
        <w:trPr/>
        <w:tc>
          <w:tcPr>
            <w:tcW w:w="2858"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25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c>
        <w:tc>
          <w:tcPr>
            <w:tcW w:w="265" w:type="dxa"/>
            <w:gridSpan w:val="2"/>
            <w:tcBorders/>
            <w:shd w:fill="auto" w:val="clear"/>
          </w:tcPr>
          <w:p>
            <w:pPr>
              <w:pStyle w:val="TableContents"/>
              <w:spacing w:before="0" w:after="283"/>
              <w:rPr>
                <w:sz w:val="4"/>
                <w:szCs w:val="4"/>
              </w:rPr>
            </w:pPr>
            <w:r>
              <w:rPr>
                <w:sz w:val="4"/>
                <w:szCs w:val="4"/>
              </w:rPr>
            </w:r>
          </w:p>
        </w:tc>
      </w:tr>
      <w:tr>
        <w:trPr/>
        <w:tc>
          <w:tcPr>
            <w:tcW w:w="7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Amounts Included in Condensed Consolidated Statements of Operations and Comprehensive Income:</w:t>
            </w:r>
          </w:p>
        </w:tc>
        <w:tc>
          <w:tcPr>
            <w:tcW w:w="7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and other lease costs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1528" w:type="dxa"/>
            <w:gridSpan w:val="8"/>
            <w:tcBorders/>
            <w:shd w:fill="auto" w:val="clea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7891"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Operating lease expense, short-term lease expense, and variable and other lease costs are included in selling, general and administrative expenses, direct operating expenses, and restructuring costs in the condensed consolidated statements of operations and comprehensive income, depending on the nature of the leased asset. Operating lease expense is reported net of sublease income, which is not material.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did not have any material operating leases that had not yet commenced. The Company does not have any finance lease contracts related to other equipment rentals which are not included in the above disclosures.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10.    FAIR VALUE MEASUREMENTS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Unobservable inputs that are supported by little or no market activity and that are significant to the fair value of the assets or liabilities.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Items Measured at Fair Value on a Recurring Basis: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assets/liabilities required to be measured on a recurring basis were primarily its: (i) deferred compensation asset included in other non-current assets; and (ii) deferred compensation liability included in other non-current liabilities on its condensed consolidated balance sheets.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Deferred compensation</w:t>
      </w:r>
      <w:r>
        <w:rPr>
          <w:color w:val="000000"/>
        </w:rPr>
        <w:t>—</w:t>
      </w:r>
      <w:r>
        <w:rPr>
          <w:rFonts w:ascii="Times New Roman;sans-serif" w:hAnsi="Times New Roman;sans-serif"/>
          <w:b w:val="false"/>
          <w:color w:val="000000"/>
          <w:sz w:val="20"/>
        </w:rPr>
        <w:t>The Company utilizes Level 1 inputs to value its deferred compensation assets and liabilities. The Company’s deferred compensation assets and liabilities are measured using publicly available indices, as per the plan documents.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Company’s financial assets and liabilities measured on a recurring basis is as follows: </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w:t>
      </w:r>
    </w:p>
    <w:tbl>
      <w:tblPr>
        <w:tblW w:w="6235" w:type="dxa"/>
        <w:jc w:val="center"/>
        <w:tblInd w:w="0" w:type="dxa"/>
        <w:tblCellMar>
          <w:top w:w="28" w:type="dxa"/>
          <w:left w:w="28" w:type="dxa"/>
          <w:bottom w:w="28" w:type="dxa"/>
          <w:right w:w="28" w:type="dxa"/>
        </w:tblCellMar>
      </w:tblPr>
      <w:tblGrid>
        <w:gridCol w:w="978"/>
        <w:gridCol w:w="859"/>
        <w:gridCol w:w="863"/>
        <w:gridCol w:w="324"/>
        <w:gridCol w:w="948"/>
        <w:gridCol w:w="167"/>
        <w:gridCol w:w="109"/>
        <w:gridCol w:w="109"/>
        <w:gridCol w:w="109"/>
        <w:gridCol w:w="380"/>
        <w:gridCol w:w="1110"/>
        <w:gridCol w:w="279"/>
      </w:tblGrid>
      <w:tr>
        <w:trPr/>
        <w:tc>
          <w:tcPr>
            <w:tcW w:w="97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3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Assets:</w:t>
            </w:r>
          </w:p>
        </w:tc>
        <w:tc>
          <w:tcPr>
            <w:tcW w:w="143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(Level 1)</w:t>
            </w:r>
          </w:p>
        </w:tc>
        <w:tc>
          <w:tcPr>
            <w:tcW w:w="143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asset</w:t>
            </w:r>
          </w:p>
        </w:tc>
        <w:tc>
          <w:tcPr>
            <w:tcW w:w="32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2,815 </w:t>
            </w:r>
          </w:p>
        </w:tc>
        <w:tc>
          <w:tcPr>
            <w:tcW w:w="1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2,477 </w:t>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3535" w:type="dxa"/>
            <w:gridSpan w:val="9"/>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(Level 1)</w:t>
            </w:r>
          </w:p>
        </w:tc>
        <w:tc>
          <w:tcPr>
            <w:tcW w:w="143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324"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8"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2,654 </w:t>
            </w:r>
          </w:p>
        </w:tc>
        <w:tc>
          <w:tcPr>
            <w:tcW w:w="167"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bottom w:val="doub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279" w:type="dxa"/>
            <w:tcBorders>
              <w:bottom w:val="double" w:sz="8" w:space="0" w:color="000000"/>
            </w:tcBorders>
            <w:shd w:fill="FFFF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43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6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Items Measured at Fair Value on a Non-Recurring Basis: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non-financial assets, such as goodwill, trade names, other intangible assets, right-of-use assets, and property and equipment, are measured at fair value when there is an indicator of impairment and are recorded at fair value only when an impairment charge is recognized.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three months ended March 31, 2022 included impairment charges to right-of-use assets along with related property and equipment in connection with leases that were vacated. Accordingly, as of March 31, 2022, these assets were recorded at fair value using Level 3 inputs. See Note 9 - Leases for more information about these fair value measurements.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Fair Value Disclosures:</w:t>
      </w:r>
    </w:p>
    <w:p>
      <w:pPr>
        <w:pStyle w:val="TextBody"/>
        <w:spacing w:lineRule="auto" w:line="288" w:before="0" w:after="0"/>
        <w:jc w:val="both"/>
        <w:rPr>
          <w:color w:val="000000"/>
        </w:rPr>
      </w:pPr>
      <w:r>
        <w:rPr>
          <w:color w:val="000000"/>
        </w:rPr>
        <w:t> </w:t>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 Other financial instruments not measured or recorded at fair value include: (i) ABL, (ii) term loan, and (iii) through (v) earnout liabilities related to the WSG, Mint, and HireUp acquisitions, as discussed below.</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(i) The carrying amount of the Company's ABL approximates fair value because the interest rates are variable and reflective of market rates. (ii) The estimated fair value of the Company's term loan was calculated applying an interest rate lattice model using Level 2 inputs from available market information. (iii) Potential earnout payments related to the WSG acquisition are contingent upon meeting certain performance requirements based on 2021 through 2023 performance. The Company performed an analysis using multiple forecasted scenarios to determine the fair value of the earnout liability. In the third quarter of 2022, the Company determined that the contingent consideration earnout related to the WSG acquisition was achieved for the 2021 through 2022 period and, as a result, the Company made a $7.5 million earnout payment. The remaining earnout liability's carrying amount approximates fair value and is included in current portion of earnout liability on the condensed consolidated balance sheets. See Note 4 - Acquisitions. (iv) Potential earnout payments related to the Mint acquisition are contingent upon meeting certain performance requirements based on 2022 through 2024 performance. The Company performed an analysis using multiple forecasted scenarios to determine the fair value of the earnout liability. The earnout liability's carrying amount approximates fair value and the short-term portion of the liability of $5.0 million is included in current portion of earnout liability and the long-term portion of the liability of $5.0 million is included in non-current earnout liability on the condensed consolidated balance sheets. See Note 4 - Acquisitions. (v) Potential earnout payments related to the HireUp acquisition are contingent upon meeting certain performance requirements based on 2022 through 2024 performance. The Company performed an analysis using multiple forecasted scenarios to determine the fair value of the earnout liability. The earnout liability's carrying amount approximates fair value and is included in non-current earnout liability on the condensed consolidated balance sheets. See Note 4 - Acquisitions.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carrying amounts and estimated fair value of the Company’s significant financial instruments that were not measured at fair value are as follows:</w:t>
      </w:r>
    </w:p>
    <w:tbl>
      <w:tblPr>
        <w:tblW w:w="8025" w:type="dxa"/>
        <w:jc w:val="left"/>
        <w:tblInd w:w="0" w:type="dxa"/>
        <w:tblCellMar>
          <w:top w:w="28" w:type="dxa"/>
          <w:left w:w="28" w:type="dxa"/>
          <w:bottom w:w="28" w:type="dxa"/>
          <w:right w:w="28" w:type="dxa"/>
        </w:tblCellMar>
      </w:tblPr>
      <w:tblGrid>
        <w:gridCol w:w="1027"/>
        <w:gridCol w:w="901"/>
        <w:gridCol w:w="90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02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40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Carrying</w:t>
              <w:b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w:t>
              <w:br/>
              <w:t>Value</w:t>
            </w:r>
          </w:p>
        </w:tc>
      </w:tr>
      <w:tr>
        <w:trPr/>
        <w:tc>
          <w:tcPr>
            <w:tcW w:w="28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Financial Liabilities:</w:t>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(Level 2)</w:t>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Asset-Based Loan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net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(WSG)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(Mint)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Earnout Liability (HireUp)</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835"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 xml:space="preserve">See discussion of credit losses and allowance for doubtful accounts in Note 2 - Summary of Significant Accounting Policies. </w:t>
      </w:r>
      <w:r>
        <w:rPr>
          <w:rFonts w:ascii="Times New Roman;sans-serif" w:hAnsi="Times New Roman;sans-serif"/>
          <w:b w:val="false"/>
          <w:color w:val="000000"/>
          <w:sz w:val="20"/>
        </w:rPr>
        <w:t>Overall, based on the large number of customers in differing geographic areas, primarily throughout the United States and its territories, the Company believes the concentration of credit risk is limited.</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11.</w:t>
      </w:r>
      <w:r>
        <w:rPr>
          <w:color w:val="000000"/>
        </w:rPr>
        <w:t>    </w:t>
      </w:r>
      <w:r>
        <w:rPr>
          <w:rFonts w:ascii="Times New Roman;sans-serif" w:hAnsi="Times New Roman;sans-serif"/>
          <w:b/>
          <w:color w:val="000000"/>
          <w:sz w:val="20"/>
        </w:rPr>
        <w:t>STOCKHOLDERS’ EQUITY</w:t>
      </w:r>
    </w:p>
    <w:p>
      <w:pPr>
        <w:pStyle w:val="TextBody"/>
        <w:spacing w:before="0" w:after="0"/>
        <w:jc w:val="both"/>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Stock Repurchase Program</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16, 2022, the Company's Board of Directors authorized a new stock repurchase program (the New Repurchase Program), whereby the Company may repurchase up to $100.0 million of its shares of common stock, subject to the terms of its current credit agreements. The shares may be repurchased from time-to-time in the open market or in privately negotiated transactions. The New Repurchase Program was effective immediately and may be discontinued at any time at the Board of Directors' discretion. In addition to the repurchase of $100.0 million of its shares of common stock under the New Repurchase Program, the Company was authorized to continue to repurchase any remaining shares available for repurchase under the Company's previous stock repurchase program, which was approved by the Board of Directors on February 28, 2008 (the Prior Repurchase Program). Upon completion of the authorized number of shares available for repurchase under the Prior Repurchase Program, the Company commenced repurchases under the New Repurchase Program during the third quarter of 2022. During the year ended December 31, 2022, the Company repurchased and retired, under both programs, a total of 1,364,815 shares of common stock for $35.3 million, at an average market price of $25.83 per share. During the fourth quarter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of 2022, the Company entered into a Rule 10b5-1 Repurchase Plan to allow for share repurchases during the Company's blackout periods.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repurchased and retired a total of 1,223,404 shares of common stock for $31.7 million, at an average price of $25.94 per share. During the three months ended March 31, 2022, the Company did not repurchase any shares of its common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 Company had $44.5 million remaining for share repurchase under the New Repurchase Program, subject to certain conditions in the Company's Loan Agreement and Term Loan Agreement. At March 31, 2023, the Company had 35,453,906 unrestricted shares of common stock outstanding.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1, 2023, the Company’s Board of Directors authorized approximately $59.0 million in additional share repurchases, such that, effective for trades after May 3, 2023, the aggregate amount available for stock repurchases under the New Repurchase Program is $100.0 million. The shares can be repurchased from time-to-time in the open market or in privately negotiated transactions. Decisions regarding the amount and the timing of repurchases under the New Repurchase Program will be subject to the Company’s available liquidity and cash on hand, applicable legal requirements, the terms of the Company’s Loan Agreement and Term Loan Agreement, general market conditions, and other factors. The New Repurchase Program does not obligate the Company to repurchase any particular number of shares of common stock and may be discontinued by the Board of Directors at any time.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Share-Based Payments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19, 2020, the Company's stockholders approved the Cross Country Healthcare, Inc. 2020 Omnibus Incentive Plan (2020 Plan), which replaced the Cross Country Healthcare, Inc. 2017 Omnibus Incentive Plan (2017 Plan), and applies to awards granted after May 19, 2020. The remaining shares available for grant under the 2017 Plan were cancelled and no further awards will be granted under that plan. The 2020 Plan generally mirrors the terms of the 2017 Plan and includes the following provisions: (i) an aggregate share reserve of 3,000,000 shares; (2) annual dollar and share limits of awards granted to employees and consultants, as well as non-employee directors, based on type of award; (3) awards granted generally will be subject to a minimum one-year vesting schedule; and (4) awards may be granted under the 2020 Plan until March 24, 2030.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awards and performance stock awards activity issued under the 2017 Plan and the 2020 Plan (Plans) for the three months ended March 31, 2023:</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300"/>
        <w:gridCol w:w="1142"/>
        <w:gridCol w:w="1145"/>
        <w:gridCol w:w="444"/>
        <w:gridCol w:w="445"/>
        <w:gridCol w:w="324"/>
        <w:gridCol w:w="141"/>
        <w:gridCol w:w="141"/>
        <w:gridCol w:w="141"/>
        <w:gridCol w:w="273"/>
        <w:gridCol w:w="799"/>
        <w:gridCol w:w="141"/>
        <w:gridCol w:w="109"/>
        <w:gridCol w:w="109"/>
        <w:gridCol w:w="109"/>
        <w:gridCol w:w="559"/>
        <w:gridCol w:w="512"/>
        <w:gridCol w:w="510"/>
        <w:gridCol w:w="154"/>
        <w:gridCol w:w="154"/>
        <w:gridCol w:w="154"/>
        <w:gridCol w:w="299"/>
        <w:gridCol w:w="874"/>
        <w:gridCol w:w="226"/>
      </w:tblGrid>
      <w:tr>
        <w:trPr/>
        <w:tc>
          <w:tcPr>
            <w:tcW w:w="1300"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32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r>
      <w:tr>
        <w:trPr/>
        <w:tc>
          <w:tcPr>
            <w:tcW w:w="3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Performance Stock Awards</w:t>
            </w:r>
          </w:p>
        </w:tc>
      </w:tr>
      <w:tr>
        <w:trPr/>
        <w:tc>
          <w:tcPr>
            <w:tcW w:w="358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w:t>
              <w:br/>
              <w:t>Shares</w:t>
            </w:r>
          </w:p>
        </w:tc>
        <w:tc>
          <w:tcPr>
            <w:tcW w:w="4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Target </w:t>
              <w:br/>
              <w:t>Shares</w:t>
            </w:r>
          </w:p>
        </w:tc>
        <w:tc>
          <w:tcPr>
            <w:tcW w:w="46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Grant Date</w:t>
              <w:br/>
              <w:t>Fair Value</w:t>
            </w:r>
          </w:p>
        </w:tc>
      </w:tr>
      <w:tr>
        <w:trPr/>
        <w:tc>
          <w:tcPr>
            <w:tcW w:w="3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January 1, 2023</w:t>
            </w:r>
          </w:p>
        </w:tc>
        <w:tc>
          <w:tcPr>
            <w:tcW w:w="88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674,508 </w:t>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476,086 </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272,010 </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200,487 </w:t>
            </w:r>
          </w:p>
        </w:tc>
        <w:tc>
          <w:tcPr>
            <w:tcW w:w="5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(338,669)</w:t>
            </w:r>
          </w:p>
        </w:tc>
        <w:tc>
          <w:tcPr>
            <w:tcW w:w="3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(238,253)</w:t>
            </w:r>
          </w:p>
        </w:tc>
        <w:tc>
          <w:tcPr>
            <w:tcW w:w="5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(5,262)</w:t>
            </w:r>
          </w:p>
        </w:tc>
        <w:tc>
          <w:tcPr>
            <w:tcW w:w="3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21.67 </w:t>
            </w:r>
          </w:p>
        </w:tc>
        <w:tc>
          <w:tcPr>
            <w:tcW w:w="1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restricted stock awards, March 31, 2023</w:t>
            </w:r>
          </w:p>
        </w:tc>
        <w:tc>
          <w:tcPr>
            <w:tcW w:w="88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602,587 </w:t>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19.71 </w:t>
            </w:r>
          </w:p>
        </w:tc>
        <w:tc>
          <w:tcPr>
            <w:tcW w:w="1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438,320 </w:t>
            </w:r>
          </w:p>
        </w:tc>
        <w:tc>
          <w:tcPr>
            <w:tcW w:w="5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Awards granted to non-employee directors under the 2020 Plan will vest on the first anniversary of such grant date, </w:t>
      </w:r>
      <w:r>
        <w:rPr>
          <w:rFonts w:ascii="Times New Roman;sans-serif" w:hAnsi="Times New Roman;sans-serif"/>
          <w:b w:val="false"/>
          <w:color w:val="000000"/>
          <w:sz w:val="20"/>
          <w:highlight w:val="white"/>
        </w:rPr>
        <w:t>or earlier subject to retirement eligibility</w:t>
      </w:r>
      <w:r>
        <w:rPr>
          <w:rFonts w:ascii="Times New Roman;sans-serif" w:hAnsi="Times New Roman;sans-serif"/>
          <w:b w:val="false"/>
          <w:color w:val="000000"/>
          <w:sz w:val="20"/>
        </w:rPr>
        <w:t>. In addition, effective for the three months ended June 30, 2020, the Company implemented modified guidelines that provide for accelerated vesting of restricted stock grants on the last date of service when a retirement-eligible director retires.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Plans, the number of target shares that are issued for performance-based stock awards are determined based on the level of attainment of the targets. During the first quarter of 2023, the Company's Compensation Committee of the Board of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Directors approved a 120% level of attainment for the 2020 performance-based share awards, resulting in the issuance of 238,253 performance shares that vested on March 31, 2023.</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$1.8 million was included in selling, general and administrative expenses related to share-based payments, and a net of 374,692 shares of common stock were issued upon the vesting of restricted and performance stock.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2022, $1.6 million was included in selling, general and administrative expenses related to share-based payments, and a net of 419,500 shares of common stock were issued upon the vesting of restricted and performance stock.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12.    SEGMENT DATA</w:t>
      </w:r>
    </w:p>
    <w:p>
      <w:pPr>
        <w:pStyle w:val="TextBody"/>
        <w:spacing w:before="0" w:after="0"/>
        <w:ind w:left="0" w:right="0" w:hanging="72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segments offer services to its customers as described below:</w:t>
      </w:r>
    </w:p>
    <w:p>
      <w:pPr>
        <w:pStyle w:val="TextBody"/>
        <w:spacing w:before="0" w:after="0"/>
        <w:rPr/>
      </w:pPr>
      <w:r>
        <w:rPr/>
      </w:r>
    </w:p>
    <w:p>
      <w:pPr>
        <w:pStyle w:val="TextBody"/>
        <w:spacing w:lineRule="auto" w:line="288" w:before="0" w:after="0"/>
        <w:ind w:left="0" w:right="0" w:hanging="360"/>
        <w:rPr/>
      </w:pPr>
      <w:r>
        <w:rPr>
          <w:color w:val="000000"/>
        </w:rPr>
        <w:t>●    </w:t>
      </w:r>
      <w:r>
        <w:rPr>
          <w:rFonts w:ascii="Times New Roman;sans-serif" w:hAnsi="Times New Roman;sans-serif"/>
          <w:b w:val="false"/>
          <w:i/>
          <w:color w:val="000000"/>
          <w:sz w:val="20"/>
        </w:rPr>
        <w:t xml:space="preserve">Nurse and Allied Staffing </w:t>
      </w:r>
      <w:r>
        <w:rPr>
          <w:color w:val="000000"/>
        </w:rPr>
        <w:t xml:space="preserve">– </w:t>
      </w:r>
      <w:r>
        <w:rPr>
          <w:rFonts w:ascii="Times New Roman;sans-serif" w:hAnsi="Times New Roman;sans-serif"/>
          <w:b w:val="false"/>
          <w:color w:val="000000"/>
          <w:sz w:val="20"/>
        </w:rPr>
        <w:t>Nurse and Allied Staffing provides traditional staffing, recruiting, and value-added total talent solutions including: temporary and permanent placement of travel and local nurse and allied professionals, and healthcare leaders within nursing, allied, physician, human resources, and finance, MSP services, education healthcare services, in-home care services, and outsourcing services. In addition, Nurse and Allied Staffing provides retained search services for healthcare professionals, as well as contingent search and recruitment process outsourcing services. Its customers include: public and private acute-care and non-acute care hospitals, government facilities, local and national healthcare plans, managed care providers, public schools and charter schools, outpatient clinics, ambulatory care facilities, physician practice groups, and many other healthcare providers throughout the United States.</w:t>
      </w:r>
    </w:p>
    <w:p>
      <w:pPr>
        <w:pStyle w:val="TextBody"/>
        <w:spacing w:before="0" w:after="0"/>
        <w:ind w:left="0" w:right="0" w:hanging="360"/>
        <w:rPr/>
      </w:pPr>
      <w:r>
        <w:rPr/>
      </w:r>
    </w:p>
    <w:p>
      <w:pPr>
        <w:pStyle w:val="TextBody"/>
        <w:spacing w:lineRule="auto" w:line="288" w:before="0" w:after="0"/>
        <w:ind w:left="0" w:right="0" w:hanging="360"/>
        <w:rPr/>
      </w:pPr>
      <w:r>
        <w:rPr>
          <w:color w:val="000000"/>
        </w:rPr>
        <w:t>●    </w:t>
      </w:r>
      <w:r>
        <w:rPr>
          <w:rFonts w:ascii="Times New Roman;sans-serif" w:hAnsi="Times New Roman;sans-serif"/>
          <w:b w:val="false"/>
          <w:i/>
          <w:color w:val="000000"/>
          <w:sz w:val="20"/>
        </w:rPr>
        <w:t>Physician Staffing</w:t>
      </w:r>
      <w:r>
        <w:rPr>
          <w:color w:val="000000"/>
        </w:rPr>
        <w:t xml:space="preserve"> – </w:t>
      </w:r>
      <w:r>
        <w:rPr>
          <w:rFonts w:ascii="Times New Roman;sans-serif" w:hAnsi="Times New Roman;sans-serif"/>
          <w:b w:val="false"/>
          <w:color w:val="000000"/>
          <w:sz w:val="20"/>
        </w:rPr>
        <w:t>Physician Staffing provides physicians in many specialties, as well as certified registered nurse anesthetists, nurse practitioners, and physician assistants as independent contractors on temporary assignments throughout the United States at various healthcare facilities, such as acute and non-acute care facilities, medical group practices, government facilities, and managed care organizations.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 evaluates performance of each segment primarily based on revenue and contribution income. The Company defines contribution income as income (loss) from operations before depreciation and amortization, acquisition and integration-related (benefits) costs, restructuring (benefits) costs, legal settlement charges, impairment charges, and corporate overhead. The Company does not evaluate, manage, or measure performance of segments using asset information; accordingly, total asset information by segment is not prepared or disclosed. The information in the following table is derived from the segments’ internal financial information as used for corporate management purposes. Certain corporate expenses are not allocated to and/or among the operating segments.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Information on operating segments and a</w:t>
      </w:r>
      <w:r>
        <w:rPr>
          <w:color w:val="000000"/>
        </w:rPr>
        <w:t> </w:t>
      </w:r>
      <w:r>
        <w:rPr>
          <w:rFonts w:ascii="Times New Roman;sans-serif" w:hAnsi="Times New Roman;sans-serif"/>
          <w:b w:val="false"/>
          <w:color w:val="000000"/>
          <w:sz w:val="20"/>
        </w:rPr>
        <w:t>reconciliation to income from operations for the periods indicated are as follows:</w:t>
      </w:r>
    </w:p>
    <w:p>
      <w:pPr>
        <w:pStyle w:val="TextBody"/>
        <w:spacing w:before="0" w:after="0"/>
        <w:rPr/>
      </w:pPr>
      <w:r>
        <w:rPr/>
      </w:r>
    </w:p>
    <w:tbl>
      <w:tblPr>
        <w:tblW w:w="5695" w:type="dxa"/>
        <w:jc w:val="left"/>
        <w:tblInd w:w="0" w:type="dxa"/>
        <w:tblCellMar>
          <w:top w:w="28" w:type="dxa"/>
          <w:left w:w="28" w:type="dxa"/>
          <w:bottom w:w="28" w:type="dxa"/>
          <w:right w:w="28" w:type="dxa"/>
        </w:tblCellMar>
      </w:tblPr>
      <w:tblGrid>
        <w:gridCol w:w="938"/>
        <w:gridCol w:w="827"/>
        <w:gridCol w:w="830"/>
        <w:gridCol w:w="211"/>
        <w:gridCol w:w="826"/>
        <w:gridCol w:w="109"/>
        <w:gridCol w:w="109"/>
        <w:gridCol w:w="109"/>
        <w:gridCol w:w="109"/>
        <w:gridCol w:w="211"/>
        <w:gridCol w:w="826"/>
        <w:gridCol w:w="109"/>
        <w:gridCol w:w="109"/>
        <w:gridCol w:w="109"/>
        <w:gridCol w:w="109"/>
        <w:gridCol w:w="154"/>
      </w:tblGrid>
      <w:tr>
        <w:trPr/>
        <w:tc>
          <w:tcPr>
            <w:tcW w:w="93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Corporate overhead</w:t>
            </w:r>
            <w:r>
              <w:rPr>
                <w:rFonts w:ascii="Times New Roman;sans-serif" w:hAnsi="Times New Roman;sans-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costs</w:t>
            </w:r>
            <w:r>
              <w:rPr>
                <w:rFonts w:ascii="Times New Roman;sans-serif" w:hAnsi="Times New Roman;sans-serif"/>
                <w:b w:val="false"/>
                <w:color w:val="000000"/>
                <w:sz w:val="13"/>
              </w:rPr>
              <w:t>(b)</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Corporate overhead includes unallocated executive leadership and other centralized corporate functional support costs such as finance, IT, legal, human resources, and marketing, as well as public company expenses and corporate-wide projects (initiatives).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Other costs include acquisition and integration-related (benefits) costs.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color w:val="000000"/>
          <w:sz w:val="20"/>
        </w:rPr>
        <w:t>13.    </w:t>
      </w:r>
      <w:r>
        <w:rPr>
          <w:rFonts w:ascii="Times New Roman;sans-serif" w:hAnsi="Times New Roman;sans-serif"/>
          <w:b/>
          <w:color w:val="000000"/>
          <w:sz w:val="20"/>
          <w:highlight w:val="white"/>
        </w:rPr>
        <w:t>CONTINGENCIES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Legal Proceedings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highlight w:val="white"/>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In the first quarter of</w:t>
      </w:r>
      <w:r>
        <w:rPr>
          <w:color w:val="000000"/>
        </w:rPr>
        <w:t xml:space="preserve"> </w:t>
      </w:r>
      <w:r>
        <w:rPr>
          <w:rFonts w:ascii="Times New Roman;sans-serif" w:hAnsi="Times New Roman;sans-serif"/>
          <w:b w:val="false"/>
          <w:color w:val="000000"/>
          <w:sz w:val="20"/>
        </w:rPr>
        <w:t xml:space="preserve">2023, the Company incurred $1.1 million, including legal fees, to settle a wage and hour class action lawsuit. </w:t>
      </w:r>
      <w:r>
        <w:rPr>
          <w:rFonts w:ascii="Times New Roman;sans-serif" w:hAnsi="Times New Roman;sans-serif"/>
          <w:b w:val="false"/>
          <w:color w:val="000000"/>
          <w:sz w:val="20"/>
          <w:highlight w:val="white"/>
        </w:rPr>
        <w:t>The Company believes the outcome of any outstanding loss contingencies as of March 31, 2023 will not have a material adverse effect on its business, financial condition, results of operations, or cash flows.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Sales and Other State Non-Income Tax Liabilities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income and the liability is reflected in sales tax payable within other current liabilities in its condensed consolidated balance sheets.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14.    INCOME TAXES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For the three-month periods ended March 31, 2023 and 2022, the Company calculated its effective tax rate estimating its annual effective tax rate. The Company’s effective tax rate for the three months ended March 31, 2023 and 2022 was 26.6% and 28.9%, respectively, including the impact of discrete items. Excluding discrete items, the Company's effective tax rate for the three months ended March 31, 2023 and 2022 was 30.0%. The effective tax rates for the first quarter of 2023 and 2022 were primarily impacted by federal and state taxes. </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2023, the Company had approximately $8.4 million of unrecognized tax benefits included in other non-current liabilities, $8.0 million, net of deferred taxes, which would impact the effective tax rate if recognized. During the three months ended March 31, 2023, the Company had net increases of $0.7 million to its current year unrecognized tax benefits related to federal and state tax provisions.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tax years 2012 through 2022 remain open to examination by certain taxing jurisdictions to which the Company is subject to tax.</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15.    RELATED PARTY TRANSACTIONS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has entered into an arrangement for digital marketing services provided by a firm that is related to Mr. Kevin C. Clark, the Company's non-executive Chairman of the Board of Directors since April 1, 2022, and the Company's Co-Founder &amp; Chief Executive Officer through March 31, 2022. Mr. Clark is a minority shareholder in the firm's parent company and is a member of the parent company's Board of Directors. Management believes the terms of the arrangement are equivalent to those prevailing in an arm's-length transaction and have been approved by the Company through its related party process. The digital marketing firm manages a limited number of digital publishers covering various Company brands for a monthly management fee. During the three months ended March 31, 2023 and 2022, the Company incurred an immaterial amount in expenses. The Company had immaterial payable balances at March 31, 2023 and December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The Company provides services to entities which are affiliated with certain members of the Company’s Board of Directors. Management believes the services were conducted on terms equivalent to those prevailing in an arm's-length transaction. Revenue related to these transactions was less than $0.4 million for the three months ended March 31, 2023 and 2022. Accounts receivable due from these entities was an immaterial amount at March 31, 2023 and December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Following the WSG acquisition on June 8, 2021, the Company continued to rent WSG's headquarters. The Chief Executive Officer and Founder of WSG, who is currently a business unit president with the Company, is an agent of the lessor. The lease term for WSG's headquarters expires on December 31, 2024. The Company paid an immaterial amount in rent expense for these premises for the three months ended March 31, 2023 and 2022. The Company had no payable balance at March 31, 2023 and December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In the first quarter of 2020, the Company entered into a note payable of $7.3 million related to contingent consideration assumed as part of the Mediscan acquisition, payable in three equal installments. The payees of the note are controlled by an employee of the sellers who remained with the Company. The third and final installment of $2.6 million, including interest, was paid in the first quarter of 2022. See Note 4 - Acquisitions.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Debt Amendment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14, 2023, the Company entered into the Second Amendment to Term Loan Credit Agreement, which provides a transition away from LIBOR as a benchmark interest rate to the SOFR or the Base Rate, at the election of the borrowers, plus an applicable margin. See Note 8 - Debt.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Stock Repurchase Plan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May 1, 2023, the Company's Board of Directors authorized the Company to replenish the amount available for stock repurchases under its current stock repurchase program back to $100 million. See Note 11 - Stockholders' Equity.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 for the year ended December 31, 2022 (2022 Form 10-K) (including Part I, Item 1A. "Risk Factors"), our financial statements and the accompanying notes to our financial statements.</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WSG, Mint, and HireUp.</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Our workforce solutions include managed service programs (MSPs), recruitment process outsourcing (RPO), project management, and other outsourcing and consultative services as described in Item 1. </w:t>
      </w:r>
      <w:r>
        <w:rPr>
          <w:color w:val="000000"/>
          <w:highlight w:val="white"/>
        </w:rPr>
        <w:t>“</w:t>
      </w:r>
      <w:r>
        <w:rPr>
          <w:rFonts w:ascii="Times New Roman;sans-serif" w:hAnsi="Times New Roman;sans-serif"/>
          <w:b w:val="false"/>
          <w:color w:val="000000"/>
          <w:sz w:val="20"/>
        </w:rPr>
        <w:t>Business</w:t>
      </w:r>
      <w:r>
        <w:rPr>
          <w:color w:val="000000"/>
          <w:highlight w:val="white"/>
        </w:rPr>
        <w:t xml:space="preserve">” </w:t>
      </w:r>
      <w:r>
        <w:rPr>
          <w:rFonts w:ascii="Times New Roman;sans-serif" w:hAnsi="Times New Roman;sans-serif"/>
          <w:b w:val="false"/>
          <w:color w:val="000000"/>
          <w:sz w:val="20"/>
        </w:rPr>
        <w:t>in our 2022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 We have a history of investing in diversity, equality, and inclusion as a key component of the organization’s overall corporate social responsibility program, which we believe is closely aligned with our core values to create a better future for our people, communities, and our stockholders.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Company’s two reportable segments offer services to its customers as described below:</w:t>
      </w:r>
    </w:p>
    <w:p>
      <w:pPr>
        <w:pStyle w:val="TextBody"/>
        <w:spacing w:before="0" w:after="0"/>
        <w:rPr/>
      </w:pPr>
      <w:r>
        <w:rPr/>
      </w:r>
    </w:p>
    <w:p>
      <w:pPr>
        <w:pStyle w:val="TextBody"/>
        <w:spacing w:lineRule="auto" w:line="288" w:before="0" w:after="0"/>
        <w:ind w:left="0" w:right="0" w:hanging="360"/>
        <w:rPr/>
      </w:pPr>
      <w:r>
        <w:rPr>
          <w:color w:val="000000"/>
        </w:rPr>
        <w:t>●    </w:t>
      </w:r>
      <w:r>
        <w:rPr>
          <w:rFonts w:ascii="Times New Roman;sans-serif" w:hAnsi="Times New Roman;sans-serif"/>
          <w:b w:val="false"/>
          <w:i/>
          <w:color w:val="000000"/>
          <w:sz w:val="20"/>
        </w:rPr>
        <w:t>Nurse and Allied Staffing</w:t>
      </w:r>
      <w:r>
        <w:rPr>
          <w:color w:val="000000"/>
        </w:rPr>
        <w:t xml:space="preserve"> – </w:t>
      </w:r>
      <w:r>
        <w:rPr>
          <w:rFonts w:ascii="Times New Roman;sans-serif" w:hAnsi="Times New Roman;sans-serif"/>
          <w:b w:val="false"/>
          <w:color w:val="000000"/>
          <w:sz w:val="20"/>
        </w:rPr>
        <w:t>Nurse and Allied Staffing represented approximately 94% of our total revenue in the first quarter of 2023. The Nurse 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retained search services for healthcare professionals, as well as contingent search and recruitment process outsourcing services. We provide flexible workforce solutions to our healthcare customers through diversified offerings designed to meet their unique needs, including: MSP, RPO, and consulting services.</w:t>
      </w:r>
    </w:p>
    <w:p>
      <w:pPr>
        <w:pStyle w:val="TextBody"/>
        <w:spacing w:before="0" w:after="0"/>
        <w:ind w:left="0" w:right="0" w:hanging="360"/>
        <w:rPr/>
      </w:pPr>
      <w:r>
        <w:rPr/>
      </w:r>
    </w:p>
    <w:p>
      <w:pPr>
        <w:pStyle w:val="TextBody"/>
        <w:spacing w:lineRule="auto" w:line="288" w:before="0" w:after="0"/>
        <w:ind w:left="0" w:right="0" w:hanging="360"/>
        <w:rPr/>
      </w:pPr>
      <w:r>
        <w:rPr>
          <w:color w:val="000000"/>
        </w:rPr>
        <w:t>●    </w:t>
      </w:r>
      <w:r>
        <w:rPr>
          <w:rFonts w:ascii="Times New Roman;sans-serif" w:hAnsi="Times New Roman;sans-serif"/>
          <w:b w:val="false"/>
          <w:i/>
          <w:color w:val="000000"/>
          <w:sz w:val="20"/>
        </w:rPr>
        <w:t>Physician Staffing</w:t>
      </w:r>
      <w:r>
        <w:rPr>
          <w:color w:val="000000"/>
        </w:rPr>
        <w:t xml:space="preserve"> – </w:t>
      </w:r>
      <w:r>
        <w:rPr>
          <w:rFonts w:ascii="Times New Roman;sans-serif" w:hAnsi="Times New Roman;sans-serif"/>
          <w:b w:val="false"/>
          <w:color w:val="000000"/>
          <w:sz w:val="20"/>
        </w:rPr>
        <w:t>Physician Staffing represented approximately 6% of our total revenue in the first quarter of 2023. Physician Staffing provides physicians in many specialties, as well as certified registered nurse anesthetists, nurse practitioners, and physician assistants as independent contractors on temporary assignments throughout the United States.</w: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Summary of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quarter ended March 31, 2023, revenue from services decreased 21% year-over-year to $622.7 million, due to a volume decline in the Nurse and Allied Staffing segment and a decrease in average bill rates, partially offset by volume and bill rate increases in the Physician Staffing segment. While our travel bill rates decreased for the first quarter, they were higher than expected. In the Physician Staffing segment, the number of days filled increased across most specialties with an improved mix of higher bill rate specialties. Net income attributable to common stockholders in the first quarter of 2023 was $29.4 million, as compared to $62.0 million for the same period in the prior year.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cash flow provided by operating activities was $46.9 million, with net repayments of $10.4 million on our senior secured asset-based credit facility (ABL), and a decrease in working capital stemming from a decrease in net receivables, partially offset by the timing of disbursements. As of March 31, 2023, we had $0.3 million of cash and cash equivalents and a principal balance of $73.9 million outstanding on our term loan. Borrowing base availability under the ABL was $300.0 million, with $66.4 million of borrowings drawn under our ABL, and $18.2 million of undrawn letters of credit outstanding, leaving $215.4 million of excess availability.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14, 2023, we entered into a second amendment to our Term Loan Agreement, which provided the option for all or a portion of the borrowings to bear interest at a rate based on the Secured Overnight Financing Rate (SOFR) or the Base Rate, at our election, plus an applicable margin.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We remain committed to continued investments in our technology. During the first quarter of 2023, we signed our first vendor-neutral customer, and expanded our technology offerings with the launch of Intelllify's per diem and internal resource pool modules.</w:t>
      </w:r>
    </w:p>
    <w:p>
      <w:pPr>
        <w:pStyle w:val="TextBody"/>
        <w:spacing w:before="0" w:after="0"/>
        <w:rPr/>
      </w:pPr>
      <w:r>
        <w:rPr/>
      </w:r>
    </w:p>
    <w:p>
      <w:pPr>
        <w:pStyle w:val="TextBody"/>
        <w:spacing w:lineRule="auto" w:line="276" w:before="0" w:after="0"/>
        <w:rPr>
          <w:rFonts w:ascii="Times New Roman;sans-serif" w:hAnsi="Times New Roman;sans-serif"/>
          <w:b w:val="false"/>
          <w:color w:val="000000"/>
          <w:sz w:val="20"/>
        </w:rPr>
      </w:pPr>
      <w:r>
        <w:rPr>
          <w:rFonts w:ascii="Times New Roman;sans-serif" w:hAnsi="Times New Roman;sans-serif"/>
          <w:b w:val="false"/>
          <w:color w:val="000000"/>
          <w:sz w:val="20"/>
        </w:rPr>
        <w:t>See Results of Operations, Segment Results, and Liquidity and Capital Resources sections that follow for further information.</w:t>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Operating Metrics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and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614"/>
        <w:gridCol w:w="495"/>
        <w:gridCol w:w="497"/>
        <w:gridCol w:w="2514"/>
        <w:gridCol w:w="2514"/>
        <w:gridCol w:w="3571"/>
      </w:tblGrid>
      <w:tr>
        <w:trPr/>
        <w:tc>
          <w:tcPr>
            <w:tcW w:w="614"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497"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2514"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Segment</w:t>
            </w:r>
          </w:p>
        </w:tc>
        <w:tc>
          <w:tcPr>
            <w:tcW w:w="8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Business Measurement</w:t>
            </w:r>
          </w:p>
        </w:tc>
      </w:tr>
      <w:tr>
        <w:trPr/>
        <w:tc>
          <w:tcPr>
            <w:tcW w:w="16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Nurse and Allied Staffing </w:t>
            </w:r>
          </w:p>
        </w:tc>
        <w:tc>
          <w:tcPr>
            <w:tcW w:w="859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FTEs represent the average number of Nurse and Allied Staffing contract personnel on a full-time equivalent basis.</w:t>
            </w:r>
          </w:p>
        </w:tc>
      </w:tr>
      <w:tr>
        <w:trPr/>
        <w:tc>
          <w:tcPr>
            <w:tcW w:w="1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revenue per FTE per day is calculated by dividing the Nurse and Allied Staffing revenue, excluding permanent placement, per FTE by the number of days worked in the respective periods.</w:t>
            </w:r>
          </w:p>
        </w:tc>
      </w:tr>
      <w:tr>
        <w:trPr/>
        <w:tc>
          <w:tcPr>
            <w:tcW w:w="16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Physician Staffing</w:t>
            </w:r>
          </w:p>
        </w:tc>
        <w:tc>
          <w:tcPr>
            <w:tcW w:w="8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Days filled is calculated by dividing the total hours invoiced during the period, including an estimate for the impact of accrued revenue, by eight hours.</w:t>
            </w:r>
          </w:p>
        </w:tc>
      </w:tr>
      <w:tr>
        <w:trPr/>
        <w:tc>
          <w:tcPr>
            <w:tcW w:w="16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per day filled is calculated by dividing revenue as reported by days filled for the period presented.</w:t>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for the periods indicated, selected condensed consolidated statements of operations and comprehensive income data expressed as a percentage of revenue. Our historical results of operations are not necessarily indicative of future operating results.</w:t>
      </w:r>
    </w:p>
    <w:p>
      <w:pPr>
        <w:pStyle w:val="TextBody"/>
        <w:spacing w:before="0" w:after="0"/>
        <w:rPr/>
      </w:pPr>
      <w:r>
        <w:rPr/>
      </w:r>
    </w:p>
    <w:tbl>
      <w:tblPr>
        <w:tblW w:w="7039" w:type="dxa"/>
        <w:jc w:val="left"/>
        <w:tblInd w:w="0" w:type="dxa"/>
        <w:tblCellMar>
          <w:top w:w="28" w:type="dxa"/>
          <w:left w:w="28" w:type="dxa"/>
          <w:bottom w:w="28" w:type="dxa"/>
          <w:right w:w="28" w:type="dxa"/>
        </w:tblCellMar>
      </w:tblPr>
      <w:tblGrid>
        <w:gridCol w:w="1475"/>
        <w:gridCol w:w="1300"/>
        <w:gridCol w:w="1305"/>
        <w:gridCol w:w="352"/>
        <w:gridCol w:w="264"/>
        <w:gridCol w:w="389"/>
        <w:gridCol w:w="156"/>
        <w:gridCol w:w="156"/>
        <w:gridCol w:w="156"/>
        <w:gridCol w:w="352"/>
        <w:gridCol w:w="264"/>
        <w:gridCol w:w="389"/>
        <w:gridCol w:w="109"/>
        <w:gridCol w:w="109"/>
        <w:gridCol w:w="109"/>
        <w:gridCol w:w="154"/>
      </w:tblGrid>
      <w:tr>
        <w:trPr/>
        <w:tc>
          <w:tcPr>
            <w:tcW w:w="1475" w:type="dxa"/>
            <w:tcBorders/>
            <w:shd w:fill="auto" w:val="clear"/>
            <w:vAlign w:val="center"/>
          </w:tcPr>
          <w:p>
            <w:pPr>
              <w:pStyle w:val="TableContents"/>
              <w:spacing w:before="0" w:after="283"/>
              <w:rPr>
                <w:sz w:val="4"/>
                <w:szCs w:val="4"/>
              </w:rPr>
            </w:pPr>
            <w:r>
              <w:rPr>
                <w:sz w:val="4"/>
                <w:szCs w:val="4"/>
              </w:rPr>
            </w:r>
          </w:p>
        </w:tc>
        <w:tc>
          <w:tcPr>
            <w:tcW w:w="1300" w:type="dxa"/>
            <w:tcBorders/>
            <w:shd w:fill="auto" w:val="clear"/>
            <w:vAlign w:val="center"/>
          </w:tcPr>
          <w:p>
            <w:pPr>
              <w:pStyle w:val="TableContents"/>
              <w:spacing w:before="0" w:after="283"/>
              <w:rPr>
                <w:sz w:val="4"/>
                <w:szCs w:val="4"/>
              </w:rPr>
            </w:pPr>
            <w:r>
              <w:rPr>
                <w:sz w:val="4"/>
                <w:szCs w:val="4"/>
              </w:rPr>
            </w:r>
          </w:p>
        </w:tc>
        <w:tc>
          <w:tcPr>
            <w:tcW w:w="1305"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4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8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468" w:type="dxa"/>
            <w:gridSpan w:val="3"/>
            <w:tcBorders/>
            <w:shd w:fill="auto" w:val="clear"/>
            <w:vAlign w:val="center"/>
          </w:tcPr>
          <w:p>
            <w:pPr>
              <w:pStyle w:val="TableContents"/>
              <w:spacing w:before="0" w:after="283"/>
              <w:rPr>
                <w:sz w:val="4"/>
                <w:szCs w:val="4"/>
              </w:rPr>
            </w:pPr>
            <w:r>
              <w:rPr>
                <w:sz w:val="4"/>
                <w:szCs w:val="4"/>
              </w:rPr>
            </w:r>
          </w:p>
        </w:tc>
        <w:tc>
          <w:tcPr>
            <w:tcW w:w="100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2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0" w:after="0"/>
        <w:rPr/>
      </w:pPr>
      <w:r>
        <w:rPr>
          <w:rFonts w:ascii="Times New Roman;sans-serif" w:hAnsi="Times New Roman;sans-serif"/>
          <w:b/>
          <w:color w:val="000000"/>
          <w:sz w:val="19"/>
        </w:rPr>
        <w:t>Comparison of Results for the Three Months Ended March 31, 2023 and the Three Months Ended March 31, 2022</w:t>
      </w:r>
      <w:r>
        <w:rPr>
          <w:color w:val="000000"/>
        </w:rPr>
        <w:t xml:space="preserve"> </w:t>
      </w:r>
    </w:p>
    <w:tbl>
      <w:tblPr>
        <w:tblW w:w="10205" w:type="dxa"/>
        <w:jc w:val="left"/>
        <w:tblInd w:w="0" w:type="dxa"/>
        <w:tblCellMar>
          <w:top w:w="28" w:type="dxa"/>
          <w:left w:w="28" w:type="dxa"/>
          <w:bottom w:w="28" w:type="dxa"/>
          <w:right w:w="28" w:type="dxa"/>
        </w:tblCellMar>
      </w:tblPr>
      <w:tblGrid>
        <w:gridCol w:w="1347"/>
        <w:gridCol w:w="1117"/>
        <w:gridCol w:w="1121"/>
        <w:gridCol w:w="211"/>
        <w:gridCol w:w="826"/>
        <w:gridCol w:w="109"/>
        <w:gridCol w:w="109"/>
        <w:gridCol w:w="109"/>
        <w:gridCol w:w="109"/>
        <w:gridCol w:w="211"/>
        <w:gridCol w:w="826"/>
        <w:gridCol w:w="109"/>
        <w:gridCol w:w="109"/>
        <w:gridCol w:w="109"/>
        <w:gridCol w:w="109"/>
        <w:gridCol w:w="286"/>
        <w:gridCol w:w="1214"/>
        <w:gridCol w:w="147"/>
        <w:gridCol w:w="109"/>
        <w:gridCol w:w="109"/>
        <w:gridCol w:w="109"/>
        <w:gridCol w:w="367"/>
        <w:gridCol w:w="348"/>
        <w:gridCol w:w="985"/>
      </w:tblGrid>
      <w:tr>
        <w:trPr/>
        <w:tc>
          <w:tcPr>
            <w:tcW w:w="1347"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12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214"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0"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Increase (Decrease)</w:t>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0"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(166,025)</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483,284 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613,938 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(130,654)</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98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7,407 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Bad debt expense</w:t>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2,539 </w:t>
            </w:r>
          </w:p>
        </w:tc>
        <w:tc>
          <w:tcPr>
            <w:tcW w:w="1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107.2 </w:t>
            </w:r>
          </w:p>
        </w:tc>
        <w:tc>
          <w:tcPr>
            <w:tcW w:w="98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9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9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9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(47,000)</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w:t>
            </w:r>
          </w:p>
        </w:tc>
        <w:tc>
          <w:tcPr>
            <w:tcW w:w="9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(14,453)</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9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0"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(32,547)</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w:t>
            </w:r>
          </w:p>
        </w:tc>
        <w:tc>
          <w:tcPr>
            <w:tcW w:w="9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60" w:after="283"/>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Revenue from services</w:t>
      </w:r>
    </w:p>
    <w:p>
      <w:pPr>
        <w:pStyle w:val="TextBody"/>
        <w:spacing w:lineRule="auto" w:line="288" w:before="0" w:after="0"/>
        <w:jc w:val="both"/>
        <w:rPr>
          <w:color w:val="000000"/>
          <w:highlight w:val="white"/>
        </w:rPr>
      </w:pPr>
      <w:r>
        <w:rPr>
          <w:color w:val="000000"/>
          <w:highlight w:val="white"/>
        </w:rPr>
        <w:t> </w:t>
      </w:r>
    </w:p>
    <w:p>
      <w:pPr>
        <w:pStyle w:val="TextBody"/>
        <w:spacing w:lineRule="auto" w:line="268" w:before="0" w:after="0"/>
        <w:rPr/>
      </w:pPr>
      <w:r>
        <w:rPr>
          <w:rFonts w:ascii="Times New Roman;sans-serif" w:hAnsi="Times New Roman;sans-serif"/>
          <w:b w:val="false"/>
          <w:color w:val="000000"/>
          <w:sz w:val="20"/>
        </w:rPr>
        <w:t xml:space="preserve">Revenue from services decreased 21.0% to $622.7 million for the three months ended March 31, 2023, as compared to $788.7 million for the three months ended March 31, 2022, due to a volume decline in the Nurse and Allied Staffing segment and a decrease in average bill rates, partially offset by volume and bill rate increases in the Physician Staffing segment. </w:t>
      </w:r>
      <w:r>
        <w:rPr>
          <w:rFonts w:ascii="Times New Roman;sans-serif" w:hAnsi="Times New Roman;sans-serif"/>
          <w:b w:val="false"/>
          <w:color w:val="000000"/>
          <w:sz w:val="20"/>
          <w:highlight w:val="white"/>
        </w:rPr>
        <w:t xml:space="preserve">See further discussion in Segment Results.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Direct operating expenses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Direct operating expenses are comprised primarily of field employee compensation and independent contractor expenses, housing expenses, travel expenses, and related insurance expenses. Direct operating expenses decreased $130.7 million, or 21.3%, to $483.3 million for the three months ended March 31, 2023, as compared to $613.9 million for the three months ended March 31, 2022, as a result of revenue decreases. As a percentage of total revenue, direct operating expenses slightly decreased to 77.6% as compared to 77.8% in the prior year period.</w: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Selling, general and administrative expenses</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 xml:space="preserve">Selling, general and administrative expenses increased 9.6% to $84.3 million for the three months ended March 31, 2023, as compared to $76.9 million for the three months ended March 31, 2022, primarily </w:t>
      </w:r>
      <w:r>
        <w:rPr>
          <w:rFonts w:ascii="Times New Roman;sans-serif" w:hAnsi="Times New Roman;sans-serif"/>
          <w:b w:val="false"/>
          <w:color w:val="000000"/>
          <w:sz w:val="20"/>
          <w:highlight w:val="white"/>
        </w:rPr>
        <w:t>due to increases in compensation and benefit expense, as well as legal expense and computer hardware/software costs. As a percentage of total revenue, selling, general and administrative expenses increased to 13.5% for the three months ended March 31, 2023, as compared to 9.7% for the three months ended March 31,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Bad Debt Expense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Bad debt expense for the three months ended March 31, 2023 was $4.9 million as compared to $2.4 million for the three months ended March 31, 2022. The increase is due primarily to an increase in aged receivables in 2023, with an 8 day increase in days' sales outstanding (DSO) year over year. As a percentage of revenue, bad debt expense was 0.8% for the three months ended March 31, 2023, as compared to 0.3% for the three months ended March 31, 2022.</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0"/>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Depreciation and amortization expense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for the three months ended March 31, 2023 was $4.9 million, as compared to $2.7 million for the three months ended March 31, 2022. The increase was primarily due to the additional amortization of other intangible assets from the Mint and HireUp acquisitions. See Note 7 - Goodwill, Trade Names, and Other Intangible Assets to our condensed consolidated financial statements. As a percentage of revenue, depreciation and amortization expense was 0.8% for the three months ended March 31, 2023 and 0.4% for the three months ended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Restructuring costs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Restructuring costs for the three months ended March 31, 2023 and 2022 were primarily comprised of ongoing lease costs related to the Company's strategic reduction of its real estate footprint. Restructuring costs for the three months ended March 31, 2023 also included employee termination costs. These costs were immaterial. See Note 2 - Summary of Significant Accounting Policies to our condensed consolidated financial statements.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Legal settlement charges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Legal settlement charges totaled $1.1 million for the three months ended March 31, 2023 and related to the settlement of a wage and hour class action lawsuit and associated legal fees. There were no such charges for the three months ended March 31, 2022.</w:t>
      </w:r>
    </w:p>
    <w:p>
      <w:pPr>
        <w:pStyle w:val="TextBody"/>
        <w:spacing w:before="0" w:after="0"/>
        <w:rPr/>
      </w:pPr>
      <w:r>
        <w:rPr/>
      </w:r>
    </w:p>
    <w:p>
      <w:pPr>
        <w:pStyle w:val="TextBody"/>
        <w:spacing w:lineRule="auto" w:line="288" w:before="0" w:after="0"/>
        <w:ind w:left="0" w:right="0" w:hanging="36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Impairment charges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highlight w:val="white"/>
        </w:rPr>
      </w:pPr>
      <w:r>
        <w:rPr>
          <w:rFonts w:ascii="Times New Roman;sans-serif" w:hAnsi="Times New Roman;sans-serif"/>
          <w:b w:val="false"/>
          <w:color w:val="000000"/>
          <w:sz w:val="20"/>
          <w:highlight w:val="white"/>
        </w:rPr>
        <w:t xml:space="preserve">Non-cash impairment charges totaled $1.7 million for the three months ended March 31, 2022 and related to real estate restructuring activities. There were no such charges for the three months ended March 31, 2023. See Note 9 - Leases to our condensed consolidated financial statements. </w: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Interest expense</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Interest expense</w:t>
      </w:r>
      <w:r>
        <w:rPr>
          <w:color w:val="000000"/>
        </w:rPr>
        <w:t> </w:t>
      </w:r>
      <w:r>
        <w:rPr>
          <w:rFonts w:ascii="Times New Roman;sans-serif" w:hAnsi="Times New Roman;sans-serif"/>
          <w:b w:val="false"/>
          <w:color w:val="000000"/>
          <w:sz w:val="20"/>
        </w:rPr>
        <w:t xml:space="preserve">was $3.7 million for the three months ended March 31, 2023, as compared to $3.5 million for the three months ended March 31, 2022, due to a higher effective interest rate. The effective interest rate on our borrowings was 9.2% and 6.4% for the three months ended March 31, 2023 and 2022, respectively. </w:t>
      </w:r>
    </w:p>
    <w:p>
      <w:pPr>
        <w:pStyle w:val="TextBody"/>
        <w:spacing w:before="0" w:after="0"/>
        <w:rPr/>
      </w:pPr>
      <w:r>
        <w:rPr/>
      </w:r>
    </w:p>
    <w:p>
      <w:pPr>
        <w:pStyle w:val="TextBody"/>
        <w:spacing w:lineRule="auto" w:line="288" w:before="0" w:after="0"/>
        <w:rPr>
          <w:rFonts w:ascii="Times New Roman;sans-serif" w:hAnsi="Times New Roman;sans-serif"/>
          <w:b/>
          <w:i/>
          <w:color w:val="000000"/>
          <w:sz w:val="20"/>
          <w:highlight w:val="white"/>
        </w:rPr>
      </w:pPr>
      <w:r>
        <w:rPr>
          <w:rFonts w:ascii="Times New Roman;sans-serif" w:hAnsi="Times New Roman;sans-serif"/>
          <w:b/>
          <w:i/>
          <w:color w:val="000000"/>
          <w:sz w:val="20"/>
          <w:highlight w:val="white"/>
        </w:rPr>
        <w:t>Income tax expense</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Income tax expense totaled $10.7 million for the three months ended March 31, 2023, as compared to $25.1 million for the three months ended March 31, 2022. The effective tax rates for the first quarter of 2023 and 2022 were primarily impacted by federal and state taxes. See Note 14 - Income Taxes to our condensed consolidated financial statements.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6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1"/>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Segment Results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Information on operating segments and a reconciliation to income from operations for the periods indicated are as follows: </w:t>
      </w:r>
    </w:p>
    <w:tbl>
      <w:tblPr>
        <w:tblW w:w="5695" w:type="dxa"/>
        <w:jc w:val="left"/>
        <w:tblInd w:w="0" w:type="dxa"/>
        <w:tblCellMar>
          <w:top w:w="28" w:type="dxa"/>
          <w:left w:w="28" w:type="dxa"/>
          <w:bottom w:w="28" w:type="dxa"/>
          <w:right w:w="28" w:type="dxa"/>
        </w:tblCellMar>
      </w:tblPr>
      <w:tblGrid>
        <w:gridCol w:w="938"/>
        <w:gridCol w:w="827"/>
        <w:gridCol w:w="830"/>
        <w:gridCol w:w="211"/>
        <w:gridCol w:w="826"/>
        <w:gridCol w:w="109"/>
        <w:gridCol w:w="109"/>
        <w:gridCol w:w="109"/>
        <w:gridCol w:w="109"/>
        <w:gridCol w:w="211"/>
        <w:gridCol w:w="826"/>
        <w:gridCol w:w="109"/>
        <w:gridCol w:w="109"/>
        <w:gridCol w:w="109"/>
        <w:gridCol w:w="109"/>
        <w:gridCol w:w="154"/>
      </w:tblGrid>
      <w:tr>
        <w:trPr/>
        <w:tc>
          <w:tcPr>
            <w:tcW w:w="938"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61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(amounts in thousands)</w:t>
            </w:r>
          </w:p>
        </w:tc>
        <w:tc>
          <w:tcPr>
            <w:tcW w:w="481" w:type="dxa"/>
            <w:gridSpan w:val="4"/>
            <w:tcBorders/>
            <w:shd w:fill="auto" w:val="clea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services:</w:t>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622,707 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788,732 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 income:</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Nurse and Allied Staffing</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Physician Staffing</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overhead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settlement charges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charges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12 - Segment Data to our condensed consolidated financial statements.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statistical data for our business segments for the periods indicated are as follows:</w:t>
      </w:r>
    </w:p>
    <w:tbl>
      <w:tblPr>
        <w:tblW w:w="8968" w:type="dxa"/>
        <w:jc w:val="left"/>
        <w:tblInd w:w="0" w:type="dxa"/>
        <w:tblCellMar>
          <w:top w:w="28" w:type="dxa"/>
          <w:left w:w="28" w:type="dxa"/>
          <w:bottom w:w="28" w:type="dxa"/>
          <w:right w:w="28" w:type="dxa"/>
        </w:tblCellMar>
      </w:tblPr>
      <w:tblGrid>
        <w:gridCol w:w="1605"/>
        <w:gridCol w:w="1414"/>
        <w:gridCol w:w="1420"/>
        <w:gridCol w:w="201"/>
        <w:gridCol w:w="572"/>
        <w:gridCol w:w="112"/>
        <w:gridCol w:w="109"/>
        <w:gridCol w:w="109"/>
        <w:gridCol w:w="109"/>
        <w:gridCol w:w="201"/>
        <w:gridCol w:w="572"/>
        <w:gridCol w:w="112"/>
        <w:gridCol w:w="109"/>
        <w:gridCol w:w="109"/>
        <w:gridCol w:w="109"/>
        <w:gridCol w:w="196"/>
        <w:gridCol w:w="496"/>
        <w:gridCol w:w="109"/>
        <w:gridCol w:w="109"/>
        <w:gridCol w:w="109"/>
        <w:gridCol w:w="109"/>
        <w:gridCol w:w="268"/>
        <w:gridCol w:w="272"/>
        <w:gridCol w:w="437"/>
      </w:tblGrid>
      <w:tr>
        <w:trPr/>
        <w:tc>
          <w:tcPr>
            <w:tcW w:w="1605" w:type="dxa"/>
            <w:tcBorders/>
            <w:shd w:fill="auto" w:val="clear"/>
            <w:vAlign w:val="center"/>
          </w:tcPr>
          <w:p>
            <w:pPr>
              <w:pStyle w:val="TableContents"/>
              <w:spacing w:before="0" w:after="283"/>
              <w:rPr>
                <w:sz w:val="4"/>
                <w:szCs w:val="4"/>
              </w:rPr>
            </w:pPr>
            <w:r>
              <w:rPr>
                <w:sz w:val="4"/>
                <w:szCs w:val="4"/>
              </w:rPr>
            </w:r>
          </w:p>
        </w:tc>
        <w:tc>
          <w:tcPr>
            <w:tcW w:w="1414"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Nurse and Allied Staffing statistical data:</w:t>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FTEs</w:t>
            </w:r>
          </w:p>
        </w:tc>
        <w:tc>
          <w:tcPr>
            <w:tcW w:w="7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13,454 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(936)</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4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Average Nurse and Allied Staffing revenue per FTE per day </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Physician Staffing statistical data:</w:t>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4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Days filled </w:t>
            </w:r>
          </w:p>
        </w:tc>
        <w:tc>
          <w:tcPr>
            <w:tcW w:w="7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22,097 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13,068 </w:t>
            </w:r>
          </w:p>
        </w:tc>
        <w:tc>
          <w:tcPr>
            <w:tcW w:w="11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437"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per day filled </w:t>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1304" w:type="dxa"/>
            <w:gridSpan w:val="6"/>
            <w:tcBorders/>
            <w:shd w:fill="auto" w:val="clea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r>
        <w:trPr/>
        <w:tc>
          <w:tcPr>
            <w:tcW w:w="4439"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7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See definition of Business Measurements under the Operating Metrics section of the MD&amp;A.</w:t>
      </w:r>
    </w:p>
    <w:p>
      <w:pPr>
        <w:pStyle w:val="TextBody"/>
        <w:spacing w:before="0" w:after="0"/>
        <w:rPr/>
      </w:pPr>
      <w:r>
        <w:rPr/>
      </w:r>
    </w:p>
    <w:p>
      <w:pPr>
        <w:pStyle w:val="TextBody"/>
        <w:spacing w:lineRule="auto" w:line="288" w:before="0" w:after="0"/>
        <w:rPr>
          <w:rFonts w:ascii="Times New Roman;sans-serif" w:hAnsi="Times New Roman;sans-serif"/>
          <w:b/>
          <w:color w:val="000000"/>
          <w:sz w:val="19"/>
        </w:rPr>
      </w:pPr>
      <w:r>
        <w:rPr>
          <w:rFonts w:ascii="Times New Roman;sans-serif" w:hAnsi="Times New Roman;sans-serif"/>
          <w:b/>
          <w:color w:val="000000"/>
          <w:sz w:val="19"/>
        </w:rPr>
        <w:t>Segment Comparison - Three Months Ended March 31, 2023 and Three Months Ended March 31, 2022</w:t>
      </w:r>
    </w:p>
    <w:p>
      <w:pPr>
        <w:pStyle w:val="TextBody"/>
        <w:spacing w:before="0" w:after="0"/>
        <w:rPr/>
      </w:pPr>
      <w:r>
        <w:rPr/>
      </w:r>
    </w:p>
    <w:p>
      <w:pPr>
        <w:pStyle w:val="TextBody"/>
        <w:spacing w:lineRule="auto" w:line="288" w:before="0" w:after="0"/>
        <w:rPr>
          <w:rFonts w:ascii="Times New Roman;sans-serif" w:hAnsi="Times New Roman;sans-serif"/>
          <w:b/>
          <w:i/>
          <w:color w:val="000000"/>
          <w:sz w:val="19"/>
        </w:rPr>
      </w:pPr>
      <w:r>
        <w:rPr>
          <w:rFonts w:ascii="Times New Roman;sans-serif" w:hAnsi="Times New Roman;sans-serif"/>
          <w:b/>
          <w:i/>
          <w:color w:val="000000"/>
          <w:sz w:val="19"/>
        </w:rPr>
        <w:t>Nurse and Allied Staffing</w:t>
      </w:r>
    </w:p>
    <w:p>
      <w:pPr>
        <w:pStyle w:val="TextBody"/>
        <w:spacing w:before="0" w:after="0"/>
        <w:rPr/>
      </w:pPr>
      <w:r>
        <w:rPr/>
      </w:r>
    </w:p>
    <w:p>
      <w:pPr>
        <w:pStyle w:val="TextBody"/>
        <w:spacing w:lineRule="auto" w:line="276" w:before="0" w:after="0"/>
        <w:rPr/>
      </w:pPr>
      <w:r>
        <w:rPr>
          <w:rFonts w:ascii="Times New Roman;sans-serif" w:hAnsi="Times New Roman;sans-serif"/>
          <w:b w:val="false"/>
          <w:color w:val="000000"/>
          <w:sz w:val="20"/>
        </w:rPr>
        <w:t>Revenue decreased $183.3 million, or 23.9%, to $582.3 million for the three months ended March 31, 2023, as compared to $765.6 million for the three months ended March 31, 2022, primarily driven by lower average bill rates</w:t>
      </w:r>
      <w:r>
        <w:rPr>
          <w:rFonts w:ascii="Times New Roman;sans-serif" w:hAnsi="Times New Roman;sans-serif"/>
          <w:b w:val="false"/>
          <w:color w:val="000000"/>
          <w:sz w:val="20"/>
          <w:highlight w:val="white"/>
        </w:rPr>
        <w:t>.</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Contribution income decreased $42.9 million, or 39.0%, to $67.2 million for the three months ended March 31, 2023, as compared to $110.1 million for the three months ended March 31, 2022, driven by decreased revenue and higher direct costs. As a percentage of segment revenue, contribution income margin was 11.5% for the three months ended March 31, 2023, as compared to 14.4% for the three months ended March 31, 2022.</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2"/>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decrease in revenue and contribution income year-over-year was greatly impacted by industry tailwinds associated with the COVID-19 pandemic. The average number of FTEs on contract during the three months ended March 31, 2023 decreased 7.0% from the three months ended March 31, 2022, primarily due to headcount decline in travel nurse and local. The average revenue per FTE per day decreased 18.3%, due to the decrease in the average bill rates.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Physician Staffing</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Revenue increased $17.2 million, or 74.5%, to $40.4 million for the three months ended March 31, 2023, as compared to $23.2 million for the three months ended March 31, 2022, primarily due to an increase in volume in most specialties and an improved mix of higher bill rate specialties.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Contribution income was $1.7 million for the three months ended March 31, 2023, as compared to $1.8 million for the three months ended March 31, 2022. As a percentage of segment revenue, contribution income was 4.3% for the three months ended March 31, 2023, as compared to 7.6% for the three months ended March 31, 2022, driven by higher revenue.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Total days filled for the three months ended March 31, 2023 were 22,097, as compared with 13,068 in the prior year. Revenue per day filled was $1,829 as compared with $1,772 in the prior year.</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Corporate Overhead</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Corporate overhead includes unallocated executive leadership and other centralized corporate functional support costs such as finance, IT, legal, human resources, and marketing, as well as public company expenses and corporate-wide projects. Corporate overhead increased to $18.7 million for the three months ended March 31, 2023, from $16.3 million for the three months ended March 31, 2022, primarily </w:t>
      </w:r>
      <w:r>
        <w:rPr>
          <w:rFonts w:ascii="Times New Roman;sans-serif" w:hAnsi="Times New Roman;sans-serif"/>
          <w:b w:val="false"/>
          <w:color w:val="000000"/>
          <w:sz w:val="20"/>
          <w:highlight w:val="white"/>
        </w:rPr>
        <w:t>due to increases in compensation and benefit expense, as well as legal and computer expense.</w:t>
      </w:r>
      <w:r>
        <w:rPr>
          <w:color w:val="000000"/>
        </w:rPr>
        <w:t xml:space="preserve"> </w:t>
      </w:r>
      <w:r>
        <w:rPr>
          <w:rFonts w:ascii="Times New Roman;sans-serif" w:hAnsi="Times New Roman;sans-serif"/>
          <w:b w:val="false"/>
          <w:color w:val="000000"/>
          <w:sz w:val="20"/>
        </w:rPr>
        <w:t>As a percentage of consolidated revenue, corporate overhead was 3.0% for the three months ended March 31, 2023 and 2.1% for the three months ended March 31, 2022.</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Liquidity and Capital Resources</w:t>
      </w:r>
    </w:p>
    <w:p>
      <w:pPr>
        <w:pStyle w:val="TextBody"/>
        <w:spacing w:lineRule="auto" w:line="288" w:before="0" w:after="0"/>
        <w:jc w:val="both"/>
        <w:rPr>
          <w:color w:val="000000"/>
        </w:rPr>
      </w:pPr>
      <w:r>
        <w:rPr>
          <w:color w:val="000000"/>
        </w:rPr>
        <w:t> </w:t>
      </w:r>
    </w:p>
    <w:p>
      <w:pPr>
        <w:pStyle w:val="TextBody"/>
        <w:spacing w:lineRule="auto" w:line="288" w:before="0" w:after="0"/>
        <w:rPr/>
      </w:pPr>
      <w:r>
        <w:rPr>
          <w:rFonts w:ascii="Times New Roman;sans-serif" w:hAnsi="Times New Roman;sans-serif"/>
          <w:b w:val="false"/>
          <w:color w:val="000000"/>
          <w:sz w:val="20"/>
        </w:rPr>
        <w:t>At March 31, 2023, we reported $0.3 million in cash and cash equivalents, $73.9 million of term loan outstanding, at par, and $66.4 million of borrowings drawn under our ABL. Working capital decreased by $20.3 million to $383.7 million as of March 31, 2023, as compared to $404.0 million as of December 31, 2022, primarily due to a decrease in net receivables, partially offset by the timing of disbursements. As of March 31, 2023, our DSO, net of amounts owed to subcontractors, was 70 days, up</w:t>
      </w:r>
      <w:r>
        <w:rPr>
          <w:color w:val="000000"/>
          <w:highlight w:val="white"/>
        </w:rPr>
        <w:t xml:space="preserve"> </w:t>
      </w:r>
      <w:r>
        <w:rPr>
          <w:rFonts w:ascii="Times New Roman;sans-serif" w:hAnsi="Times New Roman;sans-serif"/>
          <w:b w:val="false"/>
          <w:color w:val="000000"/>
          <w:sz w:val="20"/>
          <w:highlight w:val="white"/>
        </w:rPr>
        <w:t>8 days year-over-year and down 2 days sequentially.</w:t>
      </w:r>
      <w:r>
        <w:rPr>
          <w:color w:val="000000"/>
        </w:rPr>
        <w:t xml:space="preserve"> </w:t>
      </w:r>
      <w:r>
        <w:rPr>
          <w:rFonts w:ascii="Times New Roman;sans-serif" w:hAnsi="Times New Roman;sans-serif"/>
          <w:b w:val="false"/>
          <w:color w:val="000000"/>
          <w:sz w:val="20"/>
        </w:rPr>
        <w:t>As of March 31, 2023, we did not have any off-balance sheet arrangements.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operating cash flow constitutes our primary source of liquidity and, historically, has been sufficient to fund our working capital, capital expenditures, internal business expansion, and debt service. This includes our commitments, both short-term and long-term, of interest expense on our debt and operating lease commitments, and future principal payments on our term loan and our ABL credit facility. We expect to meet our future needs from a combination of cash on hand, operating cash flows, and funds available through the ABL. See debt discussion which follows.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2022, our Board of Directors authorized the New Repurchase Program, whereby we may repurchase up to $100.0 million of our shares of common stock. During the first quarter of 2023, we repurchased a total of 1,223,404 shares of common stock for $31.7 million, at an average market price of $25.94 per share. As of March 31, 2023, we had $44.5 million remaining for share repurchase under the New Repurchase Program, subject to certain conditions in our Loan Agreement and Term Loan Agreement. In the second quarter of 2023, our Board of Directors authorized the replenishment of the amount available for stock repurchases under the New Repurchase Program back to $100 million. During the fourth quarter of 2022, we entered into a Rule 10b5-1 Repurchase Plan to allow for share repurchases during our blackout periods.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$75.9 million to $46.9 million for the three months ended March 31, 2023, as compared to $29.0 million used in operating activities for the three months ended March 31, 2022, and increased $42.6 million as compared to $4.3 million for the three months ended December 31,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was $3.5 million for the three months ended March 31, 2023, as compared to $2.1 million for the three months ended March 31, 2022. Net cash used in the three months ended March 31, 2023 was for capital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3"/>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expenditures and an immaterial amount related to the local business acquisition. Net cash used in the three months ended March 31, 2022 was for capital expenditures and computer replacements.</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during the three months ended March 31, 2023 was $46.7 million, as compared to $31.3 million provided by financing activities during the three months ended March 31, 2022. During the three months ended March 31, 2023, we reported net repayments of $10.4 million on our debt, and used cash to pay $4.5 million for income taxes on share-based compensation, $31.8 million for share repurchases, and an immaterial amount for other financing activities. During the three months ended March 31, 2022, we reported net borrowings of $41.9 million on our debt, and used cash to pay $2.4 million on our note payable, $5.0 million for income taxes on share-based compensation, $3.1 million in debt issuance costs, and an immaterial amount for other financing activities.</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Debt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2021 Term Loan Credit Agreement</w:t>
      </w:r>
    </w:p>
    <w:p>
      <w:pPr>
        <w:pStyle w:val="TextBody"/>
        <w:spacing w:before="60" w:after="283"/>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more fully described in Note 8 - Debt to our condensed consolidated financial statements, on June 8, 2021, we entered into a Term Loan Agreement, which provides for a six-year second lien subordinated term loan in the amount of $100.0 million (term loan). The term loan has an interest rate of one-month London Inter-Bank Offered Rate (LIBOR) plus 5.75% per annum, subject to a 0.75% LIBOR floor.</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borrowings under the Term Loan Agreement generally bear interest at a variable rate based on either LIBOR or Base Rate (as defined in the Term Loan Agreement) and are subject to mandatory prepayments of principal payable in quarterly installments, commencing on September 30, 2021, with each installment being in the aggregate principal amount of $0.3 million (subject to adjustment as a result of prepayments) provided that, to the extent not previously paid, the aggregate unpaid principal balance would be due and payable on the maturity date. The Term Loan Agreement contains various restrictions and covenants applicable to the Company and its subsidiaries, including a covenant to maintain a minimum net leverage ratio. The Company was in compliance with this covenant as of March 31, 2023. Obligations under the Term Loan Agreement are secured by substantially all the assets of the borrowers and guarantors under the Term Loan Agreement, subject to customary exceptions.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November 18, 2021, we amended the Term Loan Agreement (Term Loan First Amendment), which provided the Company an incremental term loan in an aggregate amount equal to $75.0 million. Additionally, the Term Loan First Amendment increased the aggregate amount of all increases (as defined in the Term Loan Agreement) to be no greater than $115.0 million. The borrowings were used primarily to fund organic growth. Commencing on December 31, 2021, installments of the mandatory prepayments will be in the aggregate principal amount of $0.4 million. All other terms, conditions, covenants, and pricing of the Term Loan Agreement remain the same.</w:t>
      </w:r>
    </w:p>
    <w:p>
      <w:pPr>
        <w:pStyle w:val="TextBody"/>
        <w:spacing w:before="0" w:after="0"/>
        <w:rPr/>
      </w:pPr>
      <w:r>
        <w:rPr/>
      </w:r>
    </w:p>
    <w:p>
      <w:pPr>
        <w:pStyle w:val="TextBody"/>
        <w:spacing w:lineRule="auto" w:line="268" w:before="0" w:after="0"/>
        <w:rPr/>
      </w:pPr>
      <w:r>
        <w:rPr>
          <w:rFonts w:ascii="Times New Roman;sans-serif" w:hAnsi="Times New Roman;sans-serif"/>
          <w:b w:val="false"/>
          <w:color w:val="000000"/>
          <w:sz w:val="20"/>
        </w:rPr>
        <w:t>On April 14, 2023, we amended the Term Loan Agreement (Term Loan Second Amendment), which provided the option for all or a portion of the borrowings to bear interest at a rate based on the Secured Overnight Financing Rate (SOFR) or the Base Rate, at the election of the borrowers, plus an applicable margin. With respect to any SOFR loan, the rate per annum will be equal to the Term SOFR (as defined in the Term Loan Second Amendment) for the interest period plus an adjustment of 10 basis points due to the credit spread associated with the transition to SOFR. All other terms, conditions, covenants, and pricing of the Term Loan Agreement remain the same.</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addition to our scheduled payments, we made optional prepayments of $50.0 million on our term loan on June 23, 2022 and October 16, 2022, totaling $100.0 million, to reduce interest costs, and incurred prepayment premiums of $1.0 million pursuant to the Term Loan Agreement. As a result of the early prepayments, debt issuance costs of $1.4 million and $1.3 million were written off in the second and fourth quarters of 2022, respectively. The prepayment premiums and the write-off of debt issuance costs are included as loss on early extinguishment of debt in the condensed consolidated statements of operations and comprehensive income.</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i/>
          <w:color w:val="000000"/>
          <w:sz w:val="20"/>
        </w:rPr>
        <w:t>2019 Loan Agreement</w:t>
      </w:r>
      <w:r>
        <w:rPr>
          <w:color w:val="000000"/>
        </w:rPr>
        <w:t xml:space="preserve"> </w:t>
      </w:r>
    </w:p>
    <w:p>
      <w:pPr>
        <w:pStyle w:val="TextBody"/>
        <w:spacing w:before="0" w:after="0"/>
        <w:jc w:val="both"/>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Effective October 25, 2019, our prior senior credit facility entered into in August 2017 was replaced by a $120.0 million Loan Agreement, which provides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4"/>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event and financial reporting triggers. On June 8, 2021, we amended the Loan Agreement (Third Amendment), which permits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SOFR or Base Rate, at the election of the borrowers, plus an applicable margin.</w:t>
      </w:r>
    </w:p>
    <w:p>
      <w:pPr>
        <w:pStyle w:val="TextBody"/>
        <w:spacing w:lineRule="auto" w:line="288" w:before="0" w:after="0"/>
        <w:rPr/>
      </w:pPr>
      <w:r>
        <w:rPr>
          <w:rFonts w:ascii="Times New Roman;sans-serif" w:hAnsi="Times New Roman;sans-serif"/>
          <w:b w:val="false"/>
          <w:color w:val="000000"/>
          <w:sz w:val="20"/>
        </w:rPr>
        <w:t>As of March 31, 2023, the interest rate spreads and fees under the Loan Agreement were based on SOFR plus 1.60% for the revolving portion of the borrowing base. The Base Rate (as defined by the Loan Agreement) margin would have been 0.50% for the revolving portion</w:t>
      </w:r>
      <w:r>
        <w:rPr>
          <w:rFonts w:ascii="Times New Roman;sans-serif" w:hAnsi="Times New Roman;sans-serif"/>
          <w:b w:val="false"/>
          <w:color w:val="000000"/>
          <w:sz w:val="20"/>
          <w:highlight w:val="white"/>
        </w:rPr>
        <w:t>.</w:t>
      </w:r>
      <w:r>
        <w:rPr>
          <w:color w:val="000000"/>
        </w:rPr>
        <w:t xml:space="preserve"> </w:t>
      </w:r>
      <w:r>
        <w:rPr>
          <w:rFonts w:ascii="Times New Roman;sans-serif" w:hAnsi="Times New Roman;sans-serif"/>
          <w:b w:val="false"/>
          <w:color w:val="000000"/>
          <w:sz w:val="20"/>
        </w:rPr>
        <w:t>The SOFR and Base Rate margins are subject to monthly pricing adjustments, pursuant to a pricing matrix based on our excess availability under the revolving credit facility. In addition, the facility is subject to an unused line fee, letter of credit fees, and an administrative fee. The Loan Agreement contains various restrictions and covenants, including a covenant to maintain a minimum fixed charge coverage ratio. We were in compliance with the fixed charge coverage ratio covenant as of March 31, 2023. Borrowing base availability under the ABL was $300.0 million at March 31, 2023, with $66.4 million of borrowings drawn, as well as $18.2 million of letters of credit outstanding, leaving $215.4 million of excess availability.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8 - Debt to our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 and Estimates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and estimates remain consistent with those reported in our 2022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Stockholders’ Equity</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11 - Stockholders' Equity to our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u w:val="single"/>
        </w:rPr>
      </w:pPr>
      <w:r>
        <w:rPr>
          <w:rFonts w:ascii="Times New Roman;sans-serif" w:hAnsi="Times New Roman;sans-serif"/>
          <w:b/>
          <w:color w:val="000000"/>
          <w:sz w:val="20"/>
          <w:u w:val="single"/>
        </w:rPr>
        <w:t>Transactions with Related Parties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15 - Related Party Transactions to our condensed consolidated financial statements.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5"/>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before="0" w:after="0"/>
        <w:jc w:val="both"/>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exposed to variable interest rate risk associated with our Term Loan Agreement entered into on June 8, 2021 and our Loan Agreement entered into on October 25, 2019. These agreements charge interest at a rate based on either SOFR, LIBOR, or Base Rate (as defined in the agreements) plus an applicable margin.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1% change in interest rates would have resulted in interest expense fluctuating approximately $0.4 million and $0.5 million for the three months ended March 31, 2023 and 2022, respectively. See Note 8 - Debt to our condensed consolidated financial statements.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Other Risks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other exposures as disclosed in our 2022 Form 10-K.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are effective.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21945"/>
                <wp:effectExtent l="0" t="0" r="0" b="0"/>
                <wp:wrapNone/>
                <wp:docPr id="37" name="Frame36"/>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lineRule="auto" w:line="288" w:before="0" w:after="0"/>
        <w:jc w:val="both"/>
        <w:rPr>
          <w:color w:val="000000"/>
        </w:rPr>
      </w:pPr>
      <w:r>
        <w:rPr>
          <w:color w:val="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before="0" w:after="0"/>
        <w:jc w:val="both"/>
        <w:rPr/>
      </w:pPr>
      <w:r>
        <w:rPr/>
      </w:r>
    </w:p>
    <w:p>
      <w:pPr>
        <w:pStyle w:val="TextBody"/>
        <w:spacing w:lineRule="auto" w:line="288" w:before="0" w:after="0"/>
        <w:rPr/>
      </w:pPr>
      <w:r>
        <w:rPr>
          <w:rFonts w:ascii="Times New Roman;sans-serif" w:hAnsi="Times New Roman;sans-serif"/>
          <w:b w:val="false"/>
          <w:color w:val="000000"/>
          <w:sz w:val="20"/>
          <w:highlight w:val="white"/>
        </w:rPr>
        <w:t xml:space="preserve">Information with respect to certain legal proceedings is included in Part I, Item 1, Note 13 - Contingencies - </w:t>
      </w:r>
      <w:r>
        <w:rPr>
          <w:rFonts w:ascii="Times New Roman;sans-serif" w:hAnsi="Times New Roman;sans-serif"/>
          <w:b w:val="false"/>
          <w:i/>
          <w:color w:val="000000"/>
          <w:sz w:val="20"/>
          <w:highlight w:val="white"/>
        </w:rPr>
        <w:t>Legal Proceedings</w:t>
      </w:r>
      <w:r>
        <w:rPr>
          <w:color w:val="000000"/>
          <w:highlight w:val="white"/>
        </w:rPr>
        <w:t xml:space="preserve"> </w:t>
      </w:r>
      <w:r>
        <w:rPr>
          <w:rFonts w:ascii="Times New Roman;sans-serif" w:hAnsi="Times New Roman;sans-serif"/>
          <w:b w:val="false"/>
          <w:color w:val="000000"/>
          <w:sz w:val="20"/>
          <w:highlight w:val="white"/>
        </w:rPr>
        <w:t>of this Quarterly Report on Form 10-Q, and is incorporated herein by reference.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1080"/>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before="0" w:after="0"/>
        <w:jc w:val="both"/>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There are no material changes to our Risk Factors as previously disclosed in our 2022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 Issuer Purchases of Equity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shares purchased, the average price paid per share, the total number of shares purchased as part of publicly announced programs, and the approximate dollar value of shares that may yet be purchased under the programs during each month in the first fiscal quarter ended March 31, 2023. See Note 11 - Stockholders' Equity contained in “Notes to Condensed Consolidated Financial Statements” in Part I, Item 1 of this Quarterly Report on Form 10-Q for additional information.</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474"/>
        <w:gridCol w:w="362"/>
        <w:gridCol w:w="367"/>
        <w:gridCol w:w="109"/>
        <w:gridCol w:w="109"/>
        <w:gridCol w:w="109"/>
        <w:gridCol w:w="723"/>
        <w:gridCol w:w="437"/>
        <w:gridCol w:w="438"/>
        <w:gridCol w:w="109"/>
        <w:gridCol w:w="109"/>
        <w:gridCol w:w="109"/>
        <w:gridCol w:w="367"/>
        <w:gridCol w:w="367"/>
        <w:gridCol w:w="368"/>
        <w:gridCol w:w="109"/>
        <w:gridCol w:w="109"/>
        <w:gridCol w:w="109"/>
        <w:gridCol w:w="967"/>
        <w:gridCol w:w="745"/>
        <w:gridCol w:w="747"/>
        <w:gridCol w:w="109"/>
        <w:gridCol w:w="109"/>
        <w:gridCol w:w="109"/>
        <w:gridCol w:w="740"/>
        <w:gridCol w:w="740"/>
        <w:gridCol w:w="1055"/>
      </w:tblGrid>
      <w:tr>
        <w:trPr/>
        <w:tc>
          <w:tcPr>
            <w:tcW w:w="474"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55" w:type="dxa"/>
            <w:tcBorders/>
            <w:shd w:fill="auto" w:val="clear"/>
            <w:vAlign w:val="center"/>
          </w:tcPr>
          <w:p>
            <w:pPr>
              <w:pStyle w:val="TableContents"/>
              <w:spacing w:before="0" w:after="283"/>
              <w:rPr>
                <w:sz w:val="4"/>
                <w:szCs w:val="4"/>
              </w:rPr>
            </w:pPr>
            <w:r>
              <w:rPr>
                <w:sz w:val="4"/>
                <w:szCs w:val="4"/>
              </w:rPr>
            </w:r>
          </w:p>
        </w:tc>
      </w:tr>
      <w:tr>
        <w:trPr/>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Average Price Paid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 Number of Shares Purchased as Part of Publicly Announced Plans or Programs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Approximate Dollar Value of Shares that May Yet Be Purchased Under the Plans or Programs (b)</w:t>
            </w:r>
          </w:p>
        </w:tc>
      </w:tr>
      <w:tr>
        <w:trPr/>
        <w:tc>
          <w:tcPr>
            <w:tcW w:w="10205" w:type="dxa"/>
            <w:gridSpan w:val="27"/>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(dollar value in thousands, except per share data)</w:t>
            </w:r>
          </w:p>
        </w:tc>
      </w:tr>
      <w:tr>
        <w:trPr/>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through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104,290 </w:t>
            </w:r>
          </w:p>
        </w:tc>
        <w:tc>
          <w:tcPr>
            <w:tcW w:w="4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104,290 </w:t>
            </w:r>
          </w:p>
        </w:tc>
        <w:tc>
          <w:tcPr>
            <w:tcW w:w="7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$73,321</w:t>
            </w:r>
          </w:p>
        </w:tc>
      </w:tr>
      <w:tr>
        <w:trPr/>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through February 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361,358 </w:t>
            </w:r>
          </w:p>
        </w:tc>
        <w:tc>
          <w:tcPr>
            <w:tcW w:w="4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361,358 </w:t>
            </w:r>
          </w:p>
        </w:tc>
        <w:tc>
          <w:tcPr>
            <w:tcW w:w="7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$63,687</w:t>
            </w:r>
          </w:p>
        </w:tc>
      </w:tr>
      <w:tr>
        <w:trPr/>
        <w:tc>
          <w:tcPr>
            <w:tcW w:w="12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through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757,756 </w:t>
            </w:r>
          </w:p>
        </w:tc>
        <w:tc>
          <w:tcPr>
            <w:tcW w:w="43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757,756 </w:t>
            </w:r>
          </w:p>
        </w:tc>
        <w:tc>
          <w:tcPr>
            <w:tcW w:w="747"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$44,496</w:t>
            </w:r>
          </w:p>
        </w:tc>
      </w:tr>
      <w:tr>
        <w:trPr/>
        <w:tc>
          <w:tcPr>
            <w:tcW w:w="12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1,223,404 </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1,223,404 </w:t>
            </w:r>
          </w:p>
        </w:tc>
        <w:tc>
          <w:tcPr>
            <w:tcW w:w="7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$44,496</w:t>
            </w:r>
          </w:p>
        </w:tc>
      </w:tr>
    </w:tbl>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________________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Shares were repurchased under a $100 million stock repurchase program, authorized by the Board of Directors on August 16, 2022. The program has no expiration date but may be terminated by the Board of Directors at any time. No shares were purchased other than through publicly announced programs during the periods shown.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 Amounts shown in this column reflect amounts remaining under the New Repurchase Program referenced in Note 11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21945"/>
                <wp:effectExtent l="0" t="0" r="0" b="0"/>
                <wp:wrapNone/>
                <wp:docPr id="38" name="Frame37"/>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0" w:after="0"/>
        <w:jc w:val="both"/>
        <w:rPr>
          <w:color w:val="000000"/>
        </w:rPr>
      </w:pPr>
      <w:r>
        <w:rPr>
          <w:color w:val="000000"/>
        </w:rPr>
        <w:t> </w:t>
      </w:r>
    </w:p>
    <w:tbl>
      <w:tblPr>
        <w:tblW w:w="10205" w:type="dxa"/>
        <w:jc w:val="left"/>
        <w:tblInd w:w="0" w:type="dxa"/>
        <w:tblCellMar>
          <w:top w:w="28" w:type="dxa"/>
          <w:left w:w="28" w:type="dxa"/>
          <w:bottom w:w="28" w:type="dxa"/>
          <w:right w:w="28" w:type="dxa"/>
        </w:tblCellMar>
      </w:tblPr>
      <w:tblGrid>
        <w:gridCol w:w="275"/>
        <w:gridCol w:w="242"/>
        <w:gridCol w:w="250"/>
        <w:gridCol w:w="109"/>
        <w:gridCol w:w="109"/>
        <w:gridCol w:w="109"/>
        <w:gridCol w:w="3208"/>
        <w:gridCol w:w="2858"/>
        <w:gridCol w:w="2888"/>
        <w:gridCol w:w="157"/>
      </w:tblGrid>
      <w:tr>
        <w:trPr/>
        <w:tc>
          <w:tcPr>
            <w:tcW w:w="275"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08" w:type="dxa"/>
            <w:tcBorders/>
            <w:shd w:fill="auto" w:val="clear"/>
            <w:vAlign w:val="center"/>
          </w:tcPr>
          <w:p>
            <w:pPr>
              <w:pStyle w:val="TableContents"/>
              <w:spacing w:before="0" w:after="283"/>
              <w:rPr>
                <w:sz w:val="4"/>
                <w:szCs w:val="4"/>
              </w:rPr>
            </w:pPr>
            <w:r>
              <w:rPr>
                <w:sz w:val="4"/>
                <w:szCs w:val="4"/>
              </w:rPr>
            </w:r>
          </w:p>
        </w:tc>
        <w:tc>
          <w:tcPr>
            <w:tcW w:w="285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Pr>
                <w:t>Second Amendment to Term Loan Credit Agreement, by and among Cross Country Healthcare, Inc., the Guarantors (as defined therein), the Lenders (as defined therein), and Wilmington Trust, National Association, dated April 14,</w:t>
              </w:r>
            </w:hyperlink>
            <w:hyperlink r:id="rId4">
              <w:r>
                <w:rPr>
                  <w:rStyle w:val="InternetLink"/>
                </w:rPr>
                <w:t xml:space="preserve"> </w:t>
              </w:r>
            </w:hyperlink>
            <w:hyperlink r:id="rId5">
              <w:r>
                <w:rPr>
                  <w:rStyle w:val="InternetLink"/>
                </w:rPr>
                <w:t>2023 (Previously filed as an exhibit to the Company's Form 8-K dated April 18, 2023 and incorporated by reference herein.)</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crn20230331-10qex31x1.htm">
              <w:r>
                <w:rPr>
                  <w:rStyle w:val="InternetLink"/>
                  <w:rFonts w:ascii="Times New Roman;sans-serif" w:hAnsi="Times New Roman;sans-serif"/>
                  <w:b w:val="false"/>
                  <w:color w:val="0000FF"/>
                  <w:sz w:val="20"/>
                  <w:u w:val="single"/>
                </w:rPr>
                <w:t>Certification pursuant to Rule 13a-14(a) and Rule 15d-14(a) by John A. Martins, President, Chief Executive Officer, Director (Principal Executive Officer)</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crn20230331-10qex31x2.htm">
              <w:r>
                <w:rPr>
                  <w:rStyle w:val="InternetLink"/>
                </w:rPr>
                <w:t xml:space="preserve">Certification pursuant to Rule 13a-14(a) and Rule 15d-14(a) by William J. Burns, Executive Vice President, Chief Financial Officer (Principal </w:t>
              </w:r>
            </w:hyperlink>
            <w:hyperlink w:anchor="ccrn20230331-10qex31x2.htm">
              <w:r>
                <w:rPr>
                  <w:rStyle w:val="InternetLink"/>
                </w:rPr>
                <w:t>Financial Officer)</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crn20230331-10qex32x1.htm">
              <w:r>
                <w:rPr>
                  <w:rStyle w:val="InternetLink"/>
                  <w:rFonts w:ascii="Times New Roman;sans-serif" w:hAnsi="Times New Roman;sans-serif"/>
                  <w:b w:val="false"/>
                  <w:color w:val="0000FF"/>
                  <w:sz w:val="20"/>
                  <w:u w:val="single"/>
                </w:rPr>
                <w:t>Certification pursuant to 18 U.S.C. Section 1350 by John A. Martins, President, Chief Executive Officer, Director (Principal Executive Officer)</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crn20230331-10qex32x2.htm">
              <w:r>
                <w:rPr>
                  <w:rStyle w:val="InternetLink"/>
                </w:rPr>
                <w:t xml:space="preserve">Certification pursuant to 18 U.S.C. Section 1350 by William J. Burns, Executive Vice President, Chief Financial Officer (Principal </w:t>
              </w:r>
            </w:hyperlink>
            <w:hyperlink w:anchor="ccrn20230331-10qex32x2.htm">
              <w:r>
                <w:rPr>
                  <w:rStyle w:val="InternetLink"/>
                </w:rPr>
                <w:t>Financial Officer)</w:t>
              </w:r>
            </w:hyperlink>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54"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954"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Represents a management contract or compensatory plan or arrangement</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6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9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21945"/>
                <wp:effectExtent l="0" t="0" r="0" b="0"/>
                <wp:wrapNone/>
                <wp:docPr id="39" name="Frame38"/>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spacing w:lineRule="auto" w:line="288" w:before="0" w:after="0"/>
        <w:jc w:val="both"/>
        <w:rPr>
          <w:color w:val="000000"/>
        </w:rPr>
      </w:pPr>
      <w:r>
        <w:rPr>
          <w:color w:val="000000"/>
        </w:rPr>
        <w:t> </w:t>
      </w:r>
    </w:p>
    <w:tbl>
      <w:tblPr>
        <w:tblW w:w="7648" w:type="dxa"/>
        <w:jc w:val="left"/>
        <w:tblInd w:w="0" w:type="dxa"/>
        <w:tblCellMar>
          <w:top w:w="28" w:type="dxa"/>
          <w:left w:w="28" w:type="dxa"/>
          <w:bottom w:w="28" w:type="dxa"/>
          <w:right w:w="28" w:type="dxa"/>
        </w:tblCellMar>
      </w:tblPr>
      <w:tblGrid>
        <w:gridCol w:w="591"/>
        <w:gridCol w:w="520"/>
        <w:gridCol w:w="523"/>
        <w:gridCol w:w="575"/>
        <w:gridCol w:w="575"/>
        <w:gridCol w:w="575"/>
        <w:gridCol w:w="1254"/>
        <w:gridCol w:w="1254"/>
        <w:gridCol w:w="178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575"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14"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CROSS COUNTRY HEALTHCARE, INC.</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4, 2023</w:t>
            </w:r>
          </w:p>
        </w:tc>
        <w:tc>
          <w:tcPr>
            <w:tcW w:w="17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2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16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William J. Burns </w:t>
              <w:br/>
              <w:t>Executive Vice President &amp; Chief Financial Officer</w:t>
              <w:br/>
              <w:t>(Principal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21945"/>
                <wp:effectExtent l="0" t="0" r="0" b="0"/>
                <wp:wrapNone/>
                <wp:docPr id="40" name="Frame39"/>
                <a:graphic xmlns:a="http://schemas.openxmlformats.org/drawingml/2006/main">
                  <a:graphicData uri="http://schemas.microsoft.com/office/word/2010/wordprocessingShape">
                    <wps:wsp>
                      <wps:cNvSpPr txBox="1"/>
                      <wps:spPr>
                        <a:xfrm>
                          <a:off x="0" y="0"/>
                          <a:ext cx="6480175" cy="321945"/>
                        </a:xfrm>
                        <a:prstGeom prst="rect"/>
                      </wps:spPr>
                      <wps:txb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John A. Martins, certify that:</w:t>
      </w:r>
    </w:p>
    <w:p>
      <w:pPr>
        <w:pStyle w:val="TextBody"/>
        <w:spacing w:lineRule="auto" w:line="288" w:before="0" w:after="0"/>
        <w:jc w:val="both"/>
        <w:rPr>
          <w:color w:val="000000"/>
        </w:rPr>
      </w:pPr>
      <w:r>
        <w:rPr>
          <w:color w:val="000000"/>
        </w:rPr>
        <w:t> </w:t>
      </w:r>
    </w:p>
    <w:p>
      <w:pPr>
        <w:pStyle w:val="TextBody"/>
        <w:spacing w:before="0" w:after="0"/>
        <w:rPr/>
      </w:pPr>
      <w:r>
        <w:rPr/>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Cross Country Healthcare, Inc.;</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754" w:type="dxa"/>
        <w:jc w:val="left"/>
        <w:tblInd w:w="0" w:type="dxa"/>
        <w:tblCellMar>
          <w:top w:w="28" w:type="dxa"/>
          <w:left w:w="28" w:type="dxa"/>
          <w:bottom w:w="28" w:type="dxa"/>
          <w:right w:w="28" w:type="dxa"/>
        </w:tblCellMar>
      </w:tblPr>
      <w:tblGrid>
        <w:gridCol w:w="200"/>
        <w:gridCol w:w="177"/>
        <w:gridCol w:w="178"/>
        <w:gridCol w:w="379"/>
        <w:gridCol w:w="379"/>
        <w:gridCol w:w="381"/>
        <w:gridCol w:w="893"/>
        <w:gridCol w:w="893"/>
        <w:gridCol w:w="127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&amp; Chief Executive Officer</w:t>
              <w:br/>
              <w:t>(Principal Executive Officer)</w:t>
            </w:r>
          </w:p>
        </w:tc>
      </w:tr>
    </w:tbl>
    <w:p>
      <w:pPr>
        <w:pStyle w:val="TextBody"/>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spacing w:lineRule="auto" w:line="288" w:before="0" w:after="0"/>
        <w:jc w:val="both"/>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William J. Burns, certify that:</w:t>
      </w:r>
    </w:p>
    <w:p>
      <w:pPr>
        <w:pStyle w:val="TextBody"/>
        <w:spacing w:before="0" w:after="0"/>
        <w:rPr/>
      </w:pPr>
      <w:r>
        <w:rPr/>
      </w:r>
    </w:p>
    <w:p>
      <w:pPr>
        <w:pStyle w:val="TextBody"/>
        <w:spacing w:before="0" w:after="0"/>
        <w:rPr/>
      </w:pPr>
      <w:r>
        <w:rPr/>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Cross Country Healthcare, Inc.;</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0" w:after="12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lineRule="auto" w:line="288" w:before="0" w:after="0"/>
        <w:jc w:val="both"/>
        <w:rPr>
          <w:color w:val="000000"/>
        </w:rPr>
      </w:pPr>
      <w:r>
        <w:rPr>
          <w:color w:val="000000"/>
        </w:rPr>
        <w:t> </w:t>
      </w:r>
    </w:p>
    <w:tbl>
      <w:tblPr>
        <w:tblW w:w="8294" w:type="dxa"/>
        <w:jc w:val="left"/>
        <w:tblInd w:w="0" w:type="dxa"/>
        <w:tblCellMar>
          <w:top w:w="28" w:type="dxa"/>
          <w:left w:w="28" w:type="dxa"/>
          <w:bottom w:w="28" w:type="dxa"/>
          <w:right w:w="28" w:type="dxa"/>
        </w:tblCellMar>
      </w:tblPr>
      <w:tblGrid>
        <w:gridCol w:w="200"/>
        <w:gridCol w:w="177"/>
        <w:gridCol w:w="178"/>
        <w:gridCol w:w="379"/>
        <w:gridCol w:w="379"/>
        <w:gridCol w:w="381"/>
        <w:gridCol w:w="1924"/>
        <w:gridCol w:w="1924"/>
        <w:gridCol w:w="275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275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&amp; Chief Financial Officer (Principal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on Form 10-Q of Cross Country Healthcare, Inc. (the Company) for the quarterly period ended March 31, 2023, (the "Periodic Report"), I, John A. Martins, President and Chief Executive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pStyle w:val="TextBody"/>
        <w:spacing w:lineRule="auto" w:line="288" w:before="0" w:after="0"/>
        <w:jc w:val="both"/>
        <w:rPr>
          <w:color w:val="000000"/>
        </w:rPr>
      </w:pPr>
      <w:r>
        <w:rPr>
          <w:color w:val="000000"/>
        </w:rPr>
        <w:t> </w:t>
      </w:r>
    </w:p>
    <w:tbl>
      <w:tblPr>
        <w:tblW w:w="4798" w:type="dxa"/>
        <w:jc w:val="left"/>
        <w:tblInd w:w="0" w:type="dxa"/>
        <w:tblCellMar>
          <w:top w:w="28" w:type="dxa"/>
          <w:left w:w="28" w:type="dxa"/>
          <w:bottom w:w="28" w:type="dxa"/>
          <w:right w:w="28" w:type="dxa"/>
        </w:tblCellMar>
      </w:tblPr>
      <w:tblGrid>
        <w:gridCol w:w="216"/>
        <w:gridCol w:w="191"/>
        <w:gridCol w:w="192"/>
        <w:gridCol w:w="379"/>
        <w:gridCol w:w="379"/>
        <w:gridCol w:w="381"/>
        <w:gridCol w:w="893"/>
        <w:gridCol w:w="893"/>
        <w:gridCol w:w="1274"/>
      </w:tblGrid>
      <w:tr>
        <w:trPr/>
        <w:tc>
          <w:tcPr>
            <w:tcW w:w="21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r>
      <w:tr>
        <w:trPr/>
        <w:tc>
          <w:tcPr>
            <w:tcW w:w="5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30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A. Martins</w:t>
            </w:r>
          </w:p>
        </w:tc>
      </w:tr>
      <w:tr>
        <w:trPr/>
        <w:tc>
          <w:tcPr>
            <w:tcW w:w="5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A. Martins</w:t>
              <w:br/>
              <w:t>President &amp; Chief Executive Officer</w:t>
              <w:br/>
              <w:t>(Principal Executive Officer)</w:t>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pStyle w:val="TextBody"/>
        <w:spacing w:lineRule="auto" w:line="288" w:before="0" w:after="0"/>
        <w:jc w:val="both"/>
        <w:rPr>
          <w:color w:val="000000"/>
        </w:rPr>
      </w:pPr>
      <w:r>
        <w:rPr>
          <w:color w:val="000000"/>
        </w:rPr>
        <w:t> </w:t>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0" w:after="0"/>
        <w:jc w:val="both"/>
        <w:rPr>
          <w:color w:val="000000"/>
        </w:rPr>
      </w:pPr>
      <w:r>
        <w:rPr>
          <w:color w:val="000000"/>
        </w:rPr>
        <w: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spacing w:lineRule="auto" w:line="288" w:before="0" w:after="0"/>
        <w:jc w:val="both"/>
        <w:rPr>
          <w:color w:val="000000"/>
        </w:rPr>
      </w:pPr>
      <w:r>
        <w:rPr>
          <w:color w:val="000000"/>
        </w:rPr>
        <w:t> </w:t>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connection with the accompanying Quarterly Report on Form 10-Q of Cross Country Healthcare, Inc. (the "Company") for the quarterly period ended March 31, 2023, (the "Periodic Report"), I, William J. Burns, Executive Vice President and Chief Financial Officer of the Company, hereby certify pursuant to 18 U.S.C. Section 1350, as adopted pursuant to Section 906 of the Sarbanes-Oxley Act of 2002, that to my knowledge the Periodic Report fully complies with the requirements of Section 13(a) or 15(d) of the Securities Exchange Act of 1934 and that the information contained in the Periodic Report fairly presents, in all material respects, the financial condition and results of operations of the Company.</w:t>
      </w:r>
    </w:p>
    <w:p>
      <w:pPr>
        <w:pStyle w:val="TextBody"/>
        <w:spacing w:lineRule="auto" w:line="288" w:before="0" w:after="0"/>
        <w:jc w:val="both"/>
        <w:rPr>
          <w:color w:val="000000"/>
        </w:rPr>
      </w:pPr>
      <w:r>
        <w:rPr>
          <w:color w:val="000000"/>
        </w:rPr>
        <w:t> </w:t>
      </w:r>
    </w:p>
    <w:tbl>
      <w:tblPr>
        <w:tblW w:w="8294" w:type="dxa"/>
        <w:jc w:val="left"/>
        <w:tblInd w:w="0" w:type="dxa"/>
        <w:tblCellMar>
          <w:top w:w="28" w:type="dxa"/>
          <w:left w:w="28" w:type="dxa"/>
          <w:bottom w:w="28" w:type="dxa"/>
          <w:right w:w="28" w:type="dxa"/>
        </w:tblCellMar>
      </w:tblPr>
      <w:tblGrid>
        <w:gridCol w:w="200"/>
        <w:gridCol w:w="177"/>
        <w:gridCol w:w="178"/>
        <w:gridCol w:w="379"/>
        <w:gridCol w:w="379"/>
        <w:gridCol w:w="381"/>
        <w:gridCol w:w="1924"/>
        <w:gridCol w:w="1924"/>
        <w:gridCol w:w="2752"/>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1924" w:type="dxa"/>
            <w:tcBorders/>
            <w:shd w:fill="auto" w:val="clear"/>
            <w:vAlign w:val="center"/>
          </w:tcPr>
          <w:p>
            <w:pPr>
              <w:pStyle w:val="TableContents"/>
              <w:spacing w:before="0" w:after="283"/>
              <w:rPr>
                <w:sz w:val="4"/>
                <w:szCs w:val="4"/>
              </w:rPr>
            </w:pPr>
            <w:r>
              <w:rPr>
                <w:sz w:val="4"/>
                <w:szCs w:val="4"/>
              </w:rPr>
            </w:r>
          </w:p>
        </w:tc>
        <w:tc>
          <w:tcPr>
            <w:tcW w:w="2752"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66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William J. Burns</w:t>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Burns</w:t>
              <w:br/>
              <w:t>Executive Vice President &amp; Chief Financial Officer (Principal Financial Officer)</w:t>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pStyle w:val="TextBody"/>
        <w:spacing w:lineRule="auto" w:line="288" w:before="0" w:after="0"/>
        <w:jc w:val="both"/>
        <w:rPr>
          <w:color w:val="000000"/>
        </w:rPr>
      </w:pPr>
      <w:r>
        <w:rPr>
          <w:color w:val="000000"/>
        </w:rPr>
        <w:t> </w:t>
      </w:r>
    </w:p>
    <w:p>
      <w:pPr>
        <w:pStyle w:val="TextBody"/>
        <w:spacing w:lineRule="auto" w:line="288"/>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provided solely for purposes of complying with the provisions of Section 906 of the Sarbanes-Oxley Act of 2002.</w:t>
      </w:r>
      <w:r>
        <w:br w:type="page"/>
      </w:r>
    </w:p>
    <w:p>
      <w:pPr>
        <w:pStyle w:val="TextBody"/>
        <w:spacing w:before="0" w:after="283"/>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141103/000115752323000574/a53381943_ex101.htm" TargetMode="External"/><Relationship Id="rId4" Type="http://schemas.openxmlformats.org/officeDocument/2006/relationships/hyperlink" Target="https://www.sec.gov/Archives/edgar/data/1141103/000115752323000574/a53381943_ex101.htm" TargetMode="External"/><Relationship Id="rId5" Type="http://schemas.openxmlformats.org/officeDocument/2006/relationships/hyperlink" Target="https://www.sec.gov/Archives/edgar/data/1141103/000115752323000574/a53381943_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18564</Words>
  <CharactersWithSpaces>121060</CharactersWithSpaces>
  <Paragraphs>1909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