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FORM 10-Q</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t>
      </w:r>
    </w:p>
    <w:p>
      <w:pPr>
        <w:spacing w:after="0" w:line="107" w:lineRule="exact"/>
        <w:rPr>
          <w:sz w:val="24"/>
          <w:szCs w:val="24"/>
          <w:color w:val="auto"/>
        </w:rPr>
      </w:pPr>
    </w:p>
    <w:p>
      <w:pPr>
        <w:ind w:left="4020" w:right="2100" w:hanging="1535"/>
        <w:spacing w:after="0" w:line="351" w:lineRule="auto"/>
        <w:tabs>
          <w:tab w:leader="none" w:pos="267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6" w:lineRule="exact"/>
        <w:rPr>
          <w:sz w:val="24"/>
          <w:szCs w:val="24"/>
          <w:color w:val="auto"/>
        </w:rPr>
      </w:pPr>
    </w:p>
    <w:p>
      <w:pPr>
        <w:jc w:val="center"/>
        <w:ind w:right="-399"/>
        <w:spacing w:after="0"/>
        <w:rPr>
          <w:sz w:val="20"/>
          <w:szCs w:val="20"/>
          <w:color w:val="auto"/>
        </w:rPr>
      </w:pPr>
      <w:r>
        <w:rPr>
          <w:rFonts w:ascii="Arial" w:cs="Arial" w:eastAsia="Arial" w:hAnsi="Arial"/>
          <w:sz w:val="16"/>
          <w:szCs w:val="16"/>
          <w:color w:val="auto"/>
        </w:rPr>
        <w:t>Or</w:t>
      </w:r>
    </w:p>
    <w:p>
      <w:pPr>
        <w:spacing w:after="0" w:line="123" w:lineRule="exact"/>
        <w:rPr>
          <w:sz w:val="24"/>
          <w:szCs w:val="24"/>
          <w:color w:val="auto"/>
        </w:rPr>
      </w:pPr>
    </w:p>
    <w:p>
      <w:pPr>
        <w:ind w:left="3680" w:right="2080" w:hanging="1207"/>
        <w:spacing w:after="0" w:line="390" w:lineRule="auto"/>
        <w:tabs>
          <w:tab w:leader="none" w:pos="2667"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-63500</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9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192" w:right="719" w:bottom="1440" w:gutter="0" w:footer="0" w:header="0"/>
        </w:sectPr>
      </w:pPr>
    </w:p>
    <w:p>
      <w:pPr>
        <w:spacing w:after="0" w:line="42"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92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0-33169</w:t>
      </w:r>
    </w:p>
    <w:p>
      <w:pPr>
        <w:spacing w:after="0" w:line="36" w:lineRule="exact"/>
        <w:rPr>
          <w:sz w:val="24"/>
          <w:szCs w:val="24"/>
          <w:color w:val="auto"/>
        </w:rPr>
      </w:pPr>
    </w:p>
    <w:p>
      <w:pPr>
        <w:jc w:val="center"/>
        <w:ind w:right="1900"/>
        <w:spacing w:after="0"/>
        <w:rPr>
          <w:sz w:val="20"/>
          <w:szCs w:val="20"/>
          <w:color w:val="auto"/>
        </w:rPr>
      </w:pPr>
      <w:r>
        <w:rPr>
          <w:rFonts w:ascii="Arial" w:cs="Arial" w:eastAsia="Arial" w:hAnsi="Arial"/>
          <w:sz w:val="14"/>
          <w:szCs w:val="14"/>
          <w:i w:val="1"/>
          <w:iCs w:val="1"/>
          <w:color w:val="auto"/>
        </w:rPr>
        <w:t>Commission</w:t>
      </w:r>
    </w:p>
    <w:p>
      <w:pPr>
        <w:spacing w:after="0" w:line="15" w:lineRule="exact"/>
        <w:rPr>
          <w:sz w:val="24"/>
          <w:szCs w:val="24"/>
          <w:color w:val="auto"/>
        </w:rPr>
      </w:pPr>
    </w:p>
    <w:p>
      <w:pPr>
        <w:jc w:val="center"/>
        <w:ind w:right="190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13-4066229</w:t>
      </w:r>
    </w:p>
    <w:p>
      <w:pPr>
        <w:spacing w:after="0" w:line="28"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(I.R.S. Employer</w:t>
      </w: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201" w:lineRule="exact"/>
        <w:rPr>
          <w:sz w:val="24"/>
          <w:szCs w:val="24"/>
          <w:color w:val="auto"/>
        </w:rPr>
      </w:pPr>
    </w:p>
    <w:p>
      <w:pPr>
        <w:sectPr>
          <w:pgSz w:w="11900" w:h="16838" w:orient="portrait"/>
          <w:cols w:equalWidth="0" w:num="3">
            <w:col w:w="4500" w:space="720"/>
            <w:col w:w="2700" w:space="720"/>
            <w:col w:w="2220"/>
          </w:cols>
          <w:pgMar w:left="320" w:top="1192" w:right="719" w:bottom="1440" w:gutter="0" w:footer="0" w:header="0"/>
          <w:type w:val="continuous"/>
        </w:sect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6"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1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109"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77"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192" w:right="719" w:bottom="1440" w:gutter="0" w:footer="0" w:header="0"/>
          <w:type w:val="continuous"/>
        </w:sectPr>
      </w:pPr>
    </w:p>
    <w:p>
      <w:pPr>
        <w:spacing w:after="0" w:line="54" w:lineRule="exact"/>
        <w:rPr>
          <w:sz w:val="24"/>
          <w:szCs w:val="24"/>
          <w:color w:val="auto"/>
        </w:rPr>
      </w:pPr>
    </w:p>
    <w:p>
      <w:pPr>
        <w:ind w:left="13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060" w:space="720"/>
            <w:col w:w="1980" w:space="720"/>
            <w:col w:w="3380"/>
          </w:cols>
          <w:pgMar w:left="320" w:top="1192" w:right="71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211" w:lineRule="exact"/>
        <w:rPr>
          <w:sz w:val="24"/>
          <w:szCs w:val="24"/>
          <w:color w:val="auto"/>
        </w:rPr>
      </w:pPr>
    </w:p>
    <w:p>
      <w:pPr>
        <w:sectPr>
          <w:pgSz w:w="11900" w:h="16838" w:orient="portrait"/>
          <w:cols w:equalWidth="0" w:num="3">
            <w:col w:w="4400" w:space="720"/>
            <w:col w:w="2300" w:space="720"/>
            <w:col w:w="2720"/>
          </w:cols>
          <w:pgMar w:left="320" w:top="1192" w:right="719" w:bottom="1440" w:gutter="0" w:footer="0" w:header="0"/>
          <w:type w:val="continuous"/>
        </w:sectPr>
      </w:pPr>
    </w:p>
    <w:p>
      <w:pPr>
        <w:spacing w:after="0" w:line="33" w:lineRule="exact"/>
        <w:rPr>
          <w:sz w:val="24"/>
          <w:szCs w:val="24"/>
          <w:color w:val="auto"/>
        </w:rPr>
      </w:pPr>
    </w:p>
    <w:p>
      <w:pPr>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8"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right="26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35,802,575 shares of common stock, par value $0.0001 per share, as of July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92"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overall macroeconomic environment, including increased inflation and interest rates, demand for the healthcare services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2022 (2022 Form 10-K), as filed and updated in our subsequent Quarterly Reports on Form 10-Q and other filings with the Securities and Exchange Commission (SEC).</w:t>
      </w:r>
    </w:p>
    <w:p>
      <w:pPr>
        <w:spacing w:after="0" w:line="3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80" w:type="dxa"/>
            <w:vAlign w:val="bottom"/>
            <w:gridSpan w:val="8"/>
          </w:tcPr>
          <w:p>
            <w:pPr>
              <w:jc w:val="center"/>
              <w:ind w:left="490"/>
              <w:spacing w:after="0"/>
              <w:rPr>
                <w:sz w:val="20"/>
                <w:szCs w:val="20"/>
                <w:color w:val="auto"/>
              </w:rPr>
            </w:pPr>
            <w:r>
              <w:rPr>
                <w:rFonts w:ascii="Arial" w:cs="Arial" w:eastAsia="Arial" w:hAnsi="Arial"/>
                <w:sz w:val="18"/>
                <w:szCs w:val="18"/>
                <w:b w:val="1"/>
                <w:bCs w:val="1"/>
                <w:color w:val="auto"/>
                <w:w w:val="99"/>
              </w:rPr>
              <w:t>CROSS COUNTRY HEALTHCARE, INC.</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5"/>
          </w:tcPr>
          <w:p>
            <w:pPr>
              <w:jc w:val="center"/>
              <w:ind w:right="1680"/>
              <w:spacing w:after="0"/>
              <w:rPr>
                <w:sz w:val="20"/>
                <w:szCs w:val="20"/>
                <w:color w:val="auto"/>
              </w:rPr>
            </w:pPr>
            <w:r>
              <w:rPr>
                <w:rFonts w:ascii="Arial" w:cs="Arial" w:eastAsia="Arial" w:hAnsi="Arial"/>
                <w:sz w:val="18"/>
                <w:szCs w:val="18"/>
                <w:b w:val="1"/>
                <w:bCs w:val="1"/>
                <w:color w:val="auto"/>
              </w:rPr>
              <w:t>INDEX</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6"/>
          </w:tcPr>
          <w:p>
            <w:pPr>
              <w:jc w:val="center"/>
              <w:ind w:right="1180"/>
              <w:spacing w:after="0"/>
              <w:rPr>
                <w:sz w:val="20"/>
                <w:szCs w:val="20"/>
                <w:color w:val="auto"/>
              </w:rPr>
            </w:pPr>
            <w:r>
              <w:rPr>
                <w:rFonts w:ascii="Arial" w:cs="Arial" w:eastAsia="Arial" w:hAnsi="Arial"/>
                <w:sz w:val="18"/>
                <w:szCs w:val="18"/>
                <w:b w:val="1"/>
                <w:bCs w:val="1"/>
                <w:color w:val="auto"/>
                <w:w w:val="99"/>
              </w:rPr>
              <w:t>FORM 10-Q</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88"/>
              </w:rPr>
              <w:t>June 30, 2023</w:t>
            </w: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80" w:type="dxa"/>
            <w:vAlign w:val="bottom"/>
            <w:gridSpan w:val="3"/>
          </w:tcPr>
          <w:p>
            <w:pPr>
              <w:ind w:left="2800"/>
              <w:spacing w:after="0"/>
              <w:rPr>
                <w:sz w:val="20"/>
                <w:szCs w:val="20"/>
                <w:color w:val="auto"/>
              </w:rPr>
            </w:pPr>
            <w:r>
              <w:rPr>
                <w:rFonts w:ascii="Arial" w:cs="Arial" w:eastAsia="Arial" w:hAnsi="Arial"/>
                <w:sz w:val="18"/>
                <w:szCs w:val="18"/>
                <w:color w:val="auto"/>
                <w:w w:val="91"/>
              </w:rPr>
              <w:t>PAGE</w:t>
            </w:r>
          </w:p>
        </w:tc>
      </w:tr>
      <w:tr>
        <w:trPr>
          <w:trHeight w:val="243"/>
        </w:trPr>
        <w:tc>
          <w:tcPr>
            <w:tcW w:w="7580" w:type="dxa"/>
            <w:vAlign w:val="bottom"/>
            <w:gridSpan w:val="17"/>
          </w:tcPr>
          <w:p>
            <w:pPr>
              <w:spacing w:after="0"/>
              <w:rPr>
                <w:sz w:val="20"/>
                <w:szCs w:val="20"/>
                <w:color w:val="auto"/>
              </w:rPr>
            </w:pPr>
            <w:r>
              <w:rPr>
                <w:rFonts w:ascii="Arial" w:cs="Arial" w:eastAsia="Arial" w:hAnsi="Arial"/>
                <w:sz w:val="18"/>
                <w:szCs w:val="18"/>
                <w:color w:val="0000FF"/>
              </w:rPr>
              <w:t>PART I. – FINANCIAL INFORMATION</w:t>
            </w:r>
          </w:p>
        </w:tc>
        <w:tc>
          <w:tcPr>
            <w:tcW w:w="3240" w:type="dxa"/>
            <w:vAlign w:val="bottom"/>
            <w:gridSpan w:val="2"/>
          </w:tcPr>
          <w:p>
            <w:pPr>
              <w:jc w:val="center"/>
              <w:ind w:left="3050"/>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40" w:type="dxa"/>
            <w:vAlign w:val="bottom"/>
            <w:gridSpan w:val="3"/>
          </w:tcPr>
          <w:p>
            <w:pPr>
              <w:spacing w:after="0"/>
              <w:rPr>
                <w:sz w:val="24"/>
                <w:szCs w:val="24"/>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Condensed Consolidated Financial Statements</w:t>
            </w:r>
          </w:p>
        </w:tc>
        <w:tc>
          <w:tcPr>
            <w:tcW w:w="3240" w:type="dxa"/>
            <w:vAlign w:val="bottom"/>
            <w:gridSpan w:val="2"/>
          </w:tcPr>
          <w:p>
            <w:pPr>
              <w:jc w:val="center"/>
              <w:ind w:left="3050"/>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4"/>
                <w:szCs w:val="24"/>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Condensed Consolidated Balance Sheets (Unaudited)</w:t>
            </w:r>
          </w:p>
        </w:tc>
        <w:tc>
          <w:tcPr>
            <w:tcW w:w="3240" w:type="dxa"/>
            <w:vAlign w:val="bottom"/>
            <w:gridSpan w:val="2"/>
          </w:tcPr>
          <w:p>
            <w:pPr>
              <w:jc w:val="center"/>
              <w:ind w:left="3050"/>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Condensed Consolidated Statements of Operations and Comprehensive Income (Unaudited)</w:t>
            </w:r>
          </w:p>
        </w:tc>
        <w:tc>
          <w:tcPr>
            <w:tcW w:w="31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22"/>
                <w:szCs w:val="22"/>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Condensed Consolidated Statements of Stockholders' Equity (Unaudited)</w:t>
            </w:r>
          </w:p>
        </w:tc>
        <w:tc>
          <w:tcPr>
            <w:tcW w:w="1360" w:type="dxa"/>
            <w:vAlign w:val="bottom"/>
            <w:gridSpan w:val="2"/>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4"/>
                <w:szCs w:val="24"/>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3240" w:type="dxa"/>
            <w:vAlign w:val="bottom"/>
            <w:gridSpan w:val="2"/>
          </w:tcPr>
          <w:p>
            <w:pPr>
              <w:jc w:val="center"/>
              <w:ind w:left="3050"/>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3240" w:type="dxa"/>
            <w:vAlign w:val="bottom"/>
            <w:gridSpan w:val="2"/>
          </w:tcPr>
          <w:p>
            <w:pPr>
              <w:jc w:val="center"/>
              <w:ind w:left="3050"/>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440" w:type="dxa"/>
            <w:vAlign w:val="bottom"/>
            <w:gridSpan w:val="3"/>
          </w:tcPr>
          <w:p>
            <w:pPr>
              <w:spacing w:after="0"/>
              <w:rPr>
                <w:sz w:val="24"/>
                <w:szCs w:val="24"/>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w w:val="93"/>
              </w:rPr>
              <w:t>Management’s Discussion and Analysis of Financial Condition and Results of Operations</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26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40" w:type="dxa"/>
            <w:vAlign w:val="bottom"/>
            <w:gridSpan w:val="3"/>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2300" w:type="dxa"/>
            <w:vAlign w:val="bottom"/>
            <w:tcBorders>
              <w:left w:val="single" w:sz="8" w:color="0000FF"/>
            </w:tcBorders>
            <w:gridSpan w:val="5"/>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440" w:type="dxa"/>
            <w:vAlign w:val="bottom"/>
            <w:gridSpan w:val="3"/>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77"/>
        </w:trPr>
        <w:tc>
          <w:tcPr>
            <w:tcW w:w="7580" w:type="dxa"/>
            <w:vAlign w:val="bottom"/>
            <w:gridSpan w:val="17"/>
          </w:tcPr>
          <w:p>
            <w:pPr>
              <w:spacing w:after="0"/>
              <w:rPr>
                <w:sz w:val="20"/>
                <w:szCs w:val="20"/>
                <w:color w:val="auto"/>
              </w:rPr>
            </w:pPr>
            <w:r>
              <w:rPr>
                <w:rFonts w:ascii="Arial" w:cs="Arial" w:eastAsia="Arial" w:hAnsi="Arial"/>
                <w:sz w:val="18"/>
                <w:szCs w:val="18"/>
                <w:color w:val="0000FF"/>
              </w:rPr>
              <w:t>PART II. – OTHER INFORMATION</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39</w:t>
            </w:r>
          </w:p>
        </w:tc>
      </w:tr>
      <w:tr>
        <w:trPr>
          <w:trHeight w:val="263"/>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440" w:type="dxa"/>
            <w:vAlign w:val="bottom"/>
            <w:tcBorders>
              <w:top w:val="single" w:sz="8" w:color="0000FF"/>
            </w:tcBorders>
            <w:gridSpan w:val="3"/>
          </w:tcPr>
          <w:p>
            <w:pPr>
              <w:spacing w:after="0"/>
              <w:rPr>
                <w:sz w:val="22"/>
                <w:szCs w:val="22"/>
                <w:color w:val="auto"/>
              </w:rPr>
            </w:pPr>
          </w:p>
        </w:tc>
        <w:tc>
          <w:tcPr>
            <w:tcW w:w="1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Legal Proceedings</w:t>
            </w:r>
          </w:p>
        </w:tc>
        <w:tc>
          <w:tcPr>
            <w:tcW w:w="4860" w:type="dxa"/>
            <w:vAlign w:val="bottom"/>
            <w:gridSpan w:val="9"/>
          </w:tcPr>
          <w:p>
            <w:pPr>
              <w:spacing w:after="0"/>
              <w:rPr>
                <w:sz w:val="22"/>
                <w:szCs w:val="22"/>
                <w:color w:val="auto"/>
              </w:rPr>
            </w:pPr>
          </w:p>
        </w:tc>
        <w:tc>
          <w:tcPr>
            <w:tcW w:w="3140" w:type="dxa"/>
            <w:vAlign w:val="bottom"/>
          </w:tcPr>
          <w:p>
            <w:pPr>
              <w:spacing w:after="0"/>
              <w:rPr>
                <w:sz w:val="22"/>
                <w:szCs w:val="22"/>
                <w:color w:val="auto"/>
              </w:rPr>
            </w:pPr>
          </w:p>
        </w:tc>
        <w:tc>
          <w:tcPr>
            <w:tcW w:w="140" w:type="dxa"/>
            <w:vAlign w:val="bottom"/>
            <w:tcBorders>
              <w:top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39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5"/>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96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6620" w:type="dxa"/>
            <w:vAlign w:val="bottom"/>
            <w:gridSpan w:val="13"/>
          </w:tcPr>
          <w:p>
            <w:pPr>
              <w:spacing w:after="0"/>
              <w:rPr>
                <w:sz w:val="20"/>
                <w:szCs w:val="20"/>
                <w:color w:val="auto"/>
              </w:rPr>
            </w:pPr>
            <w:r>
              <w:rPr>
                <w:rFonts w:ascii="Arial" w:cs="Arial" w:eastAsia="Arial" w:hAnsi="Arial"/>
                <w:sz w:val="18"/>
                <w:szCs w:val="18"/>
                <w:color w:val="0000FF"/>
              </w:rPr>
              <w:t>Risk Factors</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39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39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5"/>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440" w:type="dxa"/>
            <w:vAlign w:val="bottom"/>
            <w:gridSpan w:val="3"/>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39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440" w:type="dxa"/>
            <w:vAlign w:val="bottom"/>
            <w:gridSpan w:val="3"/>
          </w:tcPr>
          <w:p>
            <w:pPr>
              <w:spacing w:after="0"/>
              <w:rPr>
                <w:sz w:val="22"/>
                <w:szCs w:val="22"/>
                <w:color w:val="auto"/>
              </w:rPr>
            </w:pPr>
          </w:p>
        </w:tc>
        <w:tc>
          <w:tcPr>
            <w:tcW w:w="6620" w:type="dxa"/>
            <w:vAlign w:val="bottom"/>
            <w:gridSpan w:val="13"/>
          </w:tcPr>
          <w:p>
            <w:pPr>
              <w:spacing w:after="0"/>
              <w:rPr>
                <w:sz w:val="20"/>
                <w:szCs w:val="20"/>
                <w:color w:val="auto"/>
              </w:rPr>
            </w:pPr>
            <w:r>
              <w:rPr>
                <w:rFonts w:ascii="Arial" w:cs="Arial" w:eastAsia="Arial" w:hAnsi="Arial"/>
                <w:sz w:val="18"/>
                <w:szCs w:val="18"/>
                <w:color w:val="0000FF"/>
              </w:rPr>
              <w:t>Exhibits</w:t>
            </w: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40</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77"/>
        </w:trPr>
        <w:tc>
          <w:tcPr>
            <w:tcW w:w="96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3"/>
          </w:tcPr>
          <w:p>
            <w:pPr>
              <w:jc w:val="center"/>
              <w:ind w:left="3010"/>
              <w:spacing w:after="0"/>
              <w:rPr>
                <w:sz w:val="20"/>
                <w:szCs w:val="20"/>
                <w:color w:val="auto"/>
              </w:rPr>
            </w:pPr>
            <w:r>
              <w:rPr>
                <w:rFonts w:ascii="Arial" w:cs="Arial" w:eastAsia="Arial" w:hAnsi="Arial"/>
                <w:sz w:val="18"/>
                <w:szCs w:val="18"/>
                <w:color w:val="0000FF"/>
                <w:w w:val="89"/>
              </w:rPr>
              <w:t>41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91"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$18,812 in 2023 and $14,696 in 2022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484,885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641,611</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11,067</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 recovery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w:t>
            </w:r>
          </w:p>
        </w:tc>
      </w:tr>
      <w:tr>
        <w:trPr>
          <w:trHeight w:val="216"/>
        </w:trPr>
        <w:tc>
          <w:tcPr>
            <w:tcW w:w="822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675,673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 of $20,443 in 2023 and $17,682 in 2022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163,268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44,723</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Non-current deferred tax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7,092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insurance recovery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947,839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185,507</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72,605</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 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Current portion of earnout liability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216,027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271,640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148,735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4,880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accrued claims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Non-current earnout liability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18,000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 -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490,620</w:t>
            </w:r>
          </w:p>
        </w:tc>
      </w:tr>
      <w:tr>
        <w:trPr>
          <w:trHeight w:val="189"/>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292,876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(1,387)</w:t>
            </w:r>
          </w:p>
        </w:tc>
      </w:tr>
      <w:tr>
        <w:trPr>
          <w:trHeight w:val="206"/>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165,726</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470,348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457,219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947,839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9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540,695</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753,561</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1,163,402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1,542,293</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583,156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1,197,094</w:t>
            </w:r>
          </w:p>
        </w:tc>
      </w:tr>
      <w:tr>
        <w:trPr>
          <w:trHeight w:val="237"/>
        </w:trPr>
        <w:tc>
          <w:tcPr>
            <w:tcW w:w="514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162,862</w:t>
            </w:r>
          </w:p>
        </w:tc>
      </w:tr>
      <w:tr>
        <w:trPr>
          <w:trHeight w:val="236"/>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4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(benefits)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Legal settlement charges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37"/>
        </w:trPr>
        <w:tc>
          <w:tcPr>
            <w:tcW w:w="5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505,506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674,724</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1,084,416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1,372,824</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78,837</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169,469</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2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74,152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161,271</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2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46,394</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52,894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foreign currency translation gain (loss),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114,835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w w:val="96"/>
              </w:rPr>
              <w:t>Net income per share attributable to common stockholders -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w w:val="94"/>
              </w:rPr>
              <w:t>Net income per share attributable to common stockholders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37,866</w:t>
            </w:r>
          </w:p>
        </w:tc>
      </w:tr>
      <w:tr>
        <w:trPr>
          <w:trHeight w:val="21"/>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760" w:top="891" w:right="779" w:bottom="1440" w:gutter="0" w:footer="0" w:header="0"/>
        </w:sectPr>
      </w:pPr>
    </w:p>
    <w:bookmarkStart w:id="5" w:name="page6"/>
    <w:bookmarkEnd w:id="5"/>
    <w:p>
      <w:pPr>
        <w:jc w:val="center"/>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 EQUITY Three Months Ended June 30, 2023 and 2022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Accumulated Other</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94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1"/>
                <w:szCs w:val="11"/>
                <w:color w:val="auto"/>
              </w:rPr>
            </w:pP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Dollars</w:t>
            </w:r>
          </w:p>
        </w:tc>
        <w:tc>
          <w:tcPr>
            <w:tcW w:w="260" w:type="dxa"/>
            <w:vAlign w:val="bottom"/>
          </w:tcPr>
          <w:p>
            <w:pPr>
              <w:spacing w:after="0"/>
              <w:rPr>
                <w:sz w:val="11"/>
                <w:szCs w:val="11"/>
                <w:color w:val="auto"/>
              </w:rPr>
            </w:pPr>
          </w:p>
        </w:tc>
        <w:tc>
          <w:tcPr>
            <w:tcW w:w="100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5"/>
              </w:rPr>
              <w:t>Comprehensive</w:t>
            </w:r>
          </w:p>
        </w:tc>
        <w:tc>
          <w:tcPr>
            <w:tcW w:w="14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w w:val="97"/>
              </w:rPr>
              <w:t>Retained Earnings</w:t>
            </w:r>
          </w:p>
        </w:tc>
        <w:tc>
          <w:tcPr>
            <w:tcW w:w="200" w:type="dxa"/>
            <w:vAlign w:val="bottom"/>
          </w:tcPr>
          <w:p>
            <w:pPr>
              <w:spacing w:after="0"/>
              <w:rPr>
                <w:sz w:val="11"/>
                <w:szCs w:val="11"/>
                <w:color w:val="auto"/>
              </w:rPr>
            </w:pPr>
          </w:p>
        </w:tc>
        <w:tc>
          <w:tcPr>
            <w:tcW w:w="116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0"/>
        </w:trPr>
        <w:tc>
          <w:tcPr>
            <w:tcW w:w="364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rPr>
              <w:t>Paid-In 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84"/>
              </w:rPr>
              <w:t>Loss, net</w:t>
            </w:r>
          </w:p>
        </w:tc>
        <w:tc>
          <w:tcPr>
            <w:tcW w:w="140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March 31, 2023</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35,454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258,144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(1,380)</w:t>
            </w:r>
          </w:p>
        </w:tc>
        <w:tc>
          <w:tcPr>
            <w:tcW w:w="48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195,162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451,930</w:t>
            </w:r>
          </w:p>
        </w:tc>
        <w:tc>
          <w:tcPr>
            <w:tcW w:w="0" w:type="dxa"/>
            <w:vAlign w:val="bottom"/>
          </w:tcPr>
          <w:p>
            <w:pPr>
              <w:spacing w:after="0"/>
              <w:rPr>
                <w:sz w:val="1"/>
                <w:szCs w:val="1"/>
                <w:color w:val="auto"/>
              </w:rPr>
            </w:pPr>
          </w:p>
        </w:tc>
      </w:tr>
      <w:tr>
        <w:trPr>
          <w:trHeight w:val="194"/>
        </w:trPr>
        <w:tc>
          <w:tcPr>
            <w:tcW w:w="36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49</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(373)</w:t>
            </w:r>
          </w:p>
        </w:tc>
        <w:tc>
          <w:tcPr>
            <w:tcW w:w="20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(373)</w:t>
            </w:r>
          </w:p>
        </w:tc>
        <w:tc>
          <w:tcPr>
            <w:tcW w:w="0" w:type="dxa"/>
            <w:vAlign w:val="bottom"/>
          </w:tcPr>
          <w:p>
            <w:pPr>
              <w:spacing w:after="0"/>
              <w:rPr>
                <w:sz w:val="1"/>
                <w:szCs w:val="1"/>
                <w:color w:val="auto"/>
              </w:rPr>
            </w:pPr>
          </w:p>
        </w:tc>
      </w:tr>
      <w:tr>
        <w:trPr>
          <w:trHeight w:val="22"/>
        </w:trPr>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2,205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2,205</w:t>
            </w:r>
          </w:p>
        </w:tc>
        <w:tc>
          <w:tcPr>
            <w:tcW w:w="0" w:type="dxa"/>
            <w:vAlign w:val="bottom"/>
          </w:tcPr>
          <w:p>
            <w:pPr>
              <w:spacing w:after="0"/>
              <w:rPr>
                <w:sz w:val="1"/>
                <w:szCs w:val="1"/>
                <w:color w:val="auto"/>
              </w:rPr>
            </w:pPr>
          </w:p>
        </w:tc>
      </w:tr>
      <w:tr>
        <w:trPr>
          <w:trHeight w:val="198"/>
        </w:trPr>
        <w:tc>
          <w:tcPr>
            <w:tcW w:w="3640" w:type="dxa"/>
            <w:vAlign w:val="bottom"/>
          </w:tcPr>
          <w:p>
            <w:pPr>
              <w:ind w:left="140"/>
              <w:spacing w:after="0"/>
              <w:rPr>
                <w:sz w:val="20"/>
                <w:szCs w:val="20"/>
                <w:color w:val="auto"/>
              </w:rPr>
            </w:pPr>
            <w:r>
              <w:rPr>
                <w:rFonts w:ascii="Arial" w:cs="Arial" w:eastAsia="Arial" w:hAnsi="Arial"/>
                <w:sz w:val="15"/>
                <w:szCs w:val="15"/>
                <w:color w:val="auto"/>
              </w:rPr>
              <w:t>Stock repurchase and retirement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(198)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(4,723)</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(4,723)</w:t>
            </w:r>
          </w:p>
        </w:tc>
        <w:tc>
          <w:tcPr>
            <w:tcW w:w="0" w:type="dxa"/>
            <w:vAlign w:val="bottom"/>
          </w:tcPr>
          <w:p>
            <w:pPr>
              <w:spacing w:after="0"/>
              <w:rPr>
                <w:sz w:val="1"/>
                <w:szCs w:val="1"/>
                <w:color w:val="auto"/>
              </w:rPr>
            </w:pPr>
          </w:p>
        </w:tc>
      </w:tr>
      <w:tr>
        <w:trPr>
          <w:trHeight w:val="20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 repurchase excise tax</w:t>
            </w: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(37)</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8"/>
        </w:trPr>
        <w:tc>
          <w:tcPr>
            <w:tcW w:w="3640" w:type="dxa"/>
            <w:vAlign w:val="bottom"/>
          </w:tcPr>
          <w:p>
            <w:pPr>
              <w:ind w:left="140"/>
              <w:spacing w:after="0"/>
              <w:rPr>
                <w:sz w:val="20"/>
                <w:szCs w:val="20"/>
                <w:color w:val="auto"/>
              </w:rPr>
            </w:pPr>
            <w:r>
              <w:rPr>
                <w:rFonts w:ascii="Arial" w:cs="Arial" w:eastAsia="Arial" w:hAnsi="Arial"/>
                <w:sz w:val="15"/>
                <w:szCs w:val="15"/>
                <w:color w:val="auto"/>
                <w:w w:val="99"/>
              </w:rPr>
              <w:t>Foreign currency translation adjustment, net of taxes</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4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21,345</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21,345</w:t>
            </w: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5"/>
                <w:szCs w:val="15"/>
                <w:color w:val="auto"/>
              </w:rPr>
              <w:t>Balances at June 30, 2023</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35,305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255,216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(1,379)</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216,507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470,348</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40" w:type="dxa"/>
            <w:vAlign w:val="bottom"/>
          </w:tcPr>
          <w:p>
            <w:pPr>
              <w:spacing w:after="0"/>
              <w:rPr>
                <w:sz w:val="17"/>
                <w:szCs w:val="17"/>
                <w:color w:val="auto"/>
              </w:rPr>
            </w:pPr>
          </w:p>
        </w:tc>
        <w:tc>
          <w:tcPr>
            <w:tcW w:w="192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Accumulated Other</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92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1"/>
                <w:szCs w:val="11"/>
                <w:color w:val="auto"/>
              </w:rPr>
            </w:pP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Dollars</w:t>
            </w:r>
          </w:p>
        </w:tc>
        <w:tc>
          <w:tcPr>
            <w:tcW w:w="260" w:type="dxa"/>
            <w:vAlign w:val="bottom"/>
          </w:tcPr>
          <w:p>
            <w:pPr>
              <w:spacing w:after="0"/>
              <w:rPr>
                <w:sz w:val="11"/>
                <w:szCs w:val="11"/>
                <w:color w:val="auto"/>
              </w:rPr>
            </w:pPr>
          </w:p>
        </w:tc>
        <w:tc>
          <w:tcPr>
            <w:tcW w:w="100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Arial" w:cs="Arial" w:eastAsia="Arial" w:hAnsi="Arial"/>
                <w:sz w:val="14"/>
                <w:szCs w:val="14"/>
                <w:b w:val="1"/>
                <w:bCs w:val="1"/>
                <w:color w:val="auto"/>
                <w:w w:val="95"/>
              </w:rPr>
              <w:t>Comprehensive</w:t>
            </w:r>
          </w:p>
        </w:tc>
        <w:tc>
          <w:tcPr>
            <w:tcW w:w="14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w w:val="97"/>
              </w:rPr>
              <w:t>Retained Earnings</w:t>
            </w:r>
          </w:p>
        </w:tc>
        <w:tc>
          <w:tcPr>
            <w:tcW w:w="200" w:type="dxa"/>
            <w:vAlign w:val="bottom"/>
          </w:tcPr>
          <w:p>
            <w:pPr>
              <w:spacing w:after="0"/>
              <w:rPr>
                <w:sz w:val="11"/>
                <w:szCs w:val="11"/>
                <w:color w:val="auto"/>
              </w:rPr>
            </w:pPr>
          </w:p>
        </w:tc>
        <w:tc>
          <w:tcPr>
            <w:tcW w:w="116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rPr>
              <w:t>Paid-In 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84"/>
              </w:rPr>
              <w:t>Loss, net</w:t>
            </w:r>
          </w:p>
        </w:tc>
        <w:tc>
          <w:tcPr>
            <w:tcW w:w="14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March 31, 2022</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37,443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318,125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(1,304)</w:t>
            </w:r>
          </w:p>
        </w:tc>
        <w:tc>
          <w:tcPr>
            <w:tcW w:w="52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39,248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356,073</w:t>
            </w:r>
          </w:p>
        </w:tc>
        <w:tc>
          <w:tcPr>
            <w:tcW w:w="0" w:type="dxa"/>
            <w:vAlign w:val="bottom"/>
          </w:tcPr>
          <w:p>
            <w:pPr>
              <w:spacing w:after="0"/>
              <w:rPr>
                <w:sz w:val="1"/>
                <w:szCs w:val="1"/>
                <w:color w:val="auto"/>
              </w:rPr>
            </w:pPr>
          </w:p>
        </w:tc>
      </w:tr>
      <w:tr>
        <w:trPr>
          <w:trHeight w:val="198"/>
        </w:trPr>
        <w:tc>
          <w:tcPr>
            <w:tcW w:w="36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80</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(239)</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0"/>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2,114</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2,114</w:t>
            </w:r>
          </w:p>
        </w:tc>
        <w:tc>
          <w:tcPr>
            <w:tcW w:w="0" w:type="dxa"/>
            <w:vAlign w:val="bottom"/>
          </w:tcPr>
          <w:p>
            <w:pPr>
              <w:spacing w:after="0"/>
              <w:rPr>
                <w:sz w:val="1"/>
                <w:szCs w:val="1"/>
                <w:color w:val="auto"/>
              </w:rPr>
            </w:pPr>
          </w:p>
        </w:tc>
      </w:tr>
      <w:tr>
        <w:trPr>
          <w:trHeight w:val="198"/>
        </w:trPr>
        <w:tc>
          <w:tcPr>
            <w:tcW w:w="3640" w:type="dxa"/>
            <w:vAlign w:val="bottom"/>
          </w:tcPr>
          <w:p>
            <w:pPr>
              <w:ind w:left="140"/>
              <w:spacing w:after="0"/>
              <w:rPr>
                <w:sz w:val="20"/>
                <w:szCs w:val="20"/>
                <w:color w:val="auto"/>
              </w:rPr>
            </w:pPr>
            <w:r>
              <w:rPr>
                <w:rFonts w:ascii="Arial" w:cs="Arial" w:eastAsia="Arial" w:hAnsi="Arial"/>
                <w:sz w:val="15"/>
                <w:szCs w:val="15"/>
                <w:color w:val="auto"/>
                <w:w w:val="99"/>
              </w:rPr>
              <w:t>Foreign currency translation adjustment, net of taxes</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52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52,894</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52,894</w:t>
            </w:r>
          </w:p>
        </w:tc>
        <w:tc>
          <w:tcPr>
            <w:tcW w:w="0" w:type="dxa"/>
            <w:vAlign w:val="bottom"/>
          </w:tcPr>
          <w:p>
            <w:pPr>
              <w:spacing w:after="0"/>
              <w:rPr>
                <w:sz w:val="1"/>
                <w:szCs w:val="1"/>
                <w:color w:val="auto"/>
              </w:rPr>
            </w:pPr>
          </w:p>
        </w:tc>
      </w:tr>
      <w:tr>
        <w:trPr>
          <w:trHeight w:val="213"/>
        </w:trPr>
        <w:tc>
          <w:tcPr>
            <w:tcW w:w="3640" w:type="dxa"/>
            <w:vAlign w:val="bottom"/>
          </w:tcPr>
          <w:p>
            <w:pPr>
              <w:ind w:left="20"/>
              <w:spacing w:after="0"/>
              <w:rPr>
                <w:sz w:val="20"/>
                <w:szCs w:val="20"/>
                <w:color w:val="auto"/>
              </w:rPr>
            </w:pPr>
            <w:r>
              <w:rPr>
                <w:rFonts w:ascii="Arial" w:cs="Arial" w:eastAsia="Arial" w:hAnsi="Arial"/>
                <w:sz w:val="15"/>
                <w:szCs w:val="15"/>
                <w:color w:val="auto"/>
              </w:rPr>
              <w:t>Balances at June 30, 2022</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37,523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(1,335)</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92,142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410,811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00" w:top="89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891" w:right="4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94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1"/>
                <w:szCs w:val="11"/>
                <w:color w:val="auto"/>
              </w:rPr>
            </w:pP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Dollars</w:t>
            </w:r>
          </w:p>
        </w:tc>
        <w:tc>
          <w:tcPr>
            <w:tcW w:w="260" w:type="dxa"/>
            <w:vAlign w:val="bottom"/>
          </w:tcPr>
          <w:p>
            <w:pPr>
              <w:spacing w:after="0"/>
              <w:rPr>
                <w:sz w:val="11"/>
                <w:szCs w:val="11"/>
                <w:color w:val="auto"/>
              </w:rPr>
            </w:pPr>
          </w:p>
        </w:tc>
        <w:tc>
          <w:tcPr>
            <w:tcW w:w="100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1300" w:type="dxa"/>
            <w:vAlign w:val="bottom"/>
          </w:tcPr>
          <w:p>
            <w:pPr>
              <w:jc w:val="center"/>
              <w:ind w:right="124"/>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142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w w:val="98"/>
              </w:rPr>
              <w:t>Retained Earnings</w:t>
            </w:r>
          </w:p>
        </w:tc>
        <w:tc>
          <w:tcPr>
            <w:tcW w:w="200" w:type="dxa"/>
            <w:vAlign w:val="bottom"/>
          </w:tcPr>
          <w:p>
            <w:pPr>
              <w:spacing w:after="0"/>
              <w:rPr>
                <w:sz w:val="11"/>
                <w:szCs w:val="11"/>
                <w:color w:val="auto"/>
              </w:rPr>
            </w:pPr>
          </w:p>
        </w:tc>
        <w:tc>
          <w:tcPr>
            <w:tcW w:w="116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rPr>
              <w:t>Paid-In 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8"/>
              </w:rPr>
              <w:t>Loss, net</w:t>
            </w:r>
          </w:p>
        </w:tc>
        <w:tc>
          <w:tcPr>
            <w:tcW w:w="14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2022</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36,303</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292,876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(1,387)</w:t>
            </w:r>
          </w:p>
        </w:tc>
        <w:tc>
          <w:tcPr>
            <w:tcW w:w="48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165,726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457,219</w:t>
            </w:r>
          </w:p>
        </w:tc>
        <w:tc>
          <w:tcPr>
            <w:tcW w:w="0" w:type="dxa"/>
            <w:vAlign w:val="bottom"/>
          </w:tcPr>
          <w:p>
            <w:pPr>
              <w:spacing w:after="0"/>
              <w:rPr>
                <w:sz w:val="1"/>
                <w:szCs w:val="1"/>
                <w:color w:val="auto"/>
              </w:rPr>
            </w:pPr>
          </w:p>
        </w:tc>
      </w:tr>
      <w:tr>
        <w:trPr>
          <w:trHeight w:val="194"/>
        </w:trPr>
        <w:tc>
          <w:tcPr>
            <w:tcW w:w="362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424</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(4,886)</w:t>
            </w:r>
          </w:p>
        </w:tc>
        <w:tc>
          <w:tcPr>
            <w:tcW w:w="200" w:type="dxa"/>
            <w:vAlign w:val="bottom"/>
          </w:tcPr>
          <w:p>
            <w:pPr>
              <w:spacing w:after="0"/>
              <w:rPr>
                <w:sz w:val="16"/>
                <w:szCs w:val="16"/>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(4,886)</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3,980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3,980</w:t>
            </w:r>
          </w:p>
        </w:tc>
        <w:tc>
          <w:tcPr>
            <w:tcW w:w="0" w:type="dxa"/>
            <w:vAlign w:val="bottom"/>
          </w:tcPr>
          <w:p>
            <w:pPr>
              <w:spacing w:after="0"/>
              <w:rPr>
                <w:sz w:val="1"/>
                <w:szCs w:val="1"/>
                <w:color w:val="auto"/>
              </w:rPr>
            </w:pPr>
          </w:p>
        </w:tc>
      </w:tr>
      <w:tr>
        <w:trPr>
          <w:trHeight w:val="198"/>
        </w:trPr>
        <w:tc>
          <w:tcPr>
            <w:tcW w:w="3620" w:type="dxa"/>
            <w:vAlign w:val="bottom"/>
          </w:tcPr>
          <w:p>
            <w:pPr>
              <w:ind w:left="140"/>
              <w:spacing w:after="0"/>
              <w:rPr>
                <w:sz w:val="20"/>
                <w:szCs w:val="20"/>
                <w:color w:val="auto"/>
              </w:rPr>
            </w:pPr>
            <w:r>
              <w:rPr>
                <w:rFonts w:ascii="Arial" w:cs="Arial" w:eastAsia="Arial" w:hAnsi="Arial"/>
                <w:sz w:val="15"/>
                <w:szCs w:val="15"/>
                <w:color w:val="auto"/>
              </w:rPr>
              <w:t>Stock repurchase and retirement</w:t>
            </w:r>
          </w:p>
        </w:tc>
        <w:tc>
          <w:tcPr>
            <w:tcW w:w="940" w:type="dxa"/>
            <w:vAlign w:val="bottom"/>
          </w:tcPr>
          <w:p>
            <w:pPr>
              <w:jc w:val="right"/>
              <w:spacing w:after="0"/>
              <w:rPr>
                <w:sz w:val="20"/>
                <w:szCs w:val="20"/>
                <w:color w:val="auto"/>
              </w:rPr>
            </w:pPr>
            <w:r>
              <w:rPr>
                <w:rFonts w:ascii="Arial" w:cs="Arial" w:eastAsia="Arial" w:hAnsi="Arial"/>
                <w:sz w:val="15"/>
                <w:szCs w:val="15"/>
                <w:color w:val="auto"/>
              </w:rPr>
              <w:t>(1,422)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(36,483)</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(36,483)</w:t>
            </w:r>
          </w:p>
        </w:tc>
        <w:tc>
          <w:tcPr>
            <w:tcW w:w="0" w:type="dxa"/>
            <w:vAlign w:val="bottom"/>
          </w:tcPr>
          <w:p>
            <w:pPr>
              <w:spacing w:after="0"/>
              <w:rPr>
                <w:sz w:val="1"/>
                <w:szCs w:val="1"/>
                <w:color w:val="auto"/>
              </w:rPr>
            </w:pPr>
          </w:p>
        </w:tc>
      </w:tr>
      <w:tr>
        <w:trPr>
          <w:trHeight w:val="20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 repurchase excise tax</w:t>
            </w: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(271)</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98"/>
        </w:trPr>
        <w:tc>
          <w:tcPr>
            <w:tcW w:w="3620" w:type="dxa"/>
            <w:vAlign w:val="bottom"/>
          </w:tcPr>
          <w:p>
            <w:pPr>
              <w:ind w:left="140"/>
              <w:spacing w:after="0"/>
              <w:rPr>
                <w:sz w:val="20"/>
                <w:szCs w:val="20"/>
                <w:color w:val="auto"/>
              </w:rPr>
            </w:pPr>
            <w:r>
              <w:rPr>
                <w:rFonts w:ascii="Arial" w:cs="Arial" w:eastAsia="Arial" w:hAnsi="Arial"/>
                <w:sz w:val="15"/>
                <w:szCs w:val="15"/>
                <w:color w:val="auto"/>
                <w:w w:val="99"/>
              </w:rPr>
              <w:t>Foreign currency translation adjustment, net of taxes</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8</w:t>
            </w:r>
          </w:p>
        </w:tc>
        <w:tc>
          <w:tcPr>
            <w:tcW w:w="48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50,781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50,781</w:t>
            </w:r>
          </w:p>
        </w:tc>
        <w:tc>
          <w:tcPr>
            <w:tcW w:w="0" w:type="dxa"/>
            <w:vAlign w:val="bottom"/>
          </w:tcPr>
          <w:p>
            <w:pPr>
              <w:spacing w:after="0"/>
              <w:rPr>
                <w:sz w:val="1"/>
                <w:szCs w:val="1"/>
                <w:color w:val="auto"/>
              </w:rPr>
            </w:pPr>
          </w:p>
        </w:tc>
      </w:tr>
      <w:tr>
        <w:trPr>
          <w:trHeight w:val="210"/>
        </w:trPr>
        <w:tc>
          <w:tcPr>
            <w:tcW w:w="3620" w:type="dxa"/>
            <w:vAlign w:val="bottom"/>
          </w:tcPr>
          <w:p>
            <w:pPr>
              <w:ind w:left="140"/>
              <w:spacing w:after="0"/>
              <w:rPr>
                <w:sz w:val="20"/>
                <w:szCs w:val="20"/>
                <w:color w:val="auto"/>
              </w:rPr>
            </w:pPr>
            <w:r>
              <w:rPr>
                <w:rFonts w:ascii="Arial" w:cs="Arial" w:eastAsia="Arial" w:hAnsi="Arial"/>
                <w:sz w:val="15"/>
                <w:szCs w:val="15"/>
                <w:color w:val="auto"/>
              </w:rPr>
              <w:t>Balances at June 30, 2023</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35,305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255,216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(1,379)</w:t>
            </w:r>
          </w:p>
        </w:tc>
        <w:tc>
          <w:tcPr>
            <w:tcW w:w="4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216,507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470,348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92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Accumulated Other</w:t>
            </w:r>
          </w:p>
        </w:tc>
        <w:tc>
          <w:tcPr>
            <w:tcW w:w="160" w:type="dxa"/>
            <w:vAlign w:val="bottom"/>
          </w:tcPr>
          <w:p>
            <w:pPr>
              <w:spacing w:after="0"/>
              <w:rPr>
                <w:sz w:val="17"/>
                <w:szCs w:val="17"/>
                <w:color w:val="auto"/>
              </w:rPr>
            </w:pPr>
          </w:p>
        </w:tc>
        <w:tc>
          <w:tcPr>
            <w:tcW w:w="1260" w:type="dxa"/>
            <w:vAlign w:val="bottom"/>
          </w:tcPr>
          <w:p>
            <w:pPr>
              <w:jc w:val="center"/>
              <w:ind w:right="6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94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1"/>
                <w:szCs w:val="11"/>
                <w:color w:val="auto"/>
              </w:rPr>
            </w:pP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Dollars</w:t>
            </w:r>
          </w:p>
        </w:tc>
        <w:tc>
          <w:tcPr>
            <w:tcW w:w="260" w:type="dxa"/>
            <w:vAlign w:val="bottom"/>
          </w:tcPr>
          <w:p>
            <w:pPr>
              <w:spacing w:after="0"/>
              <w:rPr>
                <w:sz w:val="11"/>
                <w:szCs w:val="11"/>
                <w:color w:val="auto"/>
              </w:rPr>
            </w:pPr>
          </w:p>
        </w:tc>
        <w:tc>
          <w:tcPr>
            <w:tcW w:w="100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1"/>
                <w:szCs w:val="11"/>
                <w:color w:val="auto"/>
              </w:rPr>
            </w:pPr>
          </w:p>
        </w:tc>
        <w:tc>
          <w:tcPr>
            <w:tcW w:w="1300" w:type="dxa"/>
            <w:vAlign w:val="bottom"/>
          </w:tcPr>
          <w:p>
            <w:pPr>
              <w:jc w:val="center"/>
              <w:ind w:right="124"/>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160" w:type="dxa"/>
            <w:vAlign w:val="bottom"/>
          </w:tcPr>
          <w:p>
            <w:pPr>
              <w:spacing w:after="0"/>
              <w:rPr>
                <w:sz w:val="11"/>
                <w:szCs w:val="11"/>
                <w:color w:val="auto"/>
              </w:rPr>
            </w:pPr>
          </w:p>
        </w:tc>
        <w:tc>
          <w:tcPr>
            <w:tcW w:w="126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rPr>
              <w:t>Deficit) Retained</w:t>
            </w:r>
          </w:p>
        </w:tc>
        <w:tc>
          <w:tcPr>
            <w:tcW w:w="200" w:type="dxa"/>
            <w:vAlign w:val="bottom"/>
          </w:tcPr>
          <w:p>
            <w:pPr>
              <w:spacing w:after="0"/>
              <w:rPr>
                <w:sz w:val="11"/>
                <w:szCs w:val="11"/>
                <w:color w:val="auto"/>
              </w:rPr>
            </w:pPr>
          </w:p>
        </w:tc>
        <w:tc>
          <w:tcPr>
            <w:tcW w:w="1160" w:type="dxa"/>
            <w:vAlign w:val="bottom"/>
          </w:tcPr>
          <w:p>
            <w:pPr>
              <w:jc w:val="right"/>
              <w:ind w:right="124"/>
              <w:spacing w:after="0" w:line="12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rPr>
              <w:t>Paid-In 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8"/>
              </w:rPr>
              <w:t>Loss, net</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2021</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37,024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321,552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(22,735)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297,528</w:t>
            </w:r>
          </w:p>
        </w:tc>
        <w:tc>
          <w:tcPr>
            <w:tcW w:w="0" w:type="dxa"/>
            <w:vAlign w:val="bottom"/>
          </w:tcPr>
          <w:p>
            <w:pPr>
              <w:spacing w:after="0"/>
              <w:rPr>
                <w:sz w:val="1"/>
                <w:szCs w:val="1"/>
                <w:color w:val="auto"/>
              </w:rPr>
            </w:pPr>
          </w:p>
        </w:tc>
      </w:tr>
      <w:tr>
        <w:trPr>
          <w:trHeight w:val="198"/>
        </w:trPr>
        <w:tc>
          <w:tcPr>
            <w:tcW w:w="362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499</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(5,267)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(5,267)</w:t>
            </w:r>
          </w:p>
        </w:tc>
        <w:tc>
          <w:tcPr>
            <w:tcW w:w="0" w:type="dxa"/>
            <w:vAlign w:val="bottom"/>
          </w:tcPr>
          <w:p>
            <w:pPr>
              <w:spacing w:after="0"/>
              <w:rPr>
                <w:sz w:val="1"/>
                <w:szCs w:val="1"/>
                <w:color w:val="auto"/>
              </w:rPr>
            </w:pPr>
          </w:p>
        </w:tc>
      </w:tr>
      <w:tr>
        <w:trPr>
          <w:trHeight w:val="200"/>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9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3,715</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3,715</w:t>
            </w:r>
          </w:p>
        </w:tc>
        <w:tc>
          <w:tcPr>
            <w:tcW w:w="0" w:type="dxa"/>
            <w:vAlign w:val="bottom"/>
          </w:tcPr>
          <w:p>
            <w:pPr>
              <w:spacing w:after="0"/>
              <w:rPr>
                <w:sz w:val="1"/>
                <w:szCs w:val="1"/>
                <w:color w:val="auto"/>
              </w:rPr>
            </w:pPr>
          </w:p>
        </w:tc>
      </w:tr>
      <w:tr>
        <w:trPr>
          <w:trHeight w:val="198"/>
        </w:trPr>
        <w:tc>
          <w:tcPr>
            <w:tcW w:w="3620" w:type="dxa"/>
            <w:vAlign w:val="bottom"/>
          </w:tcPr>
          <w:p>
            <w:pPr>
              <w:ind w:left="140"/>
              <w:spacing w:after="0"/>
              <w:rPr>
                <w:sz w:val="20"/>
                <w:szCs w:val="20"/>
                <w:color w:val="auto"/>
              </w:rPr>
            </w:pPr>
            <w:r>
              <w:rPr>
                <w:rFonts w:ascii="Arial" w:cs="Arial" w:eastAsia="Arial" w:hAnsi="Arial"/>
                <w:sz w:val="15"/>
                <w:szCs w:val="15"/>
                <w:color w:val="auto"/>
                <w:w w:val="99"/>
              </w:rPr>
              <w:t>Foreign currency translation adjustment, net of taxes</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17"/>
                <w:szCs w:val="17"/>
                <w:color w:val="auto"/>
              </w:rPr>
            </w:pPr>
          </w:p>
        </w:tc>
        <w:tc>
          <w:tcPr>
            <w:tcW w:w="1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114,877</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114,877</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5"/>
                <w:szCs w:val="15"/>
                <w:color w:val="auto"/>
              </w:rPr>
              <w:t>Balances at June 30, 2022</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37,523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92,142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410,811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134"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9"/>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220" w:type="dxa"/>
            <w:vAlign w:val="bottom"/>
          </w:tcPr>
          <w:p>
            <w:pPr>
              <w:ind w:left="140"/>
              <w:spacing w:after="0"/>
              <w:rPr>
                <w:sz w:val="20"/>
                <w:szCs w:val="20"/>
                <w:color w:val="auto"/>
              </w:rPr>
            </w:pPr>
            <w:r>
              <w:rPr>
                <w:rFonts w:ascii="Arial" w:cs="Arial" w:eastAsia="Arial" w:hAnsi="Arial"/>
                <w:sz w:val="18"/>
                <w:szCs w:val="18"/>
                <w:color w:val="auto"/>
              </w:rPr>
              <w:t>Consolidated 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50,781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114,877</w:t>
            </w:r>
          </w:p>
        </w:tc>
      </w:tr>
      <w:tr>
        <w:trPr>
          <w:trHeight w:val="236"/>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4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Deferred income tax (benefit)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37"/>
        </w:trPr>
        <w:tc>
          <w:tcPr>
            <w:tcW w:w="822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w:t>
            </w:r>
          </w:p>
        </w:tc>
      </w:tr>
      <w:tr>
        <w:trPr>
          <w:trHeight w:val="236"/>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3,715</w:t>
            </w:r>
          </w:p>
        </w:tc>
      </w:tr>
      <w:tr>
        <w:trPr>
          <w:trHeight w:val="24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costs (benefits)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(215,230)</w:t>
            </w:r>
          </w:p>
        </w:tc>
      </w:tr>
      <w:tr>
        <w:trPr>
          <w:trHeight w:val="237"/>
        </w:trPr>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78,438</w:t>
            </w:r>
          </w:p>
        </w:tc>
      </w:tr>
      <w:tr>
        <w:trPr>
          <w:trHeight w:val="243"/>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30"/>
        </w:trPr>
        <w:tc>
          <w:tcPr>
            <w:tcW w:w="8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w:t>
            </w:r>
          </w:p>
        </w:tc>
      </w:tr>
      <w:tr>
        <w:trPr>
          <w:trHeight w:val="236"/>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Acquisition-related 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r>
      <w:tr>
        <w:trPr>
          <w:trHeight w:val="23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r>
      <w:tr>
        <w:trPr>
          <w:trHeight w:val="236"/>
        </w:trPr>
        <w:tc>
          <w:tcPr>
            <w:tcW w:w="8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term loan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(50,438)</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(3,159)</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Senior Secured Asset-Based revolving credit facility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900,112</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Repayments on Senior Secured Asset-Based revolving credit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(599,219)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(824,312)</w:t>
            </w:r>
          </w:p>
        </w:tc>
      </w:tr>
      <w:tr>
        <w:trPr>
          <w:trHeight w:val="24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shares withheld for taxes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repurchase and retirement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13,987</w:t>
            </w:r>
          </w:p>
        </w:tc>
      </w:tr>
      <w:tr>
        <w:trPr>
          <w:trHeight w:val="236"/>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0"/>
        </w:trPr>
        <w:tc>
          <w:tcPr>
            <w:tcW w:w="8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2023.</w:t>
      </w:r>
    </w:p>
    <w:p>
      <w:pPr>
        <w:spacing w:after="0" w:line="21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These unaudited interim condensed consolidated financial statements should be read in conjunction with the audited consolidated financial statements and notes thereto for the year ended December 31, 2022 included in the 2022 Form 10-K. The December 31, 2022 condensed consolidated balance sheet included herein was derived from the December 31, 2022 audited consolidated balance sheet included in the 2022 Form 10-K.</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the condensed consolidated balance sheets and the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ind w:right="6260" w:firstLine="8"/>
        <w:spacing w:after="0" w:line="53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could materially and adversely impact the Company's consolidated financial statements in future reporting periods. Actual results could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5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June 30, 2023 and December 31, 2022 totaled $116.9 million and $152.4 million, respectively.</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doubtful accounts.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4"/>
              </w:rPr>
              <w:t>2022</w:t>
            </w:r>
          </w:p>
        </w:tc>
      </w:tr>
      <w:tr>
        <w:trPr>
          <w:trHeight w:val="230"/>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w w:val="8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w:t>
            </w:r>
          </w:p>
        </w:tc>
        <w:tc>
          <w:tcPr>
            <w:tcW w:w="9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4,908</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3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18,020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8,091</w:t>
            </w: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sales allowance balance as of June 30, 2023 and December 31, 2022 was $1.9 million and $1.6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three and six months ended June 30, 2023 and 2022, or the accounts receivable balance as of June 30, 2023 and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and comprehensive income primarily include employee termination costs and lease-related exit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Employee Termination Costs</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30"/>
        </w:trPr>
        <w:tc>
          <w:tcPr>
            <w:tcW w:w="5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20" w:type="dxa"/>
            <w:vAlign w:val="bottom"/>
            <w:gridSpan w:val="4"/>
          </w:tcPr>
          <w:p>
            <w:pPr>
              <w:jc w:val="right"/>
              <w:ind w:right="1810"/>
              <w:spacing w:after="0"/>
              <w:rPr>
                <w:sz w:val="20"/>
                <w:szCs w:val="20"/>
                <w:color w:val="auto"/>
              </w:rPr>
            </w:pPr>
            <w:r>
              <w:rPr>
                <w:rFonts w:ascii="Arial" w:cs="Arial" w:eastAsia="Arial" w:hAnsi="Arial"/>
                <w:sz w:val="18"/>
                <w:szCs w:val="18"/>
                <w:color w:val="auto"/>
              </w:rPr>
              <w:t>(amounts in thousands)</w:t>
            </w: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Charged (credited) to restructuring</w:t>
            </w:r>
          </w:p>
        </w:tc>
        <w:tc>
          <w:tcPr>
            <w:tcW w:w="1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adjustments</w:t>
            </w:r>
          </w:p>
        </w:tc>
        <w:tc>
          <w:tcPr>
            <w:tcW w:w="160" w:type="dxa"/>
            <w:vAlign w:val="bottom"/>
            <w:tcBorders>
              <w:bottom w:val="single" w:sz="8" w:color="auto"/>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787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Charged to restructuring</w:t>
            </w:r>
          </w:p>
        </w:tc>
        <w:tc>
          <w:tcPr>
            <w:tcW w:w="16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and adjustments</w:t>
            </w:r>
          </w:p>
        </w:tc>
        <w:tc>
          <w:tcPr>
            <w:tcW w:w="1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October 28, 2021, the Financial Accounting Standards Board (FASB) issued Accounting Standards Update (ASU) No.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805): Accounting for Contract Assets and Contract Liabilities from Contracts with Customers</w:t>
      </w:r>
      <w:r>
        <w:rPr>
          <w:rFonts w:ascii="Arial" w:cs="Arial" w:eastAsia="Arial" w:hAnsi="Arial"/>
          <w:sz w:val="17"/>
          <w:szCs w:val="17"/>
          <w:color w:val="auto"/>
        </w:rPr>
        <w:t>, which requires contract assets and contract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as deferred revenue acquired in a business combination to be recognized and measured by the acquirer on the acquisition date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adopted this standard in the first quarter of 2023 and will apply the guidance as it relates to future acquisitions.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Temporary Staffing Services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Services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See Note 12 - Segment Data.</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HireUp</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Arial" w:cs="Arial" w:eastAsia="Arial" w:hAnsi="Arial"/>
          <w:sz w:val="18"/>
          <w:szCs w:val="18"/>
          <w:b w:val="1"/>
          <w:bCs w:val="1"/>
          <w:color w:val="auto"/>
        </w:rPr>
        <w:t>Three Months ended 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Nurse</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ind w:right="210"/>
              <w:spacing w:after="0"/>
              <w:rPr>
                <w:sz w:val="20"/>
                <w:szCs w:val="20"/>
                <w:color w:val="auto"/>
              </w:rPr>
            </w:pPr>
            <w:r>
              <w:rPr>
                <w:rFonts w:ascii="Arial" w:cs="Arial" w:eastAsia="Arial" w:hAnsi="Arial"/>
                <w:sz w:val="18"/>
                <w:szCs w:val="18"/>
                <w:b w:val="1"/>
                <w:bCs w:val="1"/>
                <w:color w:val="auto"/>
                <w:w w:val="87"/>
              </w:rPr>
              <w:t>Physician</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420" w:type="dxa"/>
            <w:vAlign w:val="bottom"/>
          </w:tcPr>
          <w:p>
            <w:pPr>
              <w:jc w:val="center"/>
              <w:ind w:right="170"/>
              <w:spacing w:after="0" w:line="184" w:lineRule="exact"/>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483,560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43,115</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526,675</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495,376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540,695</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90"/>
              <w:spacing w:after="0"/>
              <w:rPr>
                <w:sz w:val="20"/>
                <w:szCs w:val="20"/>
                <w:color w:val="auto"/>
              </w:rPr>
            </w:pPr>
            <w:r>
              <w:rPr>
                <w:rFonts w:ascii="Arial" w:cs="Arial" w:eastAsia="Arial" w:hAnsi="Arial"/>
                <w:sz w:val="18"/>
                <w:szCs w:val="18"/>
                <w:b w:val="1"/>
                <w:bCs w:val="1"/>
                <w:color w:val="auto"/>
                <w:w w:val="89"/>
              </w:rPr>
              <w:t>Three Months ended June 30, 2022</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87"/>
              </w:rPr>
              <w:t>Physician</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42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39"/>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712,090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21,207</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733,297</w:t>
            </w:r>
          </w:p>
        </w:tc>
        <w:tc>
          <w:tcPr>
            <w:tcW w:w="0" w:type="dxa"/>
            <w:vAlign w:val="bottom"/>
          </w:tcPr>
          <w:p>
            <w:pPr>
              <w:spacing w:after="0"/>
              <w:rPr>
                <w:sz w:val="1"/>
                <w:szCs w:val="1"/>
                <w:color w:val="auto"/>
              </w:rPr>
            </w:pPr>
          </w:p>
        </w:tc>
      </w:tr>
      <w:tr>
        <w:trPr>
          <w:trHeight w:val="237"/>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20,264</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731,443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753,561</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90"/>
              <w:spacing w:after="0"/>
              <w:rPr>
                <w:sz w:val="20"/>
                <w:szCs w:val="20"/>
                <w:color w:val="auto"/>
              </w:rPr>
            </w:pPr>
            <w:r>
              <w:rPr>
                <w:rFonts w:ascii="Arial" w:cs="Arial" w:eastAsia="Arial" w:hAnsi="Arial"/>
                <w:sz w:val="18"/>
                <w:szCs w:val="18"/>
                <w:b w:val="1"/>
                <w:bCs w:val="1"/>
                <w:color w:val="auto"/>
                <w:w w:val="89"/>
              </w:rPr>
              <w:t>Six Months ended 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420" w:type="dxa"/>
            <w:vAlign w:val="bottom"/>
          </w:tcPr>
          <w:p>
            <w:pPr>
              <w:jc w:val="center"/>
              <w:ind w:right="150"/>
              <w:spacing w:after="0" w:line="177" w:lineRule="exact"/>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42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7"/>
              </w:rPr>
              <w:t>Physician</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1,051,210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81,312</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1,132,522</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30,880</w:t>
            </w:r>
          </w:p>
        </w:tc>
        <w:tc>
          <w:tcPr>
            <w:tcW w:w="0" w:type="dxa"/>
            <w:vAlign w:val="bottom"/>
          </w:tcPr>
          <w:p>
            <w:pPr>
              <w:spacing w:after="0"/>
              <w:rPr>
                <w:sz w:val="1"/>
                <w:szCs w:val="1"/>
                <w:color w:val="auto"/>
              </w:rPr>
            </w:pPr>
          </w:p>
        </w:tc>
      </w:tr>
      <w:tr>
        <w:trPr>
          <w:trHeight w:val="230"/>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1,077,678</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85,724</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1,163,402</w:t>
            </w:r>
          </w:p>
        </w:tc>
        <w:tc>
          <w:tcPr>
            <w:tcW w:w="0" w:type="dxa"/>
            <w:vAlign w:val="bottom"/>
          </w:tcPr>
          <w:p>
            <w:pPr>
              <w:spacing w:after="0"/>
              <w:rPr>
                <w:sz w:val="1"/>
                <w:szCs w:val="1"/>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90"/>
              <w:spacing w:after="0"/>
              <w:rPr>
                <w:sz w:val="20"/>
                <w:szCs w:val="20"/>
                <w:color w:val="auto"/>
              </w:rPr>
            </w:pPr>
            <w:r>
              <w:rPr>
                <w:rFonts w:ascii="Arial" w:cs="Arial" w:eastAsia="Arial" w:hAnsi="Arial"/>
                <w:sz w:val="18"/>
                <w:szCs w:val="18"/>
                <w:b w:val="1"/>
                <w:bCs w:val="1"/>
                <w:color w:val="auto"/>
                <w:w w:val="89"/>
              </w:rPr>
              <w:t>Six Months ended June 30, 2022</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4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87"/>
              </w:rPr>
              <w:t>Physician</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6"/>
                <w:szCs w:val="16"/>
                <w:color w:val="auto"/>
              </w:rPr>
            </w:pPr>
          </w:p>
        </w:tc>
        <w:tc>
          <w:tcPr>
            <w:tcW w:w="1420" w:type="dxa"/>
            <w:vAlign w:val="bottom"/>
          </w:tcPr>
          <w:p>
            <w:pPr>
              <w:jc w:val="center"/>
              <w:ind w:right="170"/>
              <w:spacing w:after="0" w:line="184" w:lineRule="exact"/>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Total Segments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1,461,537</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43,311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1,504,848</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1,497,023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1,542,293</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-4388485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-4088765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-3085465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-2785110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-1782445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-1482090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-488315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78" w:lineRule="exact"/>
        <w:rPr>
          <w:sz w:val="20"/>
          <w:szCs w:val="20"/>
          <w:color w:val="auto"/>
        </w:rPr>
      </w:pPr>
    </w:p>
    <w:p>
      <w:pPr>
        <w:sectPr>
          <w:pgSz w:w="11900" w:h="16838" w:orient="portrait"/>
          <w:cols w:equalWidth="0" w:num="2">
            <w:col w:w="4960" w:space="720"/>
            <w:col w:w="5560"/>
          </w:cols>
          <w:pgMar w:left="320" w:top="891"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On December 13, 2022, the Company purchased and acquired substantially all of the assets and assumed certain liabilities of HireUp Leadership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(HireUp) for a purchase price of $6.0 million in cash, subject to adjustment, and $0.8 million in shares (or 29,811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treated as a purchase of assets for income tax purposes.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The sellers were eligible to receive up to an additional $8.0 million total in earnout cash consideration based on HireUp's revenues and Adjusted EBITDA for each of the twelve-month periods ending on the first and second anniversaries of the first day after the closing date. In the second quarter of 2023, the Company performed an analysis using multiple updated forecast scenarios and determined that the earnout would only be partially achieved. As a result, the Company recognized a decrease in the fair value of the related liabilities. The short-term portion of the liability of $3.3 million is included in the current portion of earnout liability and the long-term portion of the liability of $0.2 million is included in non-current earnout liability on the condensed consolidated balance sheets. See Note 10 - Fair Value Measurements.</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w:t>
      </w:r>
    </w:p>
    <w:p>
      <w:pPr>
        <w:ind w:right="300" w:firstLine="8"/>
        <w:spacing w:after="0" w:line="26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$3.5 million to a database with a weighted average estimated useful life of 7 years, for a total of $6.9 million in definite life intangible assets with a weighted average estimated useful life of 7 years.</w:t>
      </w:r>
    </w:p>
    <w:p>
      <w:pPr>
        <w:spacing w:after="0" w:line="21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remaining excess purchase price over the fair value of net assets acquired of $3.1 million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Mint</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1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sellers are eligible to receive up to an additional $10.0 million in earnout cash consideration based on Mint's revenues and gross profit for each of the twelve-month periods ending on the first and second anniversaries of the first day of the calendar month following the closing date. The short-term portion of the liability of $5.0 million is included in the current portion of earnout liability and the long-term portion of the liability of $5.0 million is included in non-current earnout liability on the condensed consolidated balance sheets. See Note 10 - Fair Value Measurements.</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w:t>
      </w:r>
    </w:p>
    <w:p>
      <w:pPr>
        <w:ind w:right="120" w:firstLine="8"/>
        <w:spacing w:after="0" w:line="260"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million to a database with a weighted average estimated useful life of 7 years, for a total of $15.1 million in definite life intangible assets with a weighted average estimated useful life of 7 years.</w:t>
      </w:r>
    </w:p>
    <w:p>
      <w:pPr>
        <w:spacing w:after="0" w:line="21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remaining excess purchase price over the fair value of net assets acquired of $20.1 million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Business</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December 15, 2022, the Company purchased and acquired certain assets and assumed certain liabilities of an Ohio based business for a purchase price of $2.0 million in cash, subject to customary post-closing adjustments. The transaction was treated as a purchase of assets for income tax purposes.</w:t>
      </w:r>
    </w:p>
    <w:p>
      <w:pPr>
        <w:spacing w:after="0" w:line="15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December 15, 2022, an immaterial amount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above acquisitions made in 2022, HireUp, Mint, and a local business,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Selected</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sellers were eligible to receive up to an additional $1.5 million in earnout cash consideration, based on Selected's revenues for each of the twelve-month periods ending on the first and second anniversaries of the first day after the closing date. In the second quarter of 2022, the Company determined that the contingent consideration earnout related to the Selected acquisition would not be achieved for 2022 and 2023 and, as a result, the entire liability was reversed.</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quarter ended June 30, 2022, 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remaining excess purchase price over the fair value of net assets acquired of $0.4 million was recorded as goodwill on the Company's condensed consolidated balance sheets. See Note 7 - Goodwill, Trade Names, and Other Intangible Assets.</w:t>
      </w:r>
    </w:p>
    <w:p>
      <w:pPr>
        <w:spacing w:after="0" w:line="19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Country Workforce Solutions Group (CCWSG)</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 Included in the amount paid at closing and held in an escrow account was $2.0 million related to potential wage and hour indemnification claims. On December 16, 2022, this amount was released from escrow to the seller. The transaction was treated as a purchase of assets for income tax purposes.</w:t>
      </w:r>
    </w:p>
    <w:p>
      <w:pPr>
        <w:spacing w:after="0" w:line="20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sellers are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The remaining earnout liability's carrying amount of $7.5 million is included in the current portion of earnout liability on the condensed consolidated balance sheets. See Note 10 - Fair Value Measurements.</w:t>
      </w:r>
    </w:p>
    <w:p>
      <w:pPr>
        <w:spacing w:after="0" w:line="18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During the quarter ended September 30, 2021, the Company assigned a value to other identifiable intangible assets of $14.2 million in customer relationships with a weighted average estimated useful life of 11.5 years.</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remaining excess purchase price over the fair value of net assets acquired of $22.1 million was recorded as goodwill on the Company's condensed consolidated balance sheets. See Note 7 - Goodwill, Trade Names, and Other Intangible Assets.</w:t>
      </w:r>
    </w:p>
    <w:p>
      <w:pPr>
        <w:spacing w:after="0" w:line="19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Immaterial acquisition-related costs (benefits) associated with the Company's acquisitions have been included in selling, general and administrative expenses on its condensed consolidated statements of operations and comprehensive income.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tabs>
          <w:tab w:leader="none" w:pos="300" w:val="left"/>
        </w:tabs>
        <w:rPr>
          <w:sz w:val="20"/>
          <w:szCs w:val="20"/>
          <w:color w:val="auto"/>
        </w:rPr>
      </w:pPr>
      <w:r>
        <w:rPr>
          <w:rFonts w:ascii="Arial" w:cs="Arial" w:eastAsia="Arial" w:hAnsi="Arial"/>
          <w:sz w:val="18"/>
          <w:szCs w:val="18"/>
          <w:b w:val="1"/>
          <w:bCs w:val="1"/>
          <w:color w:val="auto"/>
        </w:rPr>
        <w:t>5.</w:t>
        <w:tab/>
        <w:t>COMPREHENSIVE INCOME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Total comprehensive income includes net income or loss and foreign currency translation adjustments, net of any related deferred taxes, and is included within the accompanying condensed consolidated statements of operations and comprehensive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$1.4 million at June 30, 2023 and $1.5 million at December 31, 2022.</w:t>
      </w:r>
    </w:p>
    <w:p>
      <w:pPr>
        <w:spacing w:after="0" w:line="20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income tax impact related to components of other comprehensive income for the three and six months ended June 30, 2023 and 2022 is included in unrealized foreign currency translation gain (loss), net of tax in the condensed consolidated statements of operations and comprehensive income.</w:t>
      </w:r>
    </w:p>
    <w:p>
      <w:pPr>
        <w:spacing w:after="0" w:line="1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5"/>
              </w:rPr>
              <w:t>Three Months Ended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63"/>
        </w:trPr>
        <w:tc>
          <w:tcPr>
            <w:tcW w:w="6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2"/>
                <w:szCs w:val="22"/>
                <w:color w:val="auto"/>
              </w:rPr>
            </w:pPr>
          </w:p>
        </w:tc>
      </w:tr>
      <w:tr>
        <w:trPr>
          <w:trHeight w:val="250"/>
        </w:trPr>
        <w:tc>
          <w:tcPr>
            <w:tcW w:w="66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2022</w:t>
            </w: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00" w:type="dxa"/>
            <w:vAlign w:val="bottom"/>
            <w:gridSpan w:val="9"/>
          </w:tcPr>
          <w:p>
            <w:pPr>
              <w:jc w:val="right"/>
              <w:ind w:right="260"/>
              <w:spacing w:after="0"/>
              <w:rPr>
                <w:sz w:val="20"/>
                <w:szCs w:val="20"/>
                <w:color w:val="auto"/>
              </w:rPr>
            </w:pPr>
            <w:r>
              <w:rPr>
                <w:rFonts w:ascii="Arial" w:cs="Arial" w:eastAsia="Arial" w:hAnsi="Arial"/>
                <w:sz w:val="14"/>
                <w:szCs w:val="14"/>
                <w:color w:val="auto"/>
                <w:w w:val="90"/>
              </w:rPr>
              <w:t>(amounts in thousands, except per share data)</w:t>
            </w:r>
          </w:p>
        </w:tc>
        <w:tc>
          <w:tcPr>
            <w:tcW w:w="740" w:type="dxa"/>
            <w:vAlign w:val="bottom"/>
          </w:tcPr>
          <w:p>
            <w:pPr>
              <w:spacing w:after="0"/>
              <w:rPr>
                <w:sz w:val="16"/>
                <w:szCs w:val="16"/>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 - Basic and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21,345</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52,894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50,781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114,877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37,251</w:t>
            </w:r>
          </w:p>
        </w:tc>
      </w:tr>
      <w:tr>
        <w:trPr>
          <w:trHeight w:val="237"/>
        </w:trPr>
        <w:tc>
          <w:tcPr>
            <w:tcW w:w="6600" w:type="dxa"/>
            <w:vAlign w:val="bottom"/>
          </w:tcPr>
          <w:p>
            <w:pPr>
              <w:ind w:left="140"/>
              <w:spacing w:after="0"/>
              <w:rPr>
                <w:sz w:val="20"/>
                <w:szCs w:val="20"/>
                <w:color w:val="auto"/>
              </w:rPr>
            </w:pPr>
            <w:r>
              <w:rPr>
                <w:rFonts w:ascii="Arial" w:cs="Arial" w:eastAsia="Arial" w:hAnsi="Arial"/>
                <w:sz w:val="18"/>
                <w:szCs w:val="18"/>
                <w:color w:val="auto"/>
              </w:rPr>
              <w:t>Effect of diluted shares: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6"/>
        </w:trPr>
        <w:tc>
          <w:tcPr>
            <w:tcW w:w="6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Share-based awards</w:t>
            </w: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
        </w:trPr>
        <w:tc>
          <w:tcPr>
            <w:tcW w:w="6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180" w:type="dxa"/>
            <w:vAlign w:val="bottom"/>
            <w:gridSpan w:val="4"/>
          </w:tcPr>
          <w:p>
            <w:pPr>
              <w:ind w:lef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7"/>
        </w:trPr>
        <w:tc>
          <w:tcPr>
            <w:tcW w:w="66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1"/>
              </w:rPr>
              <w:t>June 30,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color w:val="auto"/>
              </w:rPr>
              <w:t>(amounts in thousands)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60" w:type="dxa"/>
            <w:vAlign w:val="bottom"/>
            <w:gridSpan w:val="2"/>
            <w:shd w:val="clear" w:color="auto" w:fill="CCEEFF"/>
          </w:tcPr>
          <w:p>
            <w:pPr>
              <w:jc w:val="right"/>
              <w:ind w:right="5810"/>
              <w:spacing w:after="0"/>
              <w:rPr>
                <w:sz w:val="20"/>
                <w:szCs w:val="20"/>
                <w:color w:val="auto"/>
              </w:rPr>
            </w:pPr>
            <w:r>
              <w:rPr>
                <w:rFonts w:ascii="Arial" w:cs="Arial" w:eastAsia="Arial" w:hAnsi="Arial"/>
                <w:sz w:val="18"/>
                <w:szCs w:val="18"/>
                <w:color w:val="auto"/>
                <w:w w:val="86"/>
              </w:rPr>
              <w:t>Share-based awards</w:t>
            </w: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880" w:type="dxa"/>
            <w:vAlign w:val="bottom"/>
            <w:gridSpan w:val="7"/>
          </w:tcPr>
          <w:p>
            <w:pPr>
              <w:spacing w:after="0"/>
              <w:rPr>
                <w:sz w:val="20"/>
                <w:szCs w:val="20"/>
                <w:color w:val="auto"/>
              </w:rPr>
            </w:pPr>
            <w:r>
              <w:rPr>
                <w:rFonts w:ascii="Arial" w:cs="Arial" w:eastAsia="Arial" w:hAnsi="Arial"/>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20" w:type="dxa"/>
            <w:vAlign w:val="bottom"/>
            <w:gridSpan w:val="5"/>
          </w:tcPr>
          <w:p>
            <w:pPr>
              <w:spacing w:after="0"/>
              <w:rPr>
                <w:sz w:val="20"/>
                <w:szCs w:val="20"/>
                <w:color w:val="auto"/>
              </w:rPr>
            </w:pPr>
            <w:r>
              <w:rPr>
                <w:rFonts w:ascii="Arial" w:cs="Arial" w:eastAsia="Arial" w:hAnsi="Arial"/>
                <w:sz w:val="18"/>
                <w:szCs w:val="18"/>
                <w:color w:val="auto"/>
                <w:w w:val="93"/>
              </w:rPr>
              <w:t>The Company had the following acquired intangible assets: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December 31, 2022</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60"/>
              <w:spacing w:after="0" w:line="177"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5"/>
                <w:szCs w:val="15"/>
                <w:color w:val="auto"/>
              </w:rPr>
            </w:pPr>
          </w:p>
        </w:tc>
        <w:tc>
          <w:tcPr>
            <w:tcW w:w="9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380"/>
              <w:spacing w:after="0" w:line="18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5"/>
                <w:szCs w:val="15"/>
                <w:color w:val="auto"/>
              </w:rPr>
            </w:pPr>
          </w:p>
        </w:tc>
        <w:tc>
          <w:tcPr>
            <w:tcW w:w="96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Intangible assets subject to amortization:</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25,447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33,430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22,033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44,079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names, indefinite-lived</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w w:val="96"/>
              </w:rPr>
              <w:t>As of June 30, 2023, estimated annual amortization expense was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88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ind w:left="26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95"/>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Borders>
              <w:bottom w:val="single" w:sz="8" w:color="auto"/>
            </w:tcBorders>
          </w:tcPr>
          <w:p>
            <w:pPr>
              <w:jc w:val="center"/>
              <w:ind w:right="575"/>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Nurse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Physician</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jc w:val="center"/>
              <w:ind w:right="250"/>
              <w:spacing w:after="0" w:line="184" w:lineRule="exact"/>
              <w:rPr>
                <w:sz w:val="20"/>
                <w:szCs w:val="20"/>
                <w:color w:val="auto"/>
              </w:rPr>
            </w:pPr>
            <w:r>
              <w:rPr>
                <w:rFonts w:ascii="Arial" w:cs="Arial" w:eastAsia="Arial" w:hAnsi="Arial"/>
                <w:sz w:val="18"/>
                <w:szCs w:val="18"/>
                <w:b w:val="1"/>
                <w:bCs w:val="1"/>
                <w:color w:val="auto"/>
                <w:w w:val="94"/>
              </w:rPr>
              <w:t>And Allied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Staffing</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Staffing</w:t>
            </w: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color w:val="auto"/>
                <w:w w:val="89"/>
              </w:rPr>
              <w:t>(amounts in thousands)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2022</w:t>
            </w:r>
          </w:p>
        </w:tc>
        <w:tc>
          <w:tcPr>
            <w:tcW w:w="3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395,119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78,621</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473,740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impairment loss</w:t>
            </w: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2"/>
              </w:rPr>
              <w:t>(40,598)</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Goodwill, net of impairment loss</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125,245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38,023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163,268</w:t>
            </w:r>
          </w:p>
        </w:tc>
        <w:tc>
          <w:tcPr>
            <w:tcW w:w="0" w:type="dxa"/>
            <w:vAlign w:val="bottom"/>
          </w:tcPr>
          <w:p>
            <w:pPr>
              <w:spacing w:after="0"/>
              <w:rPr>
                <w:sz w:val="1"/>
                <w:szCs w:val="1"/>
                <w:color w:val="auto"/>
              </w:rPr>
            </w:pPr>
          </w:p>
        </w:tc>
      </w:tr>
      <w:tr>
        <w:trPr>
          <w:trHeight w:val="276"/>
        </w:trPr>
        <w:tc>
          <w:tcPr>
            <w:tcW w:w="4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Changes to aggregate goodwill in 2023</w:t>
            </w: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 acquisition adjustments</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92"/>
              </w:rPr>
              <w:t>(15,100)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(26,248)</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June 30, 2023</w:t>
            </w:r>
          </w:p>
        </w:tc>
        <w:tc>
          <w:tcPr>
            <w:tcW w:w="3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Aggregate goodwill acquired</w:t>
            </w: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383,971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63,521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447,492</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impairment loss</w:t>
            </w: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center"/>
              <w:ind w:left="1090"/>
              <w:spacing w:after="0"/>
              <w:rPr>
                <w:sz w:val="20"/>
                <w:szCs w:val="20"/>
                <w:color w:val="auto"/>
              </w:rPr>
            </w:pPr>
            <w:r>
              <w:rPr>
                <w:rFonts w:ascii="Arial" w:cs="Arial" w:eastAsia="Arial" w:hAnsi="Arial"/>
                <w:sz w:val="18"/>
                <w:szCs w:val="18"/>
                <w:color w:val="auto"/>
                <w:w w:val="92"/>
              </w:rPr>
              <w:t>(40,598)</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Goodwill, net of impairment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114,097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center"/>
              <w:ind w:left="1130"/>
              <w:spacing w:after="0"/>
              <w:rPr>
                <w:sz w:val="20"/>
                <w:szCs w:val="20"/>
                <w:color w:val="auto"/>
              </w:rPr>
            </w:pPr>
            <w:r>
              <w:rPr>
                <w:rFonts w:ascii="Arial" w:cs="Arial" w:eastAsia="Arial" w:hAnsi="Arial"/>
                <w:sz w:val="18"/>
                <w:szCs w:val="18"/>
                <w:color w:val="auto"/>
                <w:w w:val="90"/>
              </w:rPr>
              <w:t>22,923</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137,020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w:t>
      </w:r>
    </w:p>
    <w:p>
      <w:pPr>
        <w:spacing w:after="0" w:line="23" w:lineRule="exact"/>
        <w:rPr>
          <w:sz w:val="20"/>
          <w:szCs w:val="20"/>
          <w:color w:val="auto"/>
        </w:rPr>
      </w:pPr>
    </w:p>
    <w:p>
      <w:pPr>
        <w:ind w:right="200" w:firstLine="8"/>
        <w:spacing w:after="0" w:line="273" w:lineRule="auto"/>
        <w:tabs>
          <w:tab w:leader="none" w:pos="24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adjustments to the fair value of the identifiable net assets acquired, with a corresponding offset to goodwill, made during the measurement period related to the acquisitions of HireUp, Mint, and a local business. The Company may record additional adjustments related to these acquisitions during the remainder of the measurement period, which is not to exceed one year from the acquisition date. Upon conclusion of the measurement period, any subsequent adjustments will be recorded to earnings. See Note 4 - Acquisitions.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June 30, 2023,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June 30, 2023 will prove to be accurate predictions of future performance.</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its long-lived assets and definite-lived intangible assets, the Company reviews for impairment whenever events or changes in circumstances indicate the carrying amount may not be recoverable. During the three months ended June 30, 2023, the Company wrote off an abandoned IT project, resulting in a $0.5 million impairment charge.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ectPr>
          <w:pgSz w:w="11900" w:h="16838" w:orient="portrait"/>
          <w:cols w:equalWidth="0" w:num="1">
            <w:col w:w="11240"/>
          </w:cols>
          <w:pgMar w:left="320" w:top="891"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 interest of 10.14%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Senior Secured Asset-Based Loan, interest of 6.66% and 5.90% at June 30,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June 30, 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4"/>
              </w:rPr>
              <w:t>Debt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4"/>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Principal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5"/>
              </w:rPr>
              <w:t>Issuance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Principal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5"/>
              </w:rPr>
              <w:t>Issuance</w:t>
            </w:r>
          </w:p>
        </w:tc>
        <w:tc>
          <w:tcPr>
            <w:tcW w:w="0" w:type="dxa"/>
            <w:vAlign w:val="bottom"/>
          </w:tcPr>
          <w:p>
            <w:pPr>
              <w:spacing w:after="0"/>
              <w:rPr>
                <w:sz w:val="1"/>
                <w:szCs w:val="1"/>
                <w:color w:val="auto"/>
              </w:rPr>
            </w:pPr>
          </w:p>
        </w:tc>
      </w:tr>
      <w:tr>
        <w:trPr>
          <w:trHeight w:val="229"/>
        </w:trPr>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Costs</w:t>
            </w: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4"/>
          </w:tcPr>
          <w:p>
            <w:pPr>
              <w:jc w:val="right"/>
              <w:ind w:right="310"/>
              <w:spacing w:after="0"/>
              <w:rPr>
                <w:sz w:val="20"/>
                <w:szCs w:val="20"/>
                <w:color w:val="auto"/>
              </w:rPr>
            </w:pPr>
            <w:r>
              <w:rPr>
                <w:rFonts w:ascii="Arial" w:cs="Arial" w:eastAsia="Arial" w:hAnsi="Arial"/>
                <w:sz w:val="18"/>
                <w:szCs w:val="18"/>
                <w:color w:val="auto"/>
                <w:w w:val="99"/>
              </w:rPr>
              <w:t>(amounts in thousands)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405"/>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76,800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150,675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40" w:space="100"/>
            <w:col w:w="5000"/>
          </w:cols>
          <w:pgMar w:left="320" w:top="891" w:right="339" w:bottom="1440" w:gutter="0" w:footer="0" w:header="0"/>
          <w:type w:val="continuous"/>
        </w:sectPr>
      </w:pPr>
    </w:p>
    <w:p>
      <w:pPr>
        <w:spacing w:after="0" w:line="12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June 30, 2023 and December 31, 2022, all debt is included in long-term debt on the condensed consolidated balance sheets. The Company has elected to present the debt issuance costs associated with its revolving line-of-credit as an asset, which is included in other non-current assets on the condensed consolidated balance sheets. As a result, the long-term debt in the above table will not agree to long-term debt on the condensed consolidated balance sheets herein.</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its scheduled payments, the Company made optional prepayments of $50.0 million on its term loan on June 23, 2022 and October 26, 2022, totaling $100.0 million, to reduce interest costs. The Company was entitled to determine the application of the prepayments, which were applied to all future amortization payments, with the balance applied to the remaining balloon payment in 2027. On June 30, 2023, the Company repaid all outstanding obligations under the term loan, and terminated the Term Loan Agreement (as defined below). As of June 30, 2023, the aggregate schedule for maturities of debt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Term Loan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Senior Secured Asset-</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Based Loan</w:t>
            </w:r>
          </w:p>
        </w:tc>
        <w:tc>
          <w:tcPr>
            <w:tcW w:w="0" w:type="dxa"/>
            <w:vAlign w:val="bottom"/>
          </w:tcPr>
          <w:p>
            <w:pPr>
              <w:spacing w:after="0"/>
              <w:rPr>
                <w:sz w:val="1"/>
                <w:szCs w:val="1"/>
                <w:color w:val="auto"/>
              </w:rPr>
            </w:pPr>
          </w:p>
        </w:tc>
      </w:tr>
      <w:tr>
        <w:trPr>
          <w:trHeight w:val="227"/>
        </w:trPr>
        <w:tc>
          <w:tcPr>
            <w:tcW w:w="7600" w:type="dxa"/>
            <w:vAlign w:val="bottom"/>
          </w:tcPr>
          <w:p>
            <w:pPr>
              <w:spacing w:after="0"/>
              <w:rPr>
                <w:sz w:val="19"/>
                <w:szCs w:val="19"/>
                <w:color w:val="auto"/>
              </w:rPr>
            </w:pPr>
          </w:p>
        </w:tc>
        <w:tc>
          <w:tcPr>
            <w:tcW w:w="3640" w:type="dxa"/>
            <w:vAlign w:val="bottom"/>
            <w:gridSpan w:val="5"/>
          </w:tcPr>
          <w:p>
            <w:pPr>
              <w:jc w:val="right"/>
              <w:ind w:right="890"/>
              <w:spacing w:after="0"/>
              <w:rPr>
                <w:sz w:val="20"/>
                <w:szCs w:val="20"/>
                <w:color w:val="auto"/>
              </w:rPr>
            </w:pPr>
            <w:r>
              <w:rPr>
                <w:rFonts w:ascii="Arial" w:cs="Arial" w:eastAsia="Arial" w:hAnsi="Arial"/>
                <w:sz w:val="18"/>
                <w:szCs w:val="18"/>
                <w:color w:val="auto"/>
              </w:rPr>
              <w:t>(amounts in thousands)</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Through Years Ending December 31:</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140"/>
              <w:spacing w:after="0"/>
              <w:rPr>
                <w:sz w:val="20"/>
                <w:szCs w:val="20"/>
                <w:color w:val="auto"/>
              </w:rPr>
            </w:pPr>
            <w:r>
              <w:rPr>
                <w:rFonts w:ascii="Arial" w:cs="Arial" w:eastAsia="Arial" w:hAnsi="Arial"/>
                <w:sz w:val="18"/>
                <w:szCs w:val="18"/>
                <w:color w:val="auto"/>
              </w:rPr>
              <w:t>2023</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420" w:type="dxa"/>
            <w:vAlign w:val="bottom"/>
            <w:shd w:val="clear" w:color="auto" w:fill="CCEEFF"/>
          </w:tcPr>
          <w:p>
            <w:pPr>
              <w:spacing w:after="0"/>
              <w:rPr>
                <w:sz w:val="20"/>
                <w:szCs w:val="20"/>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2025</w:t>
            </w:r>
          </w:p>
        </w:tc>
        <w:tc>
          <w:tcPr>
            <w:tcW w:w="142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420" w:type="dxa"/>
            <w:vAlign w:val="bottom"/>
            <w:shd w:val="clear" w:color="auto" w:fill="CCEEFF"/>
          </w:tcPr>
          <w:p>
            <w:pPr>
              <w:spacing w:after="0"/>
              <w:rPr>
                <w:sz w:val="21"/>
                <w:szCs w:val="21"/>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2027</w:t>
            </w:r>
          </w:p>
        </w:tc>
        <w:tc>
          <w:tcPr>
            <w:tcW w:w="142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4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 Credit Agreement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had an interest rate of one-month London Inter-Bank Offered Rate (LIBOR) plus 5.75% per annum, subject to a 0.75% LIBOR floor. The borrowings under the Term Loan Agreement generally bore interest at a variable rate based on either LIBOR or Base Rate (as defined in the Term Loan Agreement) and were subject to mandatory prepayments of principal payable in quarterly installments.</w:t>
      </w:r>
    </w:p>
    <w:p>
      <w:pPr>
        <w:spacing w:after="0" w:line="21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term loan was secured by a second-priority security interest in the collateral as defined in the Loan Agreement (as defined below). The lien priority, relative rights, and other creditors’ rights issues in respect of the collateral lenders are set forth in the Intercreditor Agreement, dated June 8, 2021 (Intercreditor Agreement).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ind w:right="20"/>
        <w:spacing w:after="0" w:line="279" w:lineRule="auto"/>
        <w:rPr>
          <w:sz w:val="20"/>
          <w:szCs w:val="20"/>
          <w:color w:val="auto"/>
        </w:rPr>
      </w:pPr>
      <w:r>
        <w:rPr>
          <w:rFonts w:ascii="Arial" w:cs="Arial" w:eastAsia="Arial" w:hAnsi="Arial"/>
          <w:sz w:val="17"/>
          <w:szCs w:val="17"/>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In conjunction with the Term Loan First Amendment, the Company entered into the Term Loan First Amendment to the Intercreditor Agreement effective as of November 18, 2021.</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April 14, 2023, the Company amended its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second and fourth quarters of 2022, the Company made early prepayments totaling $100 million, and incurred prepayment premiums of $1.0 million pursuant to the Term Loan Agreement. Debt issuance costs of $1.4 million and $1.3 million were written off in the second and fourth quarters of 2022, respectively.</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June 30, 2023, the Company repaid all outstanding obligations of $73.9 million under the term loan, and terminated the Term Loan Agreement. As a result, debt issuance costs of $1.7 million were written off in the second quarter of 2023. There were no prepayment premiums associated with the payoff and all subsidiary guarantees of the term loan were automatically released.</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Any prepayment premiums and write-off of debt issuance costs are included as loss on early extinguishment of debt in the condensed consolidated statements of operations and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Asset-Based Loan Agreement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PNC Bank N.A., as well as other Lenders (as defined therein) from time to time parties thereto (Loan Agreement). The Loan Agreement provides for a five-year revolving senior secured asset-based credit facility (ABL) in the aggregate principal amount of up to $120.0 million, including a sublimit for swing loans up to $15.0 million and a $35.0 million sublimit for standby letters of credit.</w:t>
      </w:r>
    </w:p>
    <w:p>
      <w:pPr>
        <w:spacing w:after="0" w:line="8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3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November 18, 2021, the Company amended its Loan Agreement (Fourth Amendment), whereby the permitted indebtedness (as defined in the Loan Agreement), was increased to $175.0 million.</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March 21, 2022, the Company amended its Loan Agreement (Fifth Amendment), which increased the current aggregate committed size of the ABL from $150.0 million to $300.0 million, extended the credit facility for an additional five years, and increased certain borrowing base sub-limits. In addition, the agreement provides the option for all or a portion of the borrowings to bear interest at a rate based on the SOFR or the Base Rate, at the election of the borrowers, plus an applicable margin. The applicable margin will increase 10 basis points due to the credit spread associated with the transition to SOFR.</w:t>
      </w:r>
    </w:p>
    <w:p>
      <w:pPr>
        <w:spacing w:after="0" w:line="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June 30, 2023, borrowing base availability under the ABL was $289.2 million and the Company had $31.0 million of borrowings drawn, as well as $18.2 million of letters of credit outstanding related to workers' compensation and professional liability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policies, leaving $240.0 million of excess availability.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June 30, 2023,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June 30, 2023. Obligations under the ABL are secured by substantially all the assets of the borrowers and guarantors, subject to customary exceptions.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LEASES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Beginning in the second quarter of 2020, in connection with the global pandemic, the Company expedited restructuring plans and either reduced or fully vacated leased office space. The decision and change in the use of space resulted in a right-of-use asset impairment charge of $1.5 million for the three months ended March 31, 2022. This loss 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three months ended March 31, 2022, the Company wrote off an immaterial amount of leasehold improvements and other property and equipment related to these locations. The Company did not record any lease-related impairment charges for the three and six months ended June 30, 2023 or the three months ended June 30, 2022. The measurement of the right-of-use asset impairments, using the assumptions described, is a Level 3 fair value measurement. See Note 10 - Fair Value Measurements for a description of Level 3 inputs.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8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c>
          <w:tcPr>
            <w:tcW w:w="520" w:type="dxa"/>
            <w:vAlign w:val="bottom"/>
            <w:tcBorders>
              <w:bottom w:val="single" w:sz="8" w:color="auto"/>
            </w:tcBorders>
          </w:tcPr>
          <w:p>
            <w:pPr>
              <w:spacing w:after="0"/>
              <w:rPr>
                <w:sz w:val="20"/>
                <w:szCs w:val="20"/>
                <w:color w:val="auto"/>
              </w:rPr>
            </w:pPr>
          </w:p>
        </w:tc>
      </w:tr>
      <w:tr>
        <w:trPr>
          <w:trHeight w:val="230"/>
        </w:trPr>
        <w:tc>
          <w:tcPr>
            <w:tcW w:w="5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20" w:type="dxa"/>
            <w:vAlign w:val="bottom"/>
            <w:gridSpan w:val="2"/>
          </w:tcPr>
          <w:p>
            <w:pPr>
              <w:jc w:val="right"/>
              <w:ind w:right="1230"/>
              <w:spacing w:after="0"/>
              <w:rPr>
                <w:sz w:val="20"/>
                <w:szCs w:val="20"/>
                <w:color w:val="auto"/>
              </w:rPr>
            </w:pPr>
            <w:r>
              <w:rPr>
                <w:rFonts w:ascii="Arial" w:cs="Arial" w:eastAsia="Arial" w:hAnsi="Arial"/>
                <w:sz w:val="18"/>
                <w:szCs w:val="18"/>
                <w:color w:val="auto"/>
                <w:w w:val="89"/>
              </w:rPr>
              <w:t>(amounts in thousands)</w:t>
            </w:r>
          </w:p>
        </w:tc>
        <w:tc>
          <w:tcPr>
            <w:tcW w:w="520" w:type="dxa"/>
            <w:vAlign w:val="bottom"/>
          </w:tcPr>
          <w:p>
            <w:pPr>
              <w:spacing w:after="0"/>
              <w:rPr>
                <w:sz w:val="20"/>
                <w:szCs w:val="20"/>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2,306</w:t>
            </w:r>
          </w:p>
        </w:tc>
        <w:tc>
          <w:tcPr>
            <w:tcW w:w="220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3,254</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1840" w:type="dxa"/>
            <w:vAlign w:val="bottom"/>
          </w:tcPr>
          <w:p>
            <w:pPr>
              <w:jc w:val="right"/>
              <w:ind w:right="16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3,292</w:t>
            </w:r>
          </w:p>
        </w:tc>
        <w:tc>
          <w:tcPr>
            <w:tcW w:w="220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4,132</w:t>
            </w: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18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3,150</w:t>
            </w:r>
          </w:p>
        </w:tc>
        <w:tc>
          <w:tcPr>
            <w:tcW w:w="2200" w:type="dxa"/>
            <w:vAlign w:val="bottom"/>
            <w:shd w:val="clear" w:color="auto" w:fill="CCEEFF"/>
          </w:tcPr>
          <w:p>
            <w:pPr>
              <w:jc w:val="right"/>
              <w:ind w:right="1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4,880</w:t>
            </w:r>
          </w:p>
        </w:tc>
      </w:tr>
    </w:tbl>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June 30, 2023</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2022</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980" w:type="dxa"/>
            <w:vAlign w:val="bottom"/>
            <w:shd w:val="clear" w:color="auto" w:fill="CCEEFF"/>
          </w:tcPr>
          <w:p>
            <w:pPr>
              <w:spacing w:after="0"/>
              <w:rPr>
                <w:sz w:val="19"/>
                <w:szCs w:val="19"/>
                <w:color w:val="auto"/>
              </w:rPr>
            </w:pP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 years</w:t>
            </w:r>
          </w:p>
        </w:tc>
        <w:tc>
          <w:tcPr>
            <w:tcW w:w="22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30"/>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60" w:type="dxa"/>
            <w:vAlign w:val="bottom"/>
          </w:tcPr>
          <w:p>
            <w:pPr>
              <w:ind w:left="140"/>
              <w:spacing w:after="0"/>
              <w:rPr>
                <w:sz w:val="20"/>
                <w:szCs w:val="20"/>
                <w:color w:val="auto"/>
              </w:rPr>
            </w:pPr>
            <w:r>
              <w:rPr>
                <w:rFonts w:ascii="Arial" w:cs="Arial" w:eastAsia="Arial" w:hAnsi="Arial"/>
                <w:sz w:val="18"/>
                <w:szCs w:val="18"/>
                <w:color w:val="auto"/>
                <w:w w:val="89"/>
              </w:rPr>
              <w:t>6.35 %</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6.31 %</w:t>
            </w:r>
          </w:p>
        </w:tc>
      </w:tr>
    </w:tbl>
    <w:p>
      <w:pPr>
        <w:spacing w:after="0" w:line="3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June 30,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4"/>
          </w:tcPr>
          <w:p>
            <w:pPr>
              <w:jc w:val="right"/>
              <w:ind w:right="520"/>
              <w:spacing w:after="0"/>
              <w:rPr>
                <w:sz w:val="20"/>
                <w:szCs w:val="20"/>
                <w:color w:val="auto"/>
              </w:rPr>
            </w:pPr>
            <w:r>
              <w:rPr>
                <w:rFonts w:ascii="Arial" w:cs="Arial" w:eastAsia="Arial" w:hAnsi="Arial"/>
                <w:sz w:val="18"/>
                <w:szCs w:val="18"/>
                <w:color w:val="auto"/>
              </w:rPr>
              <w:t>(amounts in thousands)</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8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tcPr>
          <w:p>
            <w:pPr>
              <w:ind w:left="220"/>
              <w:spacing w:after="0"/>
              <w:rPr>
                <w:sz w:val="20"/>
                <w:szCs w:val="20"/>
                <w:color w:val="auto"/>
              </w:rPr>
            </w:pPr>
            <w:r>
              <w:rPr>
                <w:rFonts w:ascii="Arial" w:cs="Arial" w:eastAsia="Arial" w:hAnsi="Arial"/>
                <w:sz w:val="18"/>
                <w:szCs w:val="18"/>
                <w:color w:val="auto"/>
              </w:rPr>
              <w:t>2025</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Arial" w:cs="Arial" w:eastAsia="Arial" w:hAnsi="Arial"/>
                <w:sz w:val="18"/>
                <w:szCs w:val="18"/>
                <w:color w:val="auto"/>
              </w:rPr>
              <w:t>2027</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1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2,434</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72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0"/>
              </w:rPr>
              <w:t>Amounts Included in Condensed Consolidated Statements of Operations and Comprehensive</w:t>
            </w: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412</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738</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275</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507"/>
        </w:trPr>
        <w:tc>
          <w:tcPr>
            <w:tcW w:w="7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(amounts in thousands)</w:t>
            </w: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2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b w:val="1"/>
                <w:bCs w:val="1"/>
                <w:color w:val="auto"/>
                <w:w w:val="90"/>
              </w:rPr>
              <w:t>Amounts Included in Condensed Consolidated Statements of Operations and Comprehensive</w:t>
            </w: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expense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904</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1,818</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Variable and other lease costs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273</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(benefits) in the condensed consolidated statements of operations and comprehensive income, depending on the nature of the leased asset. Operating lease expense is reported net of sublease income, which is not material. Variable and other lease costs for the three and six months ended June 30,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included a benefit associated with the early termination of one of the Company's leases for corporate offices which was previously restructured.</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2023, the Company did not have any material operating leases that had not yet commenced. The Company does not have any finance lease contracts related to other equipment rentals which are not included in the above disclosures.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primarily its: (i) deferred compensation asset included in other non-current assets; and (ii) deferred compensation liability included in other non-current liabilities on its condensed consolidated balance sheets.</w:t>
      </w:r>
    </w:p>
    <w:p>
      <w:pPr>
        <w:spacing w:after="0" w:line="15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Fair Value Measurements</w:t>
      </w:r>
    </w:p>
    <w:p>
      <w:pPr>
        <w:spacing w:after="0" w:line="50" w:lineRule="exact"/>
        <w:rPr>
          <w:sz w:val="20"/>
          <w:szCs w:val="20"/>
          <w:color w:val="auto"/>
        </w:rPr>
      </w:pPr>
    </w:p>
    <w:p>
      <w:pPr>
        <w:ind w:left="7200"/>
        <w:spacing w:after="0"/>
        <w:tabs>
          <w:tab w:leader="none" w:pos="9380" w:val="left"/>
        </w:tabs>
        <w:rPr>
          <w:sz w:val="20"/>
          <w:szCs w:val="20"/>
          <w:color w:val="auto"/>
        </w:rPr>
      </w:pPr>
      <w:r>
        <w:rPr>
          <w:rFonts w:ascii="Arial" w:cs="Arial" w:eastAsia="Arial" w:hAnsi="Arial"/>
          <w:sz w:val="18"/>
          <w:szCs w:val="18"/>
          <w:b w:val="1"/>
          <w:bCs w:val="1"/>
          <w:color w:val="auto"/>
        </w:rPr>
        <w:t>June 30, 2023</w:t>
      </w:r>
      <w:r>
        <w:rPr>
          <w:sz w:val="20"/>
          <w:szCs w:val="20"/>
          <w:color w:val="auto"/>
        </w:rPr>
        <w:tab/>
      </w:r>
      <w:r>
        <w:rPr>
          <w:rFonts w:ascii="Arial" w:cs="Arial" w:eastAsia="Arial" w:hAnsi="Arial"/>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14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2" w:lineRule="exact"/>
        <w:rPr>
          <w:sz w:val="20"/>
          <w:szCs w:val="20"/>
          <w:color w:val="auto"/>
        </w:rPr>
      </w:pPr>
    </w:p>
    <w:p>
      <w:pPr>
        <w:ind w:left="240"/>
        <w:spacing w:after="0"/>
        <w:tabs>
          <w:tab w:leader="none" w:pos="6640" w:val="left"/>
          <w:tab w:leader="none" w:pos="8320" w:val="left"/>
          <w:tab w:leader="none" w:pos="9020" w:val="left"/>
          <w:tab w:leader="none" w:pos="107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-121920</wp:posOffset>
            </wp:positionV>
            <wp:extent cx="29146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2" w:lineRule="exact"/>
        <w:rPr>
          <w:sz w:val="20"/>
          <w:szCs w:val="20"/>
          <w:color w:val="auto"/>
        </w:rPr>
      </w:pPr>
    </w:p>
    <w:p>
      <w:pPr>
        <w:ind w:left="240"/>
        <w:spacing w:after="0"/>
        <w:tabs>
          <w:tab w:leader="none" w:pos="6640" w:val="left"/>
          <w:tab w:leader="none" w:pos="8320" w:val="left"/>
          <w:tab w:leader="none" w:pos="9020" w:val="left"/>
          <w:tab w:leader="none" w:pos="1072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1465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1465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three months ended June 30, 2023 included the write-off of an abandoned IT project, resulting in a $0.5 million impairment charge. The six months ended June 30, 2022 included impairment charges to right-of-use assets along with related property and equipment in connection with leases that were vacated. Accordingly, as of June 30, 2022, these assets were recorded at fair value using Level 3 inputs. See Note 9 - Leases for more information about these fair value measurements.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3" w:name="page24"/>
    <w:bookmarkEnd w:id="23"/>
    <w:p>
      <w:pPr>
        <w:ind w:right="460"/>
        <w:spacing w:after="0" w:line="261" w:lineRule="auto"/>
        <w:rPr>
          <w:sz w:val="20"/>
          <w:szCs w:val="20"/>
          <w:color w:val="auto"/>
        </w:rPr>
      </w:pPr>
      <w:r>
        <w:rPr>
          <w:rFonts w:ascii="Arial" w:cs="Arial" w:eastAsia="Arial" w:hAnsi="Arial"/>
          <w:sz w:val="18"/>
          <w:szCs w:val="18"/>
          <w:color w:val="auto"/>
        </w:rPr>
        <w:t>instruments. Other financial instruments not measured or recorded at fair value include: (i) ABL, (ii) term loan, and (iii) through (v) earnout liabilities related to the WSG, Mint, and HireUp acquisitions, as discussed below.</w:t>
      </w:r>
    </w:p>
    <w:p>
      <w:pPr>
        <w:spacing w:after="0" w:line="211" w:lineRule="exact"/>
        <w:rPr>
          <w:sz w:val="20"/>
          <w:szCs w:val="20"/>
          <w:color w:val="auto"/>
        </w:rPr>
      </w:pPr>
    </w:p>
    <w:p>
      <w:pPr>
        <w:ind w:right="80" w:firstLine="8"/>
        <w:spacing w:after="0" w:line="256" w:lineRule="auto"/>
        <w:tabs>
          <w:tab w:leader="none" w:pos="21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carrying amount of the Company's ABL approximates fair value because the interest rates are variable and reflective of market rates. (ii) On June 30, 2023, the Company repaid all outstanding obligations of $73.9 million under the term loan, and terminated the Term Loan Agreement. See Note 8 - Debt. Prior to termination, the estimated fair value of the Company's term loan was calculated applying an interest rate lattice model using Level 2 inputs from available market information. (iii) Potential earnout payments related to the WSG acquisition are contingent upon meeting certain performance requirements based on 2021 through 2023 performance. The Company performed an analysis using multiple forecast scenarios to determine the fair value of the earnout liability. In the third quarter of 2022, the Company determined that the contingent consideration earnout related to the WSG acquisition was achieved for the 2021 through 2022 period and, as a result, the Company made a $7.5 million earnout payment. The remaining $7.5 million earnout liability's carrying amount approximates fair value and is included in the current portion of earnout liability on the condensed consolidated balance sheets. See Note 4 - Acquisitions. (iv) Potential earnout payments related to the Mint acquisition are contingent upon meeting certain performance requirements based on 2022 through 2024 performance. The Company performed an analysis using multiple forecast scenarios to determine the fair value of the earnout liability. The earnout liability's carrying amount approximates fair value and the short-term portion of the liability of $5.0 million is included in the current portion of earnout liability and the long-term portion of the liability of $5.0 million is included in non-current earnout liability on the condensed consolidated balance sheets. See Note 4 - Acquisitions. (v) Potential earnout payments related to the HireUp acquisition are contingent upon meeting certain performance requirements based on 2022 through 2024 performance. In the second quarter of 2023, the Company performed an analysis using multiple updated forecast scenarios and determined that the earnout would only be partially achieved. As a result, the Company recognized a decrease in the fair value of the related liabilities. The short-term portion of the liability of $3.3 million is included in the current portion of earnout liability and the long-term portion of the liability of $0.2 million is included in non-current earnout liability on the condensed consolidated balance sheets. See Note 4 -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 2023</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2022</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591"/>
              <w:spacing w:after="0" w:line="169"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Fair</w:t>
            </w:r>
          </w:p>
        </w:tc>
      </w:tr>
      <w:tr>
        <w:trPr>
          <w:trHeight w:val="239"/>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7"/>
              </w:rPr>
              <w:t>Value</w:t>
            </w:r>
          </w:p>
        </w:tc>
      </w:tr>
      <w:tr>
        <w:trPr>
          <w:trHeight w:val="211"/>
        </w:trPr>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00" w:type="dxa"/>
            <w:vAlign w:val="bottom"/>
            <w:gridSpan w:val="4"/>
          </w:tcPr>
          <w:p>
            <w:pPr>
              <w:jc w:val="right"/>
              <w:ind w:right="970"/>
              <w:spacing w:after="0"/>
              <w:rPr>
                <w:sz w:val="20"/>
                <w:szCs w:val="20"/>
                <w:color w:val="auto"/>
              </w:rPr>
            </w:pPr>
            <w:r>
              <w:rPr>
                <w:rFonts w:ascii="Arial" w:cs="Arial" w:eastAsia="Arial" w:hAnsi="Arial"/>
                <w:sz w:val="16"/>
                <w:szCs w:val="16"/>
                <w:color w:val="auto"/>
              </w:rPr>
              <w:t>(amounts in thousands)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Secured Asset-Based Loan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w:t>
            </w: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Term Loan,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73,875</w:t>
            </w: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71,221</w:t>
            </w: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Earnout Liability (WSG)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7"/>
        </w:trPr>
        <w:tc>
          <w:tcPr>
            <w:tcW w:w="3820" w:type="dxa"/>
            <w:vAlign w:val="bottom"/>
          </w:tcPr>
          <w:p>
            <w:pPr>
              <w:ind w:left="220"/>
              <w:spacing w:after="0"/>
              <w:rPr>
                <w:sz w:val="20"/>
                <w:szCs w:val="20"/>
                <w:color w:val="auto"/>
              </w:rPr>
            </w:pPr>
            <w:r>
              <w:rPr>
                <w:rFonts w:ascii="Arial" w:cs="Arial" w:eastAsia="Arial" w:hAnsi="Arial"/>
                <w:sz w:val="18"/>
                <w:szCs w:val="18"/>
                <w:color w:val="auto"/>
              </w:rPr>
              <w:t>Earnout Liability (Mint)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Earnout Liability (HireUp)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80" w:lineRule="exact"/>
        <w:rPr>
          <w:sz w:val="20"/>
          <w:szCs w:val="20"/>
          <w:color w:val="auto"/>
        </w:rPr>
      </w:pPr>
    </w:p>
    <w:p>
      <w:pPr>
        <w:ind w:right="8520" w:firstLine="8"/>
        <w:spacing w:after="0" w:line="518" w:lineRule="auto"/>
        <w:tabs>
          <w:tab w:leader="none" w:pos="39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August 16, 2022, the Company's Board of Directors authorized a new stock repurchase program (the New Repurchase Program), whereby the Company may repurchase up to $100.0 million of its shares of common stock, subject to the terms of its current credit agreements. The shares may be repurchased from time-to-time in the open market or in privately negotiated transactions. The New Repurchase Program was effective immediately and may be discontinued at any time at the Board of Directors' discretion. In addition to the repurchase of $100.0 million of its shares of common stock under the New Repurchase Program, the Company was authorized to continue to repurchase any remaining shares available for repurchase under the Company's previous stock repurchase program, which was approved by the Board of Directors on February 28, 2008 (the Prior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40"/>
        <w:spacing w:after="0" w:line="263" w:lineRule="auto"/>
        <w:rPr>
          <w:sz w:val="20"/>
          <w:szCs w:val="20"/>
          <w:color w:val="auto"/>
        </w:rPr>
      </w:pPr>
      <w:r>
        <w:rPr>
          <w:rFonts w:ascii="Arial" w:cs="Arial" w:eastAsia="Arial" w:hAnsi="Arial"/>
          <w:sz w:val="18"/>
          <w:szCs w:val="18"/>
          <w:color w:val="auto"/>
        </w:rPr>
        <w:t>Repurchase Program). Upon completion of the authorized number of shares available for repurchase under the Prior Repurchase Program, the Company commenced repurchases under the New Repurchase Program during the third quarter of 2022. During the fourth quarter of 2022, the Company entered into a Rule 10b5-1 Repurchase Plan to allow for share repurchases during the Company's blackout periods.</w:t>
      </w:r>
    </w:p>
    <w:p>
      <w:pPr>
        <w:spacing w:after="0" w:line="2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May 1, 2023, the Company’s Board of Directors authorized approximately $59.0 million in additional share repurchases, such that, effective for trades made after May 3, 2023, the aggregate amount available for stock repurchases under the New Repurchase Program was $100.0 million. The shares can be repurchased from time-to-time in the open market or in privately negotiated transactions. Decisions regarding the amount and the timing of repurchases under the New Repurchase Program will be subject to the Company’s available liquidity and cash on hand, applicable legal requirements, the terms of the Company’s Loan Agreement and Term Loan Agreement, general market conditions, and other factors. The New Repurchase Program does not obligate the Company to repurchase any particular number of shares of common stock and may be discontinued by the Board of Directors at any time.</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June 30, 2023, the Company repurchased and retired a total of 198,463 shares of common stock for $4.7 million, at an average price of $23.78 per share. During the six months ended June 30, 2023, the Company repurchased and retired a total of 1,421,867 shares of common stock for $36.5 million, at an average price of $25.64 per share. During the three and six months ended June 30, 2022, the Company did not repurchase any shares of its common stock.</w:t>
      </w:r>
    </w:p>
    <w:p>
      <w:pPr>
        <w:spacing w:after="0" w:line="21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As of June 30, 2023, the Company had $98.4 million remaining for share repurchase under the New Repurchase Program, subject to certain conditions in the Company's Loan Agreement. At June 30, 2023, the Company had 35,305,025 unrestricted shares of common stock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19, 2020, the Company's stockholders approved the Cross Country Healthcare, Inc. 2020 Omnibus Incentive Plan (2020 Plan), which replaced the Cross Country Healthcare, Inc.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(Plans) for the six months ended June 30,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Restricted Stock Awards</w:t>
            </w: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78"/>
        </w:trPr>
        <w:tc>
          <w:tcPr>
            <w:tcW w:w="4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7"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30"/>
              <w:spacing w:after="0" w:line="177"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5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39"/>
        </w:trPr>
        <w:tc>
          <w:tcPr>
            <w:tcW w:w="48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314,503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22.80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200,487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(402,419)</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(238,253)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(21,405)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20.93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(4,785)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June 30, 2023</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565,187</w:t>
            </w:r>
          </w:p>
        </w:tc>
        <w:tc>
          <w:tcPr>
            <w:tcW w:w="34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433,535</w:t>
            </w:r>
          </w:p>
        </w:tc>
        <w:tc>
          <w:tcPr>
            <w:tcW w:w="32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5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Awards granted to non-employee directors under the 2020 Plan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20"/>
        <w:spacing w:after="0" w:line="311" w:lineRule="auto"/>
        <w:rPr>
          <w:sz w:val="20"/>
          <w:szCs w:val="20"/>
          <w:color w:val="auto"/>
        </w:rPr>
      </w:pPr>
      <w:r>
        <w:rPr>
          <w:rFonts w:ascii="Arial" w:cs="Arial" w:eastAsia="Arial" w:hAnsi="Arial"/>
          <w:sz w:val="16"/>
          <w:szCs w:val="16"/>
          <w:color w:val="auto"/>
        </w:rPr>
        <w:t>Pursuant to the Plans, the number of target shares that are issued for performance-based stock awards are determined based on the level of attainment of the targets. During the first quarter of 2023, the Company's Compensation Committee of the Board of Directors approved a 120% level of attainment for the 2020 performance-based share awards, resulting in the issuance of 238,253 performance shares that vested on March 31, 2023.</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and six months ended June 30, 2023, $2.2 million and $4.0 million, respectively, was included in selling, general and administrative expenses related to share-based payments, and a net of 49,582 and 424,274 shares, respectively, of common stock were issued upon the vesting of restricted and performance stock.</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and six months ended June 30, 2022, $2.1 million and $3.7 million, respectively, was included in selling, general and administrative expenses related to share-based payments, and a net of 80,200 and 499,700 shares, respectively, of common stock were issued upon the vesting of restricted and performance stock.</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segments offer services to its customers as described below:</w:t>
      </w:r>
    </w:p>
    <w:p>
      <w:pPr>
        <w:spacing w:after="0" w:line="252" w:lineRule="exact"/>
        <w:rPr>
          <w:sz w:val="20"/>
          <w:szCs w:val="20"/>
          <w:color w:val="auto"/>
        </w:rPr>
      </w:pPr>
    </w:p>
    <w:p>
      <w:pPr>
        <w:ind w:left="660" w:hanging="328"/>
        <w:spacing w:after="0" w:line="272" w:lineRule="auto"/>
        <w:tabs>
          <w:tab w:leader="none" w:pos="62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provides traditional staffing, recruiting, and value-added total talent solutions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and permanent placement of travel and local nurse and allied professionals, and healthcare leaders within nursing, allied, physician, human resources, and finance, MSP services, education healthcare services, in-home care services, and outsourcing services. In addition, Nurse and Allied Staffing provides retained search services for healthcare professionals, as well as contingent search and recruitment process outsourcing services. Its customers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204" w:lineRule="exact"/>
        <w:rPr>
          <w:rFonts w:ascii="Arial" w:cs="Arial" w:eastAsia="Arial" w:hAnsi="Arial"/>
          <w:sz w:val="17"/>
          <w:szCs w:val="17"/>
          <w:color w:val="auto"/>
        </w:rPr>
      </w:pPr>
    </w:p>
    <w:p>
      <w:pPr>
        <w:ind w:left="660" w:right="340" w:hanging="328"/>
        <w:spacing w:after="0" w:line="311" w:lineRule="auto"/>
        <w:tabs>
          <w:tab w:leader="none" w:pos="62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gridSpan w:val="4"/>
          </w:tcPr>
          <w:p>
            <w:pPr>
              <w:jc w:val="right"/>
              <w:ind w:right="77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30"/>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2023</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0"/>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color w:val="auto"/>
              </w:rPr>
              <w:t>(amounts in thousands)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495,376</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731,443</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1,077,678</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1,497,023</w:t>
            </w:r>
          </w:p>
        </w:tc>
      </w:tr>
      <w:tr>
        <w:trPr>
          <w:trHeight w:val="243"/>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26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45,270</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540,695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753,561</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1,163,402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1,542,293</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56,481</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97,567</w:t>
            </w:r>
          </w:p>
        </w:tc>
        <w:tc>
          <w:tcPr>
            <w:tcW w:w="8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123,650</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207,668</w:t>
            </w:r>
          </w:p>
        </w:tc>
      </w:tr>
      <w:tr>
        <w:trPr>
          <w:trHeight w:val="243"/>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98,787</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210,653</w:t>
            </w:r>
          </w:p>
        </w:tc>
      </w:tr>
      <w:tr>
        <w:trPr>
          <w:trHeight w:val="257"/>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 overhead</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43"/>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(benefits)</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Legal settlement charges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43"/>
        </w:trPr>
        <w:tc>
          <w:tcPr>
            <w:tcW w:w="424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8"/>
                <w:szCs w:val="18"/>
                <w:color w:val="auto"/>
              </w:rPr>
              <w:t>Other costs</w:t>
            </w:r>
            <w:r>
              <w:rPr>
                <w:rFonts w:ascii="Arial" w:cs="Arial" w:eastAsia="Arial" w:hAnsi="Arial"/>
                <w:sz w:val="23"/>
                <w:szCs w:val="23"/>
                <w:color w:val="auto"/>
                <w:vertAlign w:val="superscript"/>
              </w:rPr>
              <w:t>(b)</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78,837</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169,469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80" w:firstLine="8"/>
        <w:spacing w:after="0" w:line="250"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costs include acquisition and integration-related (benefits) costs.</w:t>
      </w:r>
    </w:p>
    <w:p>
      <w:pPr>
        <w:spacing w:after="0" w:line="234"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June 30, 2023 will not have a material adverse effect on its business, financial condition,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income and the liability is reflected in sales tax payable within other current liabilities in its condensed consolidated balance sheets.</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For the three and six months ended June 30, 2023 and 2022, the Company calculated the provision for income taxes by applying an annual effective tax rate to ordinary income for the interim reporting period. The Company’s effective tax rate was 29.6% and 27.9%, including the impact of discrete items, and 30.0%, excluding discrete items, for the three and six months ended June 30, 2023, respectively. The Company’s effective tax rate was 28.7% and 28.8%, including the impact of discrete items, and 28.9% and 29.5%, excluding discrete items, for the three and six months ended June 30, 2022, respectively. The effective tax rates for the three and six months ended June 30, 2023 and 2022 were primarily impacted by federal and state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2022 remain open to examination by certain taxing jurisdictions to which the Company is subject to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8" w:name="page29"/>
    <w:bookmarkEnd w:id="28"/>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 has entered into an arrangement for digital marketing services provided by a firm that is related to Mr. Kevin C.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six months ended June 30, 2023 and 2022, the Company incurred an immaterial amount in expenses. The Company had immaterial payable balances at June 30, 2023 and December 31, 2022.</w:t>
      </w:r>
    </w:p>
    <w:p>
      <w:pPr>
        <w:spacing w:after="0" w:line="19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$0.4 million and $0.6 million for the three and six months ended June 30, 2023, respectively, and $0.5 million and $0.9 million for the three and six months ended June 30, 2022, respectively. Accounts receivable due from these entities was an immaterial amount at June 30, 2023 and December 31, 2022.</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Following the WSG acquisition on June 8, 2021, the Company continued to rent WSG's headquarters. The Chief Executive Officer and Founder of WSG, who is currently a business unit president with the Company, is an agent of the lessor. The lease for WSG's headquarters was terminated at the end of the first quarter of 2023. Accordingly, the Company paid no rent expense for these premises for the three months ended June 30, 2023 and had no payable balance at June 30, 2023.</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2022 (2022 Form 10-K) (including Part I, Item 1A. "Risk Factors"), our financial statements and the accompanying notes to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and Mint.</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workforce solutions include managed service programs (MSPs), recruitment process outsourcing (RPO), project management, and other outsourcing and consultative services as described in Item 1. “Business” in our 2022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two reportable segments offer services to its customers as described below:</w:t>
      </w:r>
    </w:p>
    <w:p>
      <w:pPr>
        <w:spacing w:after="0" w:line="252" w:lineRule="exact"/>
        <w:rPr>
          <w:sz w:val="20"/>
          <w:szCs w:val="20"/>
          <w:color w:val="auto"/>
        </w:rPr>
      </w:pPr>
    </w:p>
    <w:p>
      <w:pPr>
        <w:ind w:left="660" w:right="260" w:hanging="328"/>
        <w:spacing w:after="0" w:line="277" w:lineRule="auto"/>
        <w:tabs>
          <w:tab w:leader="none" w:pos="62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92% of total revenue in the second quarter of 2023. The Nurse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Allied Staffing segment provides workforce solutions and traditional staffing,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ind w:left="660" w:right="60"/>
        <w:spacing w:after="0" w:line="273" w:lineRule="auto"/>
        <w:rPr>
          <w:sz w:val="20"/>
          <w:szCs w:val="20"/>
          <w:color w:val="auto"/>
        </w:rPr>
      </w:pPr>
      <w:r>
        <w:rPr>
          <w:rFonts w:ascii="Arial" w:cs="Arial" w:eastAsia="Arial" w:hAnsi="Arial"/>
          <w:sz w:val="17"/>
          <w:szCs w:val="17"/>
          <w:color w:val="auto"/>
        </w:rPr>
        <w:t>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05" w:lineRule="exact"/>
        <w:rPr>
          <w:sz w:val="20"/>
          <w:szCs w:val="20"/>
          <w:color w:val="auto"/>
        </w:rPr>
      </w:pPr>
    </w:p>
    <w:p>
      <w:pPr>
        <w:ind w:left="660" w:right="160" w:hanging="328"/>
        <w:spacing w:after="0" w:line="263" w:lineRule="auto"/>
        <w:tabs>
          <w:tab w:leader="none" w:pos="62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8% of total revenue in the second quarter of 2023.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quarter ended June 30, 2023, revenue from services decreased 28% year-over-year to $540.7 million, due to anticipated volume and average bill rate declines in the Nurse and Allied Staffing segment, partially offset by volume increases in the Physician Staffing segment. In the Physician Staffing segment, the number of days filled increased across several specialties. Net income attributable to common stockholders in the second quarter of 2023 was $21.3 million, as compared to $52.9 million for the same period in the prior year.</w:t>
      </w:r>
    </w:p>
    <w:p>
      <w:pPr>
        <w:spacing w:after="0" w:line="21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the three months ended June 30, 2023, cash flow provided by operating activities was $119.2 million, with net repayments of $35.4 million on our senior secured asset-based credit facility (ABL), and a decrease in working capital stemming from a decrease in net receivables, partially offset by the timing of disbursements. As of June 30, 2023, we had $0.7 million of cash and cash equivalents. Borrowing base availability under the ABL was $289.2 million, with $31.0 million of borrowings drawn under the ABL, and $18.2 million of undrawn letters of credit outstanding, leaving $240.0 million of excess availability.</w:t>
      </w:r>
    </w:p>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June 30, 2023, we repaid all outstanding obligations of $73.9 million under the term loan. As a result, debt issuance costs of $1.7 million were written off in the second quarter of 2023.</w:t>
      </w:r>
    </w:p>
    <w:p>
      <w:pPr>
        <w:spacing w:after="0" w:line="19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remain committed to continued investments in our technology. We are on schedule with our transition of existing clients to Intellify, and are confident that Intellify and our other technology initiatives can open up new opportunities for us as a business-driven technology platform.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234"/>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770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Nurse and Allied Staffing</w:t>
            </w:r>
          </w:p>
        </w:tc>
        <w:tc>
          <w:tcPr>
            <w:tcW w:w="7700" w:type="dxa"/>
            <w:vAlign w:val="bottom"/>
          </w:tcPr>
          <w:p>
            <w:pPr>
              <w:ind w:left="1560"/>
              <w:spacing w:after="0" w:line="182" w:lineRule="exact"/>
              <w:rPr>
                <w:sz w:val="20"/>
                <w:szCs w:val="20"/>
                <w:color w:val="auto"/>
              </w:rPr>
            </w:pPr>
            <w:r>
              <w:rPr>
                <w:rFonts w:ascii="Arial" w:cs="Arial" w:eastAsia="Arial" w:hAnsi="Arial"/>
                <w:sz w:val="18"/>
                <w:szCs w:val="18"/>
                <w:color w:val="auto"/>
                <w:w w:val="91"/>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7700" w:type="dxa"/>
            <w:vAlign w:val="bottom"/>
          </w:tcPr>
          <w:p>
            <w:pPr>
              <w:ind w:left="1560"/>
              <w:spacing w:after="0"/>
              <w:rPr>
                <w:sz w:val="20"/>
                <w:szCs w:val="20"/>
                <w:color w:val="auto"/>
              </w:rPr>
            </w:pPr>
            <w:r>
              <w:rPr>
                <w:rFonts w:ascii="Arial" w:cs="Arial" w:eastAsia="Arial" w:hAnsi="Arial"/>
                <w:sz w:val="18"/>
                <w:szCs w:val="18"/>
                <w:color w:val="auto"/>
              </w:rPr>
              <w:t>on a full-time equivalent basis.</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7700" w:type="dxa"/>
            <w:vAlign w:val="bottom"/>
          </w:tcPr>
          <w:p>
            <w:pPr>
              <w:ind w:left="1560"/>
              <w:spacing w:after="0" w:line="176" w:lineRule="exact"/>
              <w:rPr>
                <w:sz w:val="20"/>
                <w:szCs w:val="20"/>
                <w:color w:val="auto"/>
              </w:rPr>
            </w:pPr>
            <w:r>
              <w:rPr>
                <w:rFonts w:ascii="Arial" w:cs="Arial" w:eastAsia="Arial" w:hAnsi="Arial"/>
                <w:sz w:val="18"/>
                <w:szCs w:val="18"/>
                <w:color w:val="auto"/>
                <w:w w:val="96"/>
              </w:rPr>
              <w:t>Average revenue per FTE per day is calculated by dividing the Nurse and Allied</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7700" w:type="dxa"/>
            <w:vAlign w:val="bottom"/>
          </w:tcPr>
          <w:p>
            <w:pPr>
              <w:ind w:left="1560"/>
              <w:spacing w:after="0" w:line="189" w:lineRule="exact"/>
              <w:rPr>
                <w:sz w:val="20"/>
                <w:szCs w:val="20"/>
                <w:color w:val="auto"/>
              </w:rPr>
            </w:pPr>
            <w:r>
              <w:rPr>
                <w:rFonts w:ascii="Arial" w:cs="Arial" w:eastAsia="Arial" w:hAnsi="Arial"/>
                <w:sz w:val="18"/>
                <w:szCs w:val="18"/>
                <w:color w:val="auto"/>
                <w:w w:val="93"/>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700" w:type="dxa"/>
            <w:vAlign w:val="bottom"/>
          </w:tcPr>
          <w:p>
            <w:pPr>
              <w:ind w:left="1560"/>
              <w:spacing w:after="0"/>
              <w:rPr>
                <w:sz w:val="20"/>
                <w:szCs w:val="20"/>
                <w:color w:val="auto"/>
              </w:rPr>
            </w:pPr>
            <w:r>
              <w:rPr>
                <w:rFonts w:ascii="Arial" w:cs="Arial" w:eastAsia="Arial" w:hAnsi="Arial"/>
                <w:sz w:val="18"/>
                <w:szCs w:val="18"/>
                <w:color w:val="auto"/>
              </w:rPr>
              <w:t>worked in the respective periods.</w:t>
            </w:r>
          </w:p>
        </w:tc>
        <w:tc>
          <w:tcPr>
            <w:tcW w:w="0" w:type="dxa"/>
            <w:vAlign w:val="bottom"/>
          </w:tcPr>
          <w:p>
            <w:pPr>
              <w:spacing w:after="0"/>
              <w:rPr>
                <w:sz w:val="1"/>
                <w:szCs w:val="1"/>
                <w:color w:val="auto"/>
              </w:rPr>
            </w:pPr>
          </w:p>
        </w:tc>
      </w:tr>
      <w:tr>
        <w:trPr>
          <w:trHeight w:val="176"/>
        </w:trPr>
        <w:tc>
          <w:tcPr>
            <w:tcW w:w="3500" w:type="dxa"/>
            <w:vAlign w:val="bottom"/>
            <w:vMerge w:val="continue"/>
          </w:tcPr>
          <w:p>
            <w:pPr>
              <w:spacing w:after="0"/>
              <w:rPr>
                <w:sz w:val="15"/>
                <w:szCs w:val="15"/>
                <w:color w:val="auto"/>
              </w:rPr>
            </w:pPr>
          </w:p>
        </w:tc>
        <w:tc>
          <w:tcPr>
            <w:tcW w:w="7700" w:type="dxa"/>
            <w:vAlign w:val="bottom"/>
          </w:tcPr>
          <w:p>
            <w:pPr>
              <w:ind w:left="1560"/>
              <w:spacing w:after="0" w:line="176" w:lineRule="exact"/>
              <w:rPr>
                <w:sz w:val="20"/>
                <w:szCs w:val="20"/>
                <w:color w:val="auto"/>
              </w:rPr>
            </w:pPr>
            <w:r>
              <w:rPr>
                <w:rFonts w:ascii="Arial" w:cs="Arial" w:eastAsia="Arial" w:hAnsi="Arial"/>
                <w:sz w:val="18"/>
                <w:szCs w:val="18"/>
                <w:color w:val="auto"/>
                <w:w w:val="99"/>
              </w:rPr>
              <w:t>Days filled is calculated by dividing the total hours invoiced during the period,</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7700" w:type="dxa"/>
            <w:vAlign w:val="bottom"/>
          </w:tcPr>
          <w:p>
            <w:pPr>
              <w:ind w:left="1560"/>
              <w:spacing w:after="0"/>
              <w:rPr>
                <w:sz w:val="20"/>
                <w:szCs w:val="20"/>
                <w:color w:val="auto"/>
              </w:rPr>
            </w:pPr>
            <w:r>
              <w:rPr>
                <w:rFonts w:ascii="Arial" w:cs="Arial" w:eastAsia="Arial" w:hAnsi="Arial"/>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7700" w:type="dxa"/>
            <w:vAlign w:val="bottom"/>
          </w:tcPr>
          <w:p>
            <w:pPr>
              <w:ind w:left="1560"/>
              <w:spacing w:after="0" w:line="189" w:lineRule="exact"/>
              <w:rPr>
                <w:sz w:val="20"/>
                <w:szCs w:val="20"/>
                <w:color w:val="auto"/>
              </w:rPr>
            </w:pPr>
            <w:r>
              <w:rPr>
                <w:rFonts w:ascii="Arial" w:cs="Arial" w:eastAsia="Arial" w:hAnsi="Arial"/>
                <w:sz w:val="18"/>
                <w:szCs w:val="18"/>
                <w:color w:val="auto"/>
                <w:w w:val="94"/>
              </w:rPr>
              <w:t>Revenue per day filled is calculated by dividing revenue as reported by days filled</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7700" w:type="dxa"/>
            <w:vAlign w:val="bottom"/>
          </w:tcPr>
          <w:p>
            <w:pPr>
              <w:ind w:left="1560"/>
              <w:spacing w:after="0"/>
              <w:rPr>
                <w:sz w:val="20"/>
                <w:szCs w:val="20"/>
                <w:color w:val="auto"/>
              </w:rPr>
            </w:pPr>
            <w:r>
              <w:rPr>
                <w:rFonts w:ascii="Arial" w:cs="Arial" w:eastAsia="Arial" w:hAnsi="Arial"/>
                <w:sz w:val="18"/>
                <w:szCs w:val="18"/>
                <w:color w:val="auto"/>
              </w:rPr>
              <w:t>for the period presented.</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following table summarizes, for the periods indicated, selected condensed consolidated statements of operations and comprehensive income data expressed as a percentage of revenue. Our historical results of operations are not necessarily indicative of future operating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60" w:type="dxa"/>
            <w:vAlign w:val="bottom"/>
          </w:tcPr>
          <w:p>
            <w:pPr>
              <w:spacing w:after="0"/>
              <w:rPr>
                <w:sz w:val="19"/>
                <w:szCs w:val="19"/>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9"/>
                <w:szCs w:val="19"/>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76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r>
      <w:tr>
        <w:trPr>
          <w:trHeight w:val="229"/>
        </w:trPr>
        <w:tc>
          <w:tcPr>
            <w:tcW w:w="57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76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77.4</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77.6</w:t>
            </w:r>
          </w:p>
        </w:tc>
      </w:tr>
      <w:tr>
        <w:trPr>
          <w:trHeight w:val="23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43"/>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Restructuring costs (benefits)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charges</w:t>
            </w:r>
          </w:p>
        </w:tc>
        <w:tc>
          <w:tcPr>
            <w:tcW w:w="17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43"/>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576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0"/>
        </w:trPr>
        <w:tc>
          <w:tcPr>
            <w:tcW w:w="8480" w:type="dxa"/>
            <w:vAlign w:val="bottom"/>
            <w:gridSpan w:val="6"/>
          </w:tcPr>
          <w:p>
            <w:pPr>
              <w:spacing w:after="0"/>
              <w:rPr>
                <w:sz w:val="20"/>
                <w:szCs w:val="20"/>
                <w:color w:val="auto"/>
              </w:rPr>
            </w:pPr>
            <w:r>
              <w:rPr>
                <w:rFonts w:ascii="Arial" w:cs="Arial" w:eastAsia="Arial" w:hAnsi="Arial"/>
                <w:sz w:val="17"/>
                <w:szCs w:val="17"/>
                <w:b w:val="1"/>
                <w:bCs w:val="1"/>
                <w:color w:val="auto"/>
                <w:w w:val="95"/>
              </w:rPr>
              <w:t>Comparison of Results for the Three Months Ended June 30, 2023 and the Three Months Ended June 30, 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8"/>
        </w:trPr>
        <w:tc>
          <w:tcPr>
            <w:tcW w:w="59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176"/>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Increase</w:t>
            </w:r>
          </w:p>
        </w:tc>
      </w:tr>
      <w:tr>
        <w:trPr>
          <w:trHeight w:val="225"/>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41"/>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rPr>
              <w:t>%</w:t>
            </w:r>
          </w:p>
        </w:tc>
      </w:tr>
      <w:tr>
        <w:trPr>
          <w:trHeight w:val="213"/>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right"/>
              <w:ind w:right="310"/>
              <w:spacing w:after="0"/>
              <w:rPr>
                <w:sz w:val="20"/>
                <w:szCs w:val="20"/>
                <w:color w:val="auto"/>
              </w:rPr>
            </w:pPr>
            <w:r>
              <w:rPr>
                <w:rFonts w:ascii="Arial" w:cs="Arial" w:eastAsia="Arial" w:hAnsi="Arial"/>
                <w:sz w:val="16"/>
                <w:szCs w:val="16"/>
                <w:color w:val="auto"/>
              </w:rPr>
              <w:t>(Amounts in thousands)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583,156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(165,600)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Restructuring costs (benefits)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182.0 %</w:t>
            </w:r>
          </w:p>
        </w:tc>
      </w:tr>
      <w:tr>
        <w:trPr>
          <w:trHeight w:val="243"/>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35,189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78,837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(43,648)</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598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36"/>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101.0 %</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(59.1)%</w:t>
            </w:r>
          </w:p>
        </w:tc>
      </w:tr>
      <w:tr>
        <w:trPr>
          <w:trHeight w:val="22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52,894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(31,549)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(59.6)%</w:t>
            </w:r>
          </w:p>
        </w:tc>
      </w:tr>
      <w:tr>
        <w:trPr>
          <w:trHeight w:val="21"/>
        </w:trPr>
        <w:tc>
          <w:tcPr>
            <w:tcW w:w="5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Revenue from services decreased 28.2% to $540.7 million for the three months ended June 30, 2023, as compared to $753.6 million for the three months ended June 30, 2022, due to a volume decline in the Nurse and Allied Staffing segment and travel bill rates that continued to normalize throughout the quarter, partially offset by volume increases in the Physician Staffing segment. See further discussion in Segment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Direct operating expenses were comprised primarily of field employee compensation and independent contractor expenses, housing expenses, travel expenses, and related insurance expenses. Direct operating expenses decreased $165.6 million, or 28.4%, to $417.6 million for the three months ended June 30, 2023, as compared to $583.2 million for the three months ended June 30, 2022, as a result of revenue decreases. As a percentage of total revenue, direct operating expenses slightly decreased to 77.2% as compared to 77.4%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Selling, general and administrative expenses decreased 8.2% to $78.9 million for the three months ended June 30, 2023, as compared to $86.0 million for the three months ended June 30, 2022, primarily due to decreases in compensation and benefit expense, as well as marketing and computer subscription fees. As a percentage of total revenue, selling, general and administrative expenses increased to 14.6% for the three months ended June 30, 2023, as compared to 11.4% for the three months ended June 30,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Bad debt expense for the three months ended June 30, 2023 was $3.1 million, as compared to $3.2 million for the three months ended June 30, 2022. As a percentage of revenue, bad debt expense was 0.6% for the three months ended June 30, 2023, as compared to 0.4% for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Depreciation and amortization expense for the three months ended June 30, 2023 was $4.4 million, as compared to $3.5 million for the three months ended June 30, 2022. The increase was primarily due to the additional amortization of other intangible assets from the Mint and HireUp acquisitions. See Note 7 - Goodwill, Trade Names, and Other Intangible Assets to our condensed consolidated financial statements. As a percentage of revenue, depreciation and amortization expense was 0.8% for the three months ended June 30, 2023 and 0.5% for the three months ended June 30,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 (benefits)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Restructuring costs for the three months ended June 30, 2023 were primarily comprised of employee termination costs. There was a restructuring benefit of $1.1 million for the three months ended June 30, 2022, associated with the early termination of one of the Company's leases for corporate offices which was previously restructured, partially offset by employee termination costs. See Note 2 - Summary of Significant Accounting Policies to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Non-cash impairment charges totaled $0.5 million for the three months ended June 30, 2023 and related to the write-off of an abandoned IT project. There were no such charges for the three months ended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was $3.1 million for the three months ended June 30, 2023, as compared to $3.9 million for the three months ended June 30, 2022, due to lower average borrowings, partially offset by a higher effective interest rate. The effective interest rate on our borrowings was 11.0% and 6.8% for the three months ended June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Loss on early extinguishment of debt for the three months ended June 30, 2023 consisted of the write-off of debt issuance costs related to the repayment and termination of our term loan in the second quarter of 2023. Loss on early extinguishment of debt for the three months ended June 30, 2022 consisted of a prepayment premium and the write-off of debt issuance costs related to the optional prepayment on our term loan made in the second quarter of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months ended June 30, 2022, other income, net included a $1.1 million gain on lease termination as a result of the early termination of one of our corporate offices.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expense totaled $9.0 million for the three months ended June 30, 2023, as compared to $21.3 million for the three months ended June 30, 2022. The decrease in income tax expense was primarily related to a decrease in book income. The effective tax rates for the three months ended June 30, 2023 and 2022 were relatively unchanged and primarily impacted by federal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480" w:type="dxa"/>
            <w:vAlign w:val="bottom"/>
            <w:gridSpan w:val="6"/>
          </w:tcPr>
          <w:p>
            <w:pPr>
              <w:spacing w:after="0"/>
              <w:rPr>
                <w:sz w:val="20"/>
                <w:szCs w:val="20"/>
                <w:color w:val="auto"/>
              </w:rPr>
            </w:pPr>
            <w:r>
              <w:rPr>
                <w:rFonts w:ascii="Arial" w:cs="Arial" w:eastAsia="Arial" w:hAnsi="Arial"/>
                <w:sz w:val="17"/>
                <w:szCs w:val="17"/>
                <w:b w:val="1"/>
                <w:bCs w:val="1"/>
                <w:color w:val="auto"/>
              </w:rPr>
              <w:t>Comparison of Results for the Six Months Ended June 30, 2023 and the Six Months Ended June 30, 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00"/>
        </w:trPr>
        <w:tc>
          <w:tcPr>
            <w:tcW w:w="5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2"/>
              </w:rPr>
              <w:t>Six Months Ended June 30,</w:t>
            </w: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Increase</w:t>
            </w:r>
          </w:p>
        </w:tc>
      </w:tr>
      <w:tr>
        <w:trPr>
          <w:trHeight w:val="234"/>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4"/>
          </w:tcPr>
          <w:p>
            <w:pPr>
              <w:jc w:val="right"/>
              <w:ind w:right="330"/>
              <w:spacing w:after="0"/>
              <w:rPr>
                <w:sz w:val="20"/>
                <w:szCs w:val="20"/>
                <w:color w:val="auto"/>
              </w:rPr>
            </w:pPr>
            <w:r>
              <w:rPr>
                <w:rFonts w:ascii="Arial" w:cs="Arial" w:eastAsia="Arial" w:hAnsi="Arial"/>
                <w:sz w:val="16"/>
                <w:szCs w:val="16"/>
                <w:color w:val="auto"/>
              </w:rPr>
              <w:t>(Amounts in thousands)</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7"/>
        </w:trPr>
        <w:tc>
          <w:tcPr>
            <w:tcW w:w="598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900,840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(296,254)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3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44.6 %</w:t>
            </w:r>
          </w:p>
        </w:tc>
      </w:tr>
      <w:tr>
        <w:trPr>
          <w:trHeight w:val="243"/>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50.6 %</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Restructuring costs (benefits)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311.7 %</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charges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98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98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99.9 %</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(90,846)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5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1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Revenue from services decreased 24.6% to $1.2 billion for the six months ended June 30, 2023, as compared to $1.5 billion for the six months ended June 30, 2022, due to a volume decline in the Nurse and Allied Staffing segment and travel bill rates that continued to normalize throughout the second quarter, partially offset by volume and bill rate increases in the Physician Staffing segment. See further discussion in Segment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Direct operating expenses decreased $296.3 million, or 24.7%, to $900.8 million for the six months ended June 30, 2023, as compared to $1.2 billion for the six months ended June 30, 2022, as a result of revenue decreases. As a percentage of total revenue, direct operating expenses slightly decreased to 77.5%, as compared to 77.6% in the prior 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Selling, general and administrative expenses increased 0.2% to $163.2 million for the six months ended June 30, 2023, as compared to $162.9 million for the six months ended June 30, 2022. As a percentage of total revenue, selling, general and administrative expenses increased to 14.0% for the six months ended June 30, 2023, as compared to 10.5% for the six months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5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Bad debt expense for the six months ended June 30, 2023 was $8.0 million, as compared to $5.6 million for the six months ended June 30, 2022. As a percentage of revenue, bad debt expense was 0.7% for the six months ended June 30, 2023, as compared to 0.4% for the six months ended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for the six months ended June 30, 2023 was $9.3 million, as compared to $6.2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2022. The increase was primarily due to the additional amortization of other intangible assets from the Mint and HireUp acquisitions. See Note 7 -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Trade Names, and Other Intangible Assets to our condensed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consolidated financial statements. As a percentage of revenue, depreciation and amortization expense was 0.8% for the six months ended June 30, 2023 and 0.4% for the six months ended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 (benefits)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Restructuring costs for the six months ended June 30, 2023 were primarily comprised of employee termination costs, partially offset by an immaterial lease-related benefit. There was a restructuring benefit of $0.6 million for the six months ended June 30, 2022, associated with the early termination of one of the Company's leases for corporate offices which was previously restructured, partially offset by ongoing lease costs and employee termination costs. See Note 2 - Summary of Significant Accounting Policies to our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Legal settlement charges totaled $1.1 million for the six months ended June 30, 2023 and related to the settlement of a wage and hour class action lawsuit and associated legal fees. There were no such charges for the six months ended June 30,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Non-cash impairment charges totaled $0.5 million for the six months ended June 30, 2023 and related to the write-off of an abandoned IT project. Non-cash impairment charges totaled $1.7 million for the six months ended June 30, 2022 and related to real estate activities. See Note 7 - Goodwill, Trade Names, and Other Intangible Assets and Note 9 - Leases to our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Interest expense was $6.8 million for the six months ended June 30, 2023, as compared to $7.4 million for the six months ended June 30, 2022, due to lower average borrowings, partially offset by a higher effective interest rate. The effective interest rate on our borrowings was 12.3% and 6.6% for the six months ended June 30,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Loss on early extinguishment of debt for the six months ended June 30, 2023 consisted of the write-off of debt issuance costs related to the repayment and termination of our term loan in the second quarter of 2023. Loss on early extinguishment of debt for the six months ended June 30, 2022 consisted of a prepayment premium and the write-off of debt issuance costs related to the optional prepayment on our term loan made in the second quarter of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six months ended June 30, 2022, other income, net included a $1.1 million gain on lease termination as a result of the early termination of one of our corporate offices.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expense totaled $19.6 million for the six months ended June 30, 2023, as compared to $46.4 million for the six months ended June 30, 2022. The decrease in income tax expense was primarily related to a decrease in book income. The effective tax rates for the six months ended June 30, 2023 and 2022 were relatively unchanged and primarily impacted by federal and state taxes.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9560" w:type="dxa"/>
            <w:vAlign w:val="bottom"/>
            <w:gridSpan w:val="10"/>
          </w:tcPr>
          <w:p>
            <w:pPr>
              <w:spacing w:after="0"/>
              <w:rPr>
                <w:sz w:val="20"/>
                <w:szCs w:val="20"/>
                <w:color w:val="auto"/>
              </w:rPr>
            </w:pPr>
            <w:r>
              <w:rPr>
                <w:rFonts w:ascii="Arial" w:cs="Arial" w:eastAsia="Arial" w:hAnsi="Arial"/>
                <w:sz w:val="18"/>
                <w:szCs w:val="18"/>
                <w:color w:val="auto"/>
                <w:w w:val="98"/>
              </w:rPr>
              <w:t>Information on operating segments and a reconciliation to income from operations for the periods indicated are as follows: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9"/>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0"/>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color w:val="auto"/>
              </w:rPr>
              <w:t>(amounts in thousands)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3"/>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495,376</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731,443</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1,077,678</w:t>
            </w:r>
          </w:p>
        </w:tc>
        <w:tc>
          <w:tcPr>
            <w:tcW w:w="5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1,497,023</w:t>
            </w:r>
          </w:p>
        </w:tc>
      </w:tr>
      <w:tr>
        <w:trPr>
          <w:trHeight w:val="24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45,319</w:t>
            </w:r>
          </w:p>
        </w:tc>
        <w:tc>
          <w:tcPr>
            <w:tcW w:w="1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85,724</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45,270</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540,695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753,561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1,163,402</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1,542,293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56,481</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97,567</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123,650</w:t>
            </w:r>
          </w:p>
        </w:tc>
        <w:tc>
          <w:tcPr>
            <w:tcW w:w="5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207,668</w:t>
            </w: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210,653</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3"/>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overhead</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17,583</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37,547</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33,837</w:t>
            </w: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9,336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costs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37"/>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Legal settlement charges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29"/>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Other costs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78,837</w:t>
            </w: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78,986</w:t>
            </w:r>
          </w:p>
        </w:tc>
        <w:tc>
          <w:tcPr>
            <w:tcW w:w="5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169,469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12 - Segment Data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w:t>
            </w:r>
          </w:p>
        </w:tc>
        <w:tc>
          <w:tcPr>
            <w:tcW w:w="2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6"/>
                <w:szCs w:val="16"/>
                <w:color w:val="auto"/>
              </w:rPr>
              <w:t>FTEs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11,410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91.9 %</w:t>
            </w:r>
          </w:p>
        </w:tc>
      </w:tr>
      <w:tr>
        <w:trPr>
          <w:trHeight w:val="21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w:t>
            </w:r>
          </w:p>
        </w:tc>
        <w:tc>
          <w:tcPr>
            <w:tcW w:w="20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6"/>
                <w:szCs w:val="16"/>
                <w:color w:val="auto"/>
              </w:rPr>
              <w:t>FTEs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Physician Staffing statistical data:</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6"/>
                <w:szCs w:val="16"/>
                <w:color w:val="auto"/>
              </w:rPr>
              <w:t>Days filled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20,439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80.2 %</w:t>
            </w:r>
          </w:p>
        </w:tc>
      </w:tr>
      <w:tr>
        <w:trPr>
          <w:trHeight w:val="219"/>
        </w:trPr>
        <w:tc>
          <w:tcPr>
            <w:tcW w:w="20" w:type="dxa"/>
            <w:vAlign w:val="bottom"/>
            <w:shd w:val="clear" w:color="auto" w:fill="CCEEFF"/>
          </w:tcPr>
          <w:p>
            <w:pPr>
              <w:spacing w:after="0"/>
              <w:rPr>
                <w:sz w:val="19"/>
                <w:szCs w:val="19"/>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r>
    </w:tbl>
    <w:p>
      <w:pPr>
        <w:spacing w:after="0" w:line="200" w:lineRule="exact"/>
        <w:rPr>
          <w:sz w:val="20"/>
          <w:szCs w:val="20"/>
          <w:color w:val="auto"/>
        </w:rPr>
      </w:pP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See definition of Business Measurements under the Operating Metrics section of the MD&amp;A.</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June 30, 2023 and Three Months Ended June 30, 2022</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Revenue decreased $236.0 million, or 32.3%, to $495.4 million for the three months ended June 30, 2023, as compared to $731.4 million for the three months ended June 30, 2022, primarily driven by travel bill rates that continued to normalize throughout the quarter and the decline in the number of professionals on assignment as clients continue to right-size their needs.</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Contribution income decreased $41.1 million, or 42.1%, to $56.5 million for the three months ended June 30, 2023, as compared to $97.6 million for the three months ended June 30, 2022, primarily driven by decreased revenue. As a percentage of segment revenue, contribution income margin was 11.4% for the three months ended June 30, 2023, as compared to 13.3% for the three months ended June 30, 2022.</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average number of FTEs on contract during the three months ended June 30, 2023 decreased 15.6% from the three months ended June 30, 2022, primarily due to headcount decline in travel nurse and local. The average revenue per FTE per day decreased 19.8%, due to the expected normalization of bill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increased $23.2 million, or 104.9%, to $45.3 million for the three months ended June 30, 2023, as compared to $22.1 million for the three months ended June 30, 2022, primarily due to an increase in volume in several specialties.</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Contribution income was $3.5 million for the three months ended June 30, 2023, as compared to $1.2 million for the three months ended June 30, 2022, driven by higher revenue. As a percentage of segment revenue, contribution income was 7.8% for the three months ended June 30, 2023, as compared to 5.5% for the three months ended June 30, 2022.</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days filled for the three months ended June 30, 2023 was 23,826, as compared with 12,416 in the prior year. Revenue per day filled was $1,902 as compared with $1,781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$18.9 million for the three months ended June 30, 2023, from $17.6 million for the three months ended June 30, 2022, primarily due to increases in consulting, legal, and computer expenses, partially offset by decreases in compensation and benefit expense. As a percentage of consolidated revenue, corporate overhead was 3.5% for the three months ended June 30, 2023 and 2.3% for the three months ended June 30,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Six Months Ended June 30, 2023 and Six Months Ended June 30, 2022</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Revenue decreased $419.3 million, or 28.0%, to $1.1 billion for the six months ended June 30, 2023, as compared to $1.5 billion for the six months ended June 30, 2022, primarily driven by travel bill rates that continued to normalize throughout the second quarter and the decline in the number of professionals on assignment as clients continue to right-size their needs.</w:t>
      </w:r>
    </w:p>
    <w:p>
      <w:pPr>
        <w:spacing w:after="0" w:line="19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Contribution income decreased $84.0 million, or 40.5%, to $123.7 million for the six months ended June 30, 2023, as compared to $207.7 million for the six months ended June 30, 2022, driven by decreased revenue and higher direct costs. As a percentage of segment revenue, contribution income margin was 11.5% for the six months ended June 30, 2023, as compared to 13.9% for the six months ended June 30, 2022.</w:t>
      </w:r>
    </w:p>
    <w:p>
      <w:pPr>
        <w:spacing w:after="0" w:line="19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average number of FTEs on contract during the six months ended June 30, 2023 decreased 11.3% from the six months ended June 30, 2022, primarily due to headcount decline in travel nurse and local. The average revenue per FTE per day decreased 18.9%, due to the decrease in the average bill rates.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5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Revenue increased $40.4 million, or 89.4%, to $85.7 million for the six months ended June 30, 2023, as compared to $45.3 million for the six months ended June 30, 2022, primarily due to an increase in volume in most specialties and an improved mix of higher bill rate specialties.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Contribution income was $5.3 million for the six months ended June 30, 2023, as compared to $3.0 million for the six months ended June 30, 2022, driven by higher revenue. As a percentage of segment revenue, contribution income was 6.1% for the six months ended June 30, 2023, as compared to 6.6% for the six months ended June 30, 2022.</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days filled for the six months ended June 30, 2023 was 45,923, as compared with 25,484 in the prior year. Revenue per day filled was $1,867 as compared with $1,776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Corporate overhead increased to $37.5 million for the six months ended June 30, 2023, from $33.8 million for the six months ended June 30, 2022, primarily due to increases in compensation and benefit expense, as well as consulting, legal, and computer expense. As a percentage of consolidated revenue, corporate overhead was 3.2% for the six months ended June 30, 2023 and 2.2% for the six months ended June 30,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June 30, 2023, we repaid all $73.9 million in outstanding obligations under the term loan, and terminated the debt agreement. At June 30, 2023, we reported $0.7 million in cash and cash equivalents and $31.0 million of borrowings drawn under the ABL. Working capital decreased by $114.4 million to $289.6 million as of June 30, 2023, as compared to $404.0 million as of December 31, 2022, primarily due to a decrease in net receivables, partially offset by the timing of disbursements. As of June 30, 2023, our days' sales outstanding, net of amounts owed to subcontractors, was 63 days, an improvement of 3 days year-over-year and 7 days sequentially. As of June 30, 2023, we did not have any off-balance sheet arrangements.</w:t>
      </w:r>
    </w:p>
    <w:p>
      <w:pPr>
        <w:spacing w:after="0" w:line="2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needs from a combination of cash on hand, operating cash flows, and funds available through the ABL. See debt discussion which follows.</w:t>
      </w:r>
    </w:p>
    <w:p>
      <w:pPr>
        <w:spacing w:after="0" w:line="21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In the third quarter of 2022, the Board of Directors authorized the New Repurchase Program, whereby we may repurchase up to $100.0 million shares of common stock, and during the fourth quarter of 2022, we entered into a Rule 10b5-1 Repurchase Plan to allow for share repurchases during blackout periods. In the second quarter of 2023, the Board of Directors authorized the replenishment of the amount available for stock repurchases under the New Repurchase Program back to $100 million, effective for trades made after May 3, 2023. During the six months ended June 30, 2023, the Company repurchased and retired a total of 1,421,867 shares of common stock for $36.5 million, at an average price of $25.64 per share. During the six months ended June 30, 2022, the Company did not repurchase any shares of its common stock. As of June 30, 2023, we had $98.4 million remaining for share repurchase under the New Repurchase Program, subject to certain conditions in our Loan Agreement.</w:t>
      </w:r>
    </w:p>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provided by operating activities increased $177.0 million to $166.1 million for the six months ended June 30, 2023, as compared to $10.9 million used in operating activities for the six months ended June 30, 2022. The increase was primarily due to continued profitability as well as a three day year-over-year improvement in days' sales outstanding.</w:t>
      </w:r>
    </w:p>
    <w:p>
      <w:pPr>
        <w:spacing w:after="0" w:line="211"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Net cash used in investing activities was $7.5 million for the six months ended June 30, 2023, as compared to $3.8 million for the six months ended June 30, 2022. Net cash used in the six months ended June 30, 2023 was for capital expenditures and an immaterial amount related to the local business acquisition. Net cash used in the six months ended June 30, 2022 was for capital expenditures, primarily related to multiple IT projects.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cash used in financing activities during the six months ended June 30, 2023 was $161.6 million, as compared to $14.0 million provided by financing activities during the six months ended June 30, 2022. During the six months ended June 30, 2023, we reported net repayments of $119.7 million on debt, and used cash to pay $4.9 million for income taxes on share-based compensation, $36.5 million for share repurchases, and an immaterial amount for other financing activities. During the six months ended June 30, 2022, we reported net borrowings of $75.8 million on the ABL, and used cash to repay borrowings of</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color w:val="auto"/>
        </w:rPr>
        <w:t>$50.4 million on the term loan, $2.4 million on a note payable, $5.3 million for income taxes on share-based compensation, $3.2 million in debt issuance costs, and an immaterial amount for other financing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Credit Agreement</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On June 8, 2021, we entered into a Term Loan Agreement, which provided for a six-year second lien subordinated term loan in the amount of</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$100.0 million (term loan). On November 18, 2021, we amended the Term Loan Agreement (Term Loan First Amendment), which provided the Company an incremental term loan in an aggregate amount equal to $75.0 million. On April 14, 2023, we amended the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was equal to the Term SOFR (as defined in the Term Loan Second Amendment) for the interest period plus an adjustment of 10 basis points due to the credit spread associated with the transition to SOFR.</w:t>
      </w:r>
    </w:p>
    <w:p>
      <w:pPr>
        <w:spacing w:after="0" w:line="2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more fully described in Note 8 - Debt to our condensed consolidated financial statements, and as noted above, on June 30, 2023, we repaid all outstanding obligations under the term loan, and terminated the Term Loan Agreement. As a result, debt issuance costs of $1.7 million were written off in the second quarter of 2023 and are included as loss on early extinguishment of debt in the condensed consolidated statements of operations and comprehensive income. All subsidiary guarantees of the term loan were automatically released upon the termination of the Term Loan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Asset-Based Loan Agreement</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Effective October 25, 2019, the prior senior credit facility entered into in August 2017 was replaced by a $120.0 million asset-based loan agreement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SOFR or Base Rate, at the election of the borrowers, plus an applicable margin.</w:t>
      </w:r>
    </w:p>
    <w:p>
      <w:pPr>
        <w:spacing w:after="0" w:line="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2023,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our excess availability under the revolving credit facility. In addition, the facility is subject to an unused line fee, letter of credit fees, and an administrative fee. The Loan Agreement contains various restrictions and covenants, including a covenant to maintain a minimum fixed charge coverage ratio. We were in compliance with the fixed charge coverage ratio covenant as of June 30, 2023. Borrowing base availability under the ABL was $289.2 million at June 30, 2023, with $31.0 million of borrowings drawn, as well as $18.2 million of letters of credit outstanding, leaving $240.0 million of excess availability.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remain consistent with those reported in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11 - Stockholders' Equity to our condensed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Note 15 - Related Party Transactions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exposed to variable interest rate risk associated with our Loan Agreement entered into on October 25, 2019. This agreement charges interest at a rate based on either SOFR, LIBOR, or Base Rate (as defined in the agreement) plus an applicable margin. Our Term Loan Agreement, entered into on June 8, 2021, was repaid and terminated on June 30, 2023.</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1% change in interest rates would have resulted in interest expense fluctuating approximately $0.5 million and $1.0 million for the six months ended June 30, 2023 and 2022, respectively. See Note 8 - Debt to our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other exposures as disclosed in our 2022 Form 10-K.</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0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Information with respect to certain legal proceedings is included in Part I, Item 1, Note 13 - Contingencies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this Quarterly Report on Form 10-Q,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our Risk Factors as previously disclosed in our 2022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second fiscal quarter ended June 30, 2023. See Note 11 - Stockholders' Equity contained in “Notes to Condensed Consolidated Financial Statements” in Part I, Item 1 of this Quarterly Report on Form 10-Q for additional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Approximate Dollar</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84"/>
              </w:rPr>
              <w:t>Shares Purchased as</w:t>
            </w:r>
          </w:p>
        </w:tc>
        <w:tc>
          <w:tcPr>
            <w:tcW w:w="8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Total Number of</w:t>
            </w:r>
          </w:p>
        </w:tc>
        <w:tc>
          <w:tcPr>
            <w:tcW w:w="100" w:type="dxa"/>
            <w:vAlign w:val="bottom"/>
          </w:tcPr>
          <w:p>
            <w:pPr>
              <w:spacing w:after="0"/>
              <w:rPr>
                <w:sz w:val="15"/>
                <w:szCs w:val="15"/>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Average Price</w:t>
            </w:r>
          </w:p>
        </w:tc>
        <w:tc>
          <w:tcPr>
            <w:tcW w:w="10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4"/>
              </w:rPr>
              <w:t>Part of Publicly</w:t>
            </w:r>
          </w:p>
        </w:tc>
        <w:tc>
          <w:tcPr>
            <w:tcW w:w="8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May Yet Be Purchased</w:t>
            </w:r>
          </w:p>
        </w:tc>
        <w:tc>
          <w:tcPr>
            <w:tcW w:w="0" w:type="dxa"/>
            <w:vAlign w:val="bottom"/>
          </w:tcPr>
          <w:p>
            <w:pPr>
              <w:spacing w:after="0"/>
              <w:rPr>
                <w:sz w:val="1"/>
                <w:szCs w:val="1"/>
                <w:color w:val="auto"/>
              </w:rPr>
            </w:pPr>
          </w:p>
        </w:tc>
      </w:tr>
      <w:tr>
        <w:trPr>
          <w:trHeight w:val="176"/>
        </w:trPr>
        <w:tc>
          <w:tcPr>
            <w:tcW w:w="3240" w:type="dxa"/>
            <w:vAlign w:val="bottom"/>
            <w:vMerge w:val="restart"/>
          </w:tcPr>
          <w:p>
            <w:pPr>
              <w:ind w:left="2140"/>
              <w:spacing w:after="0"/>
              <w:rPr>
                <w:sz w:val="20"/>
                <w:szCs w:val="20"/>
                <w:color w:val="auto"/>
              </w:rPr>
            </w:pPr>
            <w:r>
              <w:rPr>
                <w:rFonts w:ascii="Arial" w:cs="Arial" w:eastAsia="Arial" w:hAnsi="Arial"/>
                <w:sz w:val="18"/>
                <w:szCs w:val="18"/>
                <w:color w:val="auto"/>
              </w:rPr>
              <w:t>Period</w:t>
            </w:r>
          </w:p>
        </w:tc>
        <w:tc>
          <w:tcPr>
            <w:tcW w:w="16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0"/>
              </w:rPr>
              <w:t>Announced Plans or</w:t>
            </w:r>
          </w:p>
        </w:tc>
        <w:tc>
          <w:tcPr>
            <w:tcW w:w="8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0"/>
              </w:rPr>
              <w:t>Under the Plans or</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Shares Purchased</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Paid per Share</w:t>
            </w: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 (a)</w:t>
            </w: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Programs (b)</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19"/>
                <w:szCs w:val="19"/>
                <w:color w:val="auto"/>
              </w:rPr>
            </w:pPr>
          </w:p>
        </w:tc>
        <w:tc>
          <w:tcPr>
            <w:tcW w:w="43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(dollar value in thousands, except per share data)</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April 1 through April 30</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121,000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$22.63</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121,000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$41,758</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 through May 31</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$99,865</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June 1 through June 30</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53,489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$27.21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53,489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$98,409</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w:t>
      </w:r>
    </w:p>
    <w:p>
      <w:pPr>
        <w:spacing w:after="0" w:line="23" w:lineRule="exact"/>
        <w:rPr>
          <w:sz w:val="20"/>
          <w:szCs w:val="20"/>
          <w:color w:val="auto"/>
        </w:rPr>
      </w:pPr>
    </w:p>
    <w:p>
      <w:pPr>
        <w:ind w:right="20" w:firstLine="8"/>
        <w:spacing w:after="0" w:line="250"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were repurchased under a $100 million stock repurchase program, authorized by the Board of Directors on August 16, 2022. The program has no expiration date but may be terminated by the Board of Directors at any time. No shares were purchased other than through publicly announced programs during the periods shown.</w:t>
      </w:r>
    </w:p>
    <w:p>
      <w:pPr>
        <w:spacing w:after="0" w:line="1" w:lineRule="exact"/>
        <w:rPr>
          <w:rFonts w:ascii="Arial" w:cs="Arial" w:eastAsia="Arial" w:hAnsi="Arial"/>
          <w:sz w:val="18"/>
          <w:szCs w:val="18"/>
          <w:color w:val="auto"/>
        </w:rPr>
      </w:pPr>
    </w:p>
    <w:p>
      <w:pPr>
        <w:ind w:right="200" w:firstLine="8"/>
        <w:spacing w:after="0" w:line="277"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May 1, 2023, the Board of Directors authorized approximately $59.0 million in additional share repurchases, such that, effective for trades made after May 3, 2023, the aggregate amount available for stock repurchases under the New Repurchase Program was $100.0 million. Amounts shown in this column reflect amounts remaining under the New Repurchase Program referenced in Note 11 - Stockholders' Equity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Trading Plans</w:t>
      </w:r>
    </w:p>
    <w:p>
      <w:pPr>
        <w:spacing w:after="0" w:line="256"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During the second quarter of 2023,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No.</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122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Second Amendment to Term Loan Credit Agreement, by and among Cross Country Healthcare, Inc., the Guarantors (as defined</w:t>
              </w:r>
            </w:hyperlink>
          </w:p>
        </w:tc>
      </w:tr>
      <w:tr>
        <w:trPr>
          <w:trHeight w:val="155"/>
        </w:trPr>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therein), the Lenders (as defined therein), and Wilmington Trust, National Association, dated April 14, 2023 (Previously filed as</w:t>
              </w:r>
            </w:hyperlink>
          </w:p>
        </w:tc>
        <w:tc>
          <w:tcPr>
            <w:tcW w:w="440" w:type="dxa"/>
            <w:vAlign w:val="bottom"/>
            <w:gridSpan w:val="4"/>
          </w:tcPr>
          <w:p>
            <w:pPr>
              <w:ind w:left="80"/>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an</w:t>
              </w:r>
            </w:hyperlink>
          </w:p>
        </w:tc>
      </w:tr>
      <w:tr>
        <w:trPr>
          <w:trHeight w:val="156"/>
        </w:trPr>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exhibit to the Company's Form 8-K dated April 18, 2023 and incorporated by reference herein.)</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22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w w:val="97"/>
              </w:rPr>
              <w:t>Certification pursuant to Rule 13a-14(a) and Rule 15d-14(a) by John A. Martins, President, Chief Executive Officer, Director</w:t>
            </w:r>
          </w:p>
        </w:tc>
      </w:tr>
      <w:tr>
        <w:trPr>
          <w:trHeight w:val="156"/>
        </w:trPr>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3"/>
              </w:rPr>
              <w:t>(Principal Executive Officer)</w:t>
            </w:r>
          </w:p>
        </w:tc>
        <w:tc>
          <w:tcPr>
            <w:tcW w:w="6920" w:type="dxa"/>
            <w:vAlign w:val="bottom"/>
            <w:tcBorders>
              <w:top w:val="single" w:sz="8" w:color="0000FF"/>
            </w:tcBorders>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264"/>
        </w:trPr>
        <w:tc>
          <w:tcPr>
            <w:tcW w:w="122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w w:val="93"/>
              </w:rPr>
              <w:t>Certification pursuant to Rule 13a-14(a) and Rule 15d-14(a) by William J. Burns, Executive Vice President, Chief Financial Officer</w:t>
            </w:r>
          </w:p>
        </w:tc>
      </w:tr>
      <w:tr>
        <w:trPr>
          <w:trHeight w:val="169"/>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rPr>
              <w:t>(Principal Financial Officer)</w:t>
            </w:r>
          </w:p>
        </w:tc>
        <w:tc>
          <w:tcPr>
            <w:tcW w:w="1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64"/>
        </w:trPr>
        <w:tc>
          <w:tcPr>
            <w:tcW w:w="122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w w:val="99"/>
              </w:rPr>
              <w:t>Certification pursuant to 18 U.S.C. Section 1350 by John A. Martins, President, Chief Executive Officer, Director (Principal</w:t>
            </w:r>
          </w:p>
        </w:tc>
      </w:tr>
      <w:tr>
        <w:trPr>
          <w:trHeight w:val="155"/>
        </w:trPr>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Executive Officer)</w:t>
            </w:r>
          </w:p>
        </w:tc>
        <w:tc>
          <w:tcPr>
            <w:tcW w:w="460" w:type="dxa"/>
            <w:vAlign w:val="bottom"/>
            <w:gridSpan w:val="3"/>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22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w w:val="94"/>
              </w:rPr>
              <w:t>Certification pursuant to 18 U.S.C. Section 1350 by William J. Burns, Executive Vice President, Chief Financial Officer (Principal</w:t>
            </w:r>
          </w:p>
        </w:tc>
      </w:tr>
      <w:tr>
        <w:trPr>
          <w:trHeight w:val="155"/>
        </w:trPr>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5"/>
              </w:rPr>
              <w:t>Financial Officer)</w:t>
            </w:r>
          </w:p>
        </w:tc>
        <w:tc>
          <w:tcPr>
            <w:tcW w:w="8060" w:type="dxa"/>
            <w:vAlign w:val="bottom"/>
            <w:tcBorders>
              <w:top w:val="single" w:sz="8" w:color="0000FF"/>
            </w:tcBorders>
            <w:gridSpan w:val="7"/>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520"/>
        </w:trPr>
        <w:tc>
          <w:tcPr>
            <w:tcW w:w="122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297"/>
        </w:trPr>
        <w:tc>
          <w:tcPr>
            <w:tcW w:w="122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22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22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97"/>
        </w:trPr>
        <w:tc>
          <w:tcPr>
            <w:tcW w:w="122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22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220" w:type="dxa"/>
            <w:vAlign w:val="bottom"/>
          </w:tcPr>
          <w:p>
            <w:pPr>
              <w:ind w:left="2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97"/>
        </w:trPr>
        <w:tc>
          <w:tcPr>
            <w:tcW w:w="1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284"/>
        </w:trPr>
        <w:tc>
          <w:tcPr>
            <w:tcW w:w="1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Filed herewith</w:t>
            </w:r>
          </w:p>
        </w:tc>
      </w:tr>
      <w:tr>
        <w:trPr>
          <w:trHeight w:val="283"/>
        </w:trPr>
        <w:tc>
          <w:tcPr>
            <w:tcW w:w="1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CROSS COUNTRY HEALTHCARE, INC.</w:t>
      </w:r>
    </w:p>
    <w:p>
      <w:pPr>
        <w:spacing w:after="0" w:line="81" w:lineRule="exact"/>
        <w:rPr>
          <w:sz w:val="20"/>
          <w:szCs w:val="20"/>
          <w:color w:val="auto"/>
        </w:rPr>
      </w:pPr>
    </w:p>
    <w:p>
      <w:pPr>
        <w:ind w:left="20"/>
        <w:spacing w:after="0"/>
        <w:tabs>
          <w:tab w:leader="none" w:pos="5620" w:val="left"/>
          <w:tab w:leader="none" w:pos="61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23495</wp:posOffset>
            </wp:positionV>
            <wp:extent cx="32150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ind w:left="6200"/>
        <w:spacing w:after="0" w:line="203" w:lineRule="auto"/>
        <w:rPr>
          <w:sz w:val="20"/>
          <w:szCs w:val="20"/>
          <w:color w:val="auto"/>
        </w:rPr>
      </w:pPr>
      <w:r>
        <w:rPr>
          <w:rFonts w:ascii="Arial" w:cs="Arial" w:eastAsia="Arial" w:hAnsi="Arial"/>
          <w:sz w:val="18"/>
          <w:szCs w:val="18"/>
          <w:color w:val="auto"/>
        </w:rPr>
        <w:t>Executive Vice President &amp; Chief Financial Officer</w:t>
      </w:r>
    </w:p>
    <w:p>
      <w:pPr>
        <w:ind w:left="6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320" w:top="891" w:right="5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A. Martins,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40" w:val="left"/>
          <w:tab w:leader="none" w:pos="30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6"/>
          <w:szCs w:val="16"/>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14605</wp:posOffset>
            </wp:positionV>
            <wp:extent cx="521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John A. Martins</w:t>
      </w:r>
    </w:p>
    <w:p>
      <w:pPr>
        <w:ind w:left="3020"/>
        <w:spacing w:after="0" w:line="203" w:lineRule="auto"/>
        <w:rPr>
          <w:sz w:val="20"/>
          <w:szCs w:val="20"/>
          <w:color w:val="auto"/>
        </w:rPr>
      </w:pPr>
      <w:r>
        <w:rPr>
          <w:rFonts w:ascii="Arial" w:cs="Arial" w:eastAsia="Arial" w:hAnsi="Arial"/>
          <w:sz w:val="18"/>
          <w:szCs w:val="18"/>
          <w:color w:val="auto"/>
        </w:rPr>
        <w:t>President &amp; Chief Executive Officer</w:t>
      </w:r>
    </w:p>
    <w:p>
      <w:pPr>
        <w:ind w:left="3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40" w:val="left"/>
          <w:tab w:leader="none" w:pos="30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14605</wp:posOffset>
            </wp:positionV>
            <wp:extent cx="5212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William J. Burns</w:t>
      </w:r>
    </w:p>
    <w:p>
      <w:pPr>
        <w:ind w:left="3020"/>
        <w:spacing w:after="0"/>
        <w:rPr>
          <w:sz w:val="20"/>
          <w:szCs w:val="20"/>
          <w:color w:val="auto"/>
        </w:rPr>
      </w:pPr>
      <w:r>
        <w:rPr>
          <w:rFonts w:ascii="Arial" w:cs="Arial" w:eastAsia="Arial" w:hAnsi="Arial"/>
          <w:sz w:val="18"/>
          <w:szCs w:val="18"/>
          <w:color w:val="auto"/>
        </w:rPr>
        <w:t>Executive Vice President &amp; Chief Financial Officer (Principal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June 30, 2023, (the "Periodic Report"), I, John A. Martins, President and Chief Executive Officer of the Company, hereby certify pursuant to 18 U.S.C. Section 1350, as adopted pursuant to Section 906 of the Sarbanes-Oxley Act of 2002, that to my knowledge:</w:t>
      </w:r>
    </w:p>
    <w:p>
      <w:pPr>
        <w:spacing w:after="0" w:line="192"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Periodic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20"/>
        <w:spacing w:after="0"/>
        <w:tabs>
          <w:tab w:leader="none" w:pos="680" w:val="left"/>
          <w:tab w:leader="none" w:pos="306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6"/>
          <w:szCs w:val="16"/>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14605</wp:posOffset>
            </wp:positionV>
            <wp:extent cx="5186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14"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John A. Martins</w:t>
      </w:r>
    </w:p>
    <w:p>
      <w:pPr>
        <w:ind w:left="3080"/>
        <w:spacing w:after="0" w:line="203" w:lineRule="auto"/>
        <w:rPr>
          <w:sz w:val="20"/>
          <w:szCs w:val="20"/>
          <w:color w:val="auto"/>
        </w:rPr>
      </w:pPr>
      <w:r>
        <w:rPr>
          <w:rFonts w:ascii="Arial" w:cs="Arial" w:eastAsia="Arial" w:hAnsi="Arial"/>
          <w:sz w:val="18"/>
          <w:szCs w:val="18"/>
          <w:color w:val="auto"/>
        </w:rPr>
        <w:t>President &amp; Chief Executive Officer</w:t>
      </w:r>
    </w:p>
    <w:p>
      <w:pPr>
        <w:ind w:left="3080"/>
        <w:spacing w:after="0"/>
        <w:rPr>
          <w:sz w:val="20"/>
          <w:szCs w:val="20"/>
          <w:color w:val="auto"/>
        </w:rPr>
      </w:pPr>
      <w:r>
        <w:rPr>
          <w:rFonts w:ascii="Arial" w:cs="Arial" w:eastAsia="Arial" w:hAnsi="Arial"/>
          <w:sz w:val="18"/>
          <w:szCs w:val="18"/>
          <w:color w:val="auto"/>
        </w:rPr>
        <w:t>(Principal Executive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June 30, 2023,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192" w:lineRule="exact"/>
        <w:rPr>
          <w:sz w:val="20"/>
          <w:szCs w:val="20"/>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Periodic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51" w:lineRule="exact"/>
        <w:rPr>
          <w:sz w:val="20"/>
          <w:szCs w:val="20"/>
          <w:color w:val="auto"/>
        </w:rPr>
      </w:pPr>
    </w:p>
    <w:p>
      <w:pPr>
        <w:ind w:left="20"/>
        <w:spacing w:after="0"/>
        <w:tabs>
          <w:tab w:leader="none" w:pos="640" w:val="left"/>
          <w:tab w:leader="none" w:pos="3000" w:val="left"/>
        </w:tabs>
        <w:rPr>
          <w:sz w:val="20"/>
          <w:szCs w:val="20"/>
          <w:color w:val="auto"/>
        </w:rPr>
      </w:pPr>
      <w:r>
        <w:rPr>
          <w:rFonts w:ascii="Arial" w:cs="Arial" w:eastAsia="Arial" w:hAnsi="Arial"/>
          <w:sz w:val="18"/>
          <w:szCs w:val="18"/>
          <w:color w:val="auto"/>
        </w:rPr>
        <w:t>Date:</w:t>
        <w:tab/>
        <w:t>August 3, 2023</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14605</wp:posOffset>
            </wp:positionV>
            <wp:extent cx="5212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William J. Burns</w:t>
      </w:r>
    </w:p>
    <w:p>
      <w:pPr>
        <w:ind w:left="3020"/>
        <w:spacing w:after="0"/>
        <w:rPr>
          <w:sz w:val="20"/>
          <w:szCs w:val="20"/>
          <w:color w:val="auto"/>
        </w:rPr>
      </w:pPr>
      <w:r>
        <w:rPr>
          <w:rFonts w:ascii="Arial" w:cs="Arial" w:eastAsia="Arial" w:hAnsi="Arial"/>
          <w:sz w:val="18"/>
          <w:szCs w:val="18"/>
          <w:color w:val="auto"/>
        </w:rPr>
        <w:t>Executive Vice President &amp; Chief Financial Officer (Principal Financial Officer)</w:t>
      </w:r>
    </w:p>
    <w:p>
      <w:pPr>
        <w:spacing w:after="0" w:line="33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lowerRoman"/>
      <w:start w:val="3"/>
    </w:lvl>
  </w:abstractNum>
  <w:abstractNum w:abstractNumId="5">
    <w:nsid w:val="140E0F76"/>
    <w:multiLevelType w:val="hybridMultilevel"/>
    <w:lvl w:ilvl="0">
      <w:lvlJc w:val="left"/>
      <w:lvlText w:val="(%1)"/>
      <w:numFmt w:val="lowerRoman"/>
      <w:start w:val="3"/>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3"/>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69" Type="http://schemas.openxmlformats.org/officeDocument/2006/relationships/hyperlink" Target="https://www.sec.gov/Archives/edgar/data/1141103/000115752323000574/a5338194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2023-08-03T07:59:24Z</dcterms:created>
  <dcterms:modified xsi:type="dcterms:W3CDTF">2023-08-03T07:59:24Z</dcterms:modified>
</cp:coreProperties>
</file>