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5"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4020" w:right="2100" w:hanging="1541"/>
        <w:spacing w:after="0" w:line="351" w:lineRule="auto"/>
        <w:tabs>
          <w:tab w:leader="none" w:pos="267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6"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ind w:left="3680" w:right="2080" w:hanging="1212"/>
        <w:spacing w:after="0" w:line="390" w:lineRule="auto"/>
        <w:tabs>
          <w:tab w:leader="none" w:pos="2662"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Transition Report Pursuant to Section 13 or 15(d) of the Securities Exchange Act of 1934 For the Transition Period From </w:t>
      </w:r>
      <w:r>
        <w:rPr>
          <w:rFonts w:ascii="Arial" w:cs="Arial" w:eastAsia="Arial" w:hAnsi="Arial"/>
          <w:sz w:val="15"/>
          <w:szCs w:val="15"/>
          <w:color w:val="auto"/>
        </w:rPr>
        <w:t>_________</w:t>
      </w:r>
      <w:r>
        <w:rPr>
          <w:rFonts w:ascii="Arial" w:cs="Arial" w:eastAsia="Arial" w:hAnsi="Arial"/>
          <w:sz w:val="15"/>
          <w:szCs w:val="15"/>
          <w:b w:val="1"/>
          <w:bCs w:val="1"/>
          <w:color w:val="auto"/>
        </w:rPr>
        <w:t xml:space="preserve"> to </w:t>
      </w:r>
      <w:r>
        <w:rPr>
          <w:rFonts w:ascii="Arial" w:cs="Arial" w:eastAsia="Arial" w:hAnsi="Arial"/>
          <w:sz w:val="15"/>
          <w:szCs w:val="15"/>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-72390</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CROSS COUNTRY HEALTHCARE, INC.</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860"/>
          </w:cols>
          <w:pgMar w:left="320" w:top="1192" w:right="719" w:bottom="1440" w:gutter="0" w:footer="0" w:header="0"/>
        </w:sectPr>
      </w:pPr>
    </w:p>
    <w:p>
      <w:pPr>
        <w:spacing w:after="0" w:line="34"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92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86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0-33169</w:t>
      </w:r>
    </w:p>
    <w:p>
      <w:pPr>
        <w:spacing w:after="0" w:line="36" w:lineRule="exact"/>
        <w:rPr>
          <w:sz w:val="24"/>
          <w:szCs w:val="24"/>
          <w:color w:val="auto"/>
        </w:rPr>
      </w:pPr>
    </w:p>
    <w:p>
      <w:pPr>
        <w:jc w:val="center"/>
        <w:ind w:right="1880"/>
        <w:spacing w:after="0"/>
        <w:rPr>
          <w:sz w:val="20"/>
          <w:szCs w:val="20"/>
          <w:color w:val="auto"/>
        </w:rPr>
      </w:pPr>
      <w:r>
        <w:rPr>
          <w:rFonts w:ascii="Arial" w:cs="Arial" w:eastAsia="Arial" w:hAnsi="Arial"/>
          <w:sz w:val="14"/>
          <w:szCs w:val="14"/>
          <w:i w:val="1"/>
          <w:iCs w:val="1"/>
          <w:color w:val="auto"/>
        </w:rPr>
        <w:t>Commission</w:t>
      </w:r>
    </w:p>
    <w:p>
      <w:pPr>
        <w:spacing w:after="0" w:line="15" w:lineRule="exact"/>
        <w:rPr>
          <w:sz w:val="24"/>
          <w:szCs w:val="24"/>
          <w:color w:val="auto"/>
        </w:rPr>
      </w:pPr>
    </w:p>
    <w:p>
      <w:pPr>
        <w:jc w:val="center"/>
        <w:ind w:right="188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13-4066229</w:t>
      </w:r>
    </w:p>
    <w:p>
      <w:pPr>
        <w:spacing w:after="0" w:line="28" w:lineRule="exact"/>
        <w:rPr>
          <w:sz w:val="24"/>
          <w:szCs w:val="24"/>
          <w:color w:val="auto"/>
        </w:rPr>
      </w:pPr>
    </w:p>
    <w:p>
      <w:pPr>
        <w:jc w:val="center"/>
        <w:ind w:right="740"/>
        <w:spacing w:after="0"/>
        <w:rPr>
          <w:sz w:val="20"/>
          <w:szCs w:val="20"/>
          <w:color w:val="auto"/>
        </w:rPr>
      </w:pPr>
      <w:r>
        <w:rPr>
          <w:rFonts w:ascii="Arial" w:cs="Arial" w:eastAsia="Arial" w:hAnsi="Arial"/>
          <w:sz w:val="16"/>
          <w:szCs w:val="16"/>
          <w:i w:val="1"/>
          <w:iCs w:val="1"/>
          <w:color w:val="auto"/>
        </w:rPr>
        <w:t>(I.R.S. Employer</w:t>
      </w:r>
    </w:p>
    <w:p>
      <w:pPr>
        <w:jc w:val="center"/>
        <w:ind w:right="740"/>
        <w:spacing w:after="0"/>
        <w:rPr>
          <w:sz w:val="20"/>
          <w:szCs w:val="20"/>
          <w:color w:val="auto"/>
        </w:rPr>
      </w:pPr>
      <w:r>
        <w:rPr>
          <w:rFonts w:ascii="Arial" w:cs="Arial" w:eastAsia="Arial" w:hAnsi="Arial"/>
          <w:sz w:val="15"/>
          <w:szCs w:val="15"/>
          <w:i w:val="1"/>
          <w:iCs w:val="1"/>
          <w:color w:val="auto"/>
        </w:rPr>
        <w:t>Identification Number)</w:t>
      </w:r>
    </w:p>
    <w:p>
      <w:pPr>
        <w:spacing w:after="0" w:line="211" w:lineRule="exact"/>
        <w:rPr>
          <w:sz w:val="24"/>
          <w:szCs w:val="24"/>
          <w:color w:val="auto"/>
        </w:rPr>
      </w:pPr>
    </w:p>
    <w:p>
      <w:pPr>
        <w:sectPr>
          <w:pgSz w:w="11900" w:h="16838" w:orient="portrait"/>
          <w:cols w:equalWidth="0" w:num="3">
            <w:col w:w="4500" w:space="720"/>
            <w:col w:w="2680" w:space="720"/>
            <w:col w:w="2240"/>
          </w:cols>
          <w:pgMar w:left="320" w:top="1192" w:right="719" w:bottom="1440" w:gutter="0" w:footer="0" w:header="0"/>
          <w:type w:val="continuous"/>
        </w:sectPr>
      </w:pP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6551 Park of Commerce Boulevard, N.W.</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Boca Raton, Florida 33487</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(Address of principal executive offices)(Zip Code)</w:t>
      </w:r>
    </w:p>
    <w:p>
      <w:pPr>
        <w:spacing w:after="0" w:line="95"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(561) 998-2232</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41"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37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40"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860"/>
          </w:cols>
          <w:pgMar w:left="320" w:top="1192" w:right="719" w:bottom="1440" w:gutter="0" w:footer="0" w:header="0"/>
          <w:type w:val="continuous"/>
        </w:sectPr>
      </w:pPr>
    </w:p>
    <w:p>
      <w:pPr>
        <w:spacing w:after="0" w:line="54" w:lineRule="exact"/>
        <w:rPr>
          <w:sz w:val="24"/>
          <w:szCs w:val="24"/>
          <w:color w:val="auto"/>
        </w:rPr>
      </w:pPr>
    </w:p>
    <w:p>
      <w:pPr>
        <w:ind w:left="13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060" w:space="720"/>
            <w:col w:w="1980" w:space="720"/>
            <w:col w:w="3380"/>
          </w:cols>
          <w:pgMar w:left="320" w:top="1192" w:right="71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w:t>
      </w:r>
    </w:p>
    <w:p>
      <w:pPr>
        <w:spacing w:after="0" w:line="211" w:lineRule="exact"/>
        <w:rPr>
          <w:sz w:val="24"/>
          <w:szCs w:val="24"/>
          <w:color w:val="auto"/>
        </w:rPr>
      </w:pPr>
    </w:p>
    <w:p>
      <w:pPr>
        <w:sectPr>
          <w:pgSz w:w="11900" w:h="16838" w:orient="portrait"/>
          <w:cols w:equalWidth="0" w:num="3">
            <w:col w:w="4400" w:space="720"/>
            <w:col w:w="2300" w:space="720"/>
            <w:col w:w="2720"/>
          </w:cols>
          <w:pgMar w:left="320" w:top="1192" w:right="719" w:bottom="1440" w:gutter="0" w:footer="0" w:header="0"/>
          <w:type w:val="continuous"/>
        </w:sectPr>
      </w:pPr>
    </w:p>
    <w:p>
      <w:pPr>
        <w:spacing w:after="0" w:line="33"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4"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43"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60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registrant had outstanding 38,003,670 shares of common stock, par value $0.0001 per share, as of July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92" w:right="7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potential impacts of the coronavirus pandemic (COVID-19) on our business, financial condition, and results of operations,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2020, as filed and updated in our Quarterly Reports on Form 10-Q and other filings with the Securities and Exchange Commission (SEC).</w:t>
      </w:r>
    </w:p>
    <w:p>
      <w:pPr>
        <w:spacing w:after="0" w:line="17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4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60" w:type="dxa"/>
            <w:vAlign w:val="bottom"/>
            <w:gridSpan w:val="10"/>
          </w:tcPr>
          <w:p>
            <w:pPr>
              <w:jc w:val="center"/>
              <w:ind w:right="740"/>
              <w:spacing w:after="0"/>
              <w:rPr>
                <w:sz w:val="20"/>
                <w:szCs w:val="20"/>
                <w:color w:val="auto"/>
              </w:rPr>
            </w:pPr>
            <w:r>
              <w:rPr>
                <w:rFonts w:ascii="Arial" w:cs="Arial" w:eastAsia="Arial" w:hAnsi="Arial"/>
                <w:sz w:val="18"/>
                <w:szCs w:val="18"/>
                <w:b w:val="1"/>
                <w:bCs w:val="1"/>
                <w:color w:val="auto"/>
                <w:w w:val="99"/>
              </w:rPr>
              <w:t>CROSS COUNTRY HEALTHCARE, INC.</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rPr>
              <w:t>INDEX</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8"/>
          </w:tcPr>
          <w:p>
            <w:pPr>
              <w:jc w:val="center"/>
              <w:ind w:right="2460"/>
              <w:spacing w:after="0"/>
              <w:rPr>
                <w:sz w:val="20"/>
                <w:szCs w:val="20"/>
                <w:color w:val="auto"/>
              </w:rPr>
            </w:pPr>
            <w:r>
              <w:rPr>
                <w:rFonts w:ascii="Arial" w:cs="Arial" w:eastAsia="Arial" w:hAnsi="Arial"/>
                <w:sz w:val="18"/>
                <w:szCs w:val="18"/>
                <w:b w:val="1"/>
                <w:bCs w:val="1"/>
                <w:color w:val="auto"/>
                <w:w w:val="99"/>
              </w:rPr>
              <w:t>FORM 10-Q</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8"/>
          </w:tcPr>
          <w:p>
            <w:pPr>
              <w:jc w:val="center"/>
              <w:ind w:right="2480"/>
              <w:spacing w:after="0"/>
              <w:rPr>
                <w:sz w:val="20"/>
                <w:szCs w:val="20"/>
                <w:color w:val="auto"/>
              </w:rPr>
            </w:pPr>
            <w:r>
              <w:rPr>
                <w:rFonts w:ascii="Arial" w:cs="Arial" w:eastAsia="Arial" w:hAnsi="Arial"/>
                <w:sz w:val="18"/>
                <w:szCs w:val="18"/>
                <w:b w:val="1"/>
                <w:bCs w:val="1"/>
                <w:color w:val="auto"/>
                <w:w w:val="88"/>
              </w:rPr>
              <w:t>June 30, 2021</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ind w:left="1500"/>
              <w:spacing w:after="0"/>
              <w:rPr>
                <w:sz w:val="20"/>
                <w:szCs w:val="20"/>
                <w:color w:val="auto"/>
              </w:rPr>
            </w:pPr>
            <w:r>
              <w:rPr>
                <w:rFonts w:ascii="Arial" w:cs="Arial" w:eastAsia="Arial" w:hAnsi="Arial"/>
                <w:sz w:val="18"/>
                <w:szCs w:val="18"/>
                <w:color w:val="auto"/>
                <w:w w:val="91"/>
              </w:rPr>
              <w:t>PAGE</w:t>
            </w:r>
          </w:p>
        </w:tc>
      </w:tr>
      <w:tr>
        <w:trPr>
          <w:trHeight w:val="243"/>
        </w:trPr>
        <w:tc>
          <w:tcPr>
            <w:tcW w:w="888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1980" w:type="dxa"/>
            <w:vAlign w:val="bottom"/>
            <w:gridSpan w:val="3"/>
          </w:tcPr>
          <w:p>
            <w:pPr>
              <w:jc w:val="center"/>
              <w:ind w:left="171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Item 1.</w:t>
              </w:r>
            </w:hyperlink>
          </w:p>
        </w:tc>
        <w:tc>
          <w:tcPr>
            <w:tcW w:w="420" w:type="dxa"/>
            <w:vAlign w:val="bottom"/>
            <w:gridSpan w:val="3"/>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w:t>
              </w:r>
            </w:hyperlink>
          </w:p>
        </w:tc>
        <w:tc>
          <w:tcPr>
            <w:tcW w:w="1980" w:type="dxa"/>
            <w:vAlign w:val="bottom"/>
            <w:gridSpan w:val="3"/>
          </w:tcPr>
          <w:p>
            <w:pPr>
              <w:jc w:val="center"/>
              <w:ind w:left="171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20" w:type="dxa"/>
            <w:vAlign w:val="bottom"/>
            <w:tcBorders>
              <w:bottom w:val="single" w:sz="8" w:color="0000FF"/>
            </w:tcBorders>
            <w:gridSpan w:val="8"/>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 (Unaudited)</w:t>
              </w:r>
            </w:hyperlink>
          </w:p>
        </w:tc>
        <w:tc>
          <w:tcPr>
            <w:tcW w:w="4120" w:type="dxa"/>
            <w:vAlign w:val="bottom"/>
            <w:gridSpan w:val="8"/>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(Unaudited)</w:t>
              </w:r>
            </w:hyperlink>
          </w:p>
        </w:tc>
        <w:tc>
          <w:tcPr>
            <w:tcW w:w="1980" w:type="dxa"/>
            <w:vAlign w:val="bottom"/>
            <w:gridSpan w:val="3"/>
          </w:tcPr>
          <w:p>
            <w:pPr>
              <w:jc w:val="center"/>
              <w:ind w:left="171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9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(Loss) (Unaudited)</w:t>
              </w:r>
            </w:hyperlink>
          </w:p>
        </w:tc>
        <w:tc>
          <w:tcPr>
            <w:tcW w:w="1960" w:type="dxa"/>
            <w:vAlign w:val="bottom"/>
            <w:gridSpan w:val="2"/>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 (Unaudited)</w:t>
              </w:r>
            </w:hyperlink>
          </w:p>
        </w:tc>
        <w:tc>
          <w:tcPr>
            <w:tcW w:w="2680" w:type="dxa"/>
            <w:vAlign w:val="bottom"/>
            <w:gridSpan w:val="3"/>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 (Unaudited)</w:t>
              </w:r>
            </w:hyperlink>
          </w:p>
        </w:tc>
        <w:tc>
          <w:tcPr>
            <w:tcW w:w="3340" w:type="dxa"/>
            <w:vAlign w:val="bottom"/>
            <w:gridSpan w:val="5"/>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8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 (Unaudited)</w:t>
              </w:r>
            </w:hyperlink>
          </w:p>
        </w:tc>
        <w:tc>
          <w:tcPr>
            <w:tcW w:w="3060" w:type="dxa"/>
            <w:vAlign w:val="bottom"/>
            <w:gridSpan w:val="4"/>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7</w:t>
              </w:r>
            </w:hyperlink>
          </w:p>
        </w:tc>
        <w:tc>
          <w:tcPr>
            <w:tcW w:w="40" w:type="dxa"/>
            <w:vAlign w:val="bottom"/>
          </w:tcPr>
          <w:p>
            <w:pPr>
              <w:spacing w:after="0"/>
              <w:rPr>
                <w:sz w:val="22"/>
                <w:szCs w:val="22"/>
                <w:color w:val="auto"/>
              </w:rPr>
            </w:pPr>
          </w:p>
        </w:tc>
      </w:tr>
      <w:tr>
        <w:trPr>
          <w:trHeight w:val="263"/>
        </w:trPr>
        <w:tc>
          <w:tcPr>
            <w:tcW w:w="520" w:type="dxa"/>
            <w:vAlign w:val="bottom"/>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Item 2.</w:t>
              </w:r>
            </w:hyperlink>
          </w:p>
        </w:tc>
        <w:tc>
          <w:tcPr>
            <w:tcW w:w="420" w:type="dxa"/>
            <w:vAlign w:val="bottom"/>
            <w:gridSpan w:val="3"/>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23</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3.</w:t>
              </w:r>
            </w:hyperlink>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r>
      <w:tr>
        <w:trPr>
          <w:trHeight w:val="263"/>
        </w:trPr>
        <w:tc>
          <w:tcPr>
            <w:tcW w:w="520" w:type="dxa"/>
            <w:vAlign w:val="bottom"/>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4.</w:t>
              </w:r>
            </w:hyperlink>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36</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60" w:type="dxa"/>
            <w:vAlign w:val="bottom"/>
            <w:gridSpan w:val="11"/>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9"/>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PART II. – OTHER INFORMATION</w:t>
              </w:r>
            </w:hyperlink>
          </w:p>
        </w:tc>
        <w:tc>
          <w:tcPr>
            <w:tcW w:w="6160" w:type="dxa"/>
            <w:vAlign w:val="bottom"/>
            <w:gridSpan w:val="11"/>
          </w:tcPr>
          <w:p>
            <w:pPr>
              <w:spacing w:after="0"/>
              <w:rPr>
                <w:sz w:val="22"/>
                <w:szCs w:val="22"/>
                <w:color w:val="auto"/>
              </w:rPr>
            </w:pPr>
          </w:p>
        </w:tc>
        <w:tc>
          <w:tcPr>
            <w:tcW w:w="184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37</w:t>
              </w:r>
            </w:hyperlink>
          </w:p>
        </w:tc>
      </w:tr>
      <w:tr>
        <w:trPr>
          <w:trHeight w:val="263"/>
        </w:trPr>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1.</w:t>
              </w:r>
            </w:hyperlink>
          </w:p>
        </w:tc>
        <w:tc>
          <w:tcPr>
            <w:tcW w:w="420" w:type="dxa"/>
            <w:vAlign w:val="bottom"/>
            <w:gridSpan w:val="3"/>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37</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40" w:type="dxa"/>
            <w:vAlign w:val="bottom"/>
            <w:gridSpan w:val="13"/>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94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1A.</w:t>
              </w:r>
            </w:hyperlink>
          </w:p>
        </w:tc>
        <w:tc>
          <w:tcPr>
            <w:tcW w:w="794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37</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4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Signatures</w:t>
              </w:r>
            </w:hyperlink>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jc w:val="center"/>
              <w:ind w:left="171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91" w:right="6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Accounts receivable, net of allowances of $4,106 in 2021 and $4,021 in 2020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256,487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170,003</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Insurance recovery receivable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4,698</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285,390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183,111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$18,299 in 2021 and $17,013 in 2020</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10,447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Trade names, indefinite-lived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5,900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34,831</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19,409</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493,638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356,973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49,877</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52,153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35,540</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debt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Operating lease liabilities - current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4,509</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122,060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93,423</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15,234</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Long-term accrued claims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25,412</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contingent consideration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7,995</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202,064</w:t>
            </w:r>
          </w:p>
        </w:tc>
      </w:tr>
      <w:tr>
        <w:trPr>
          <w:trHeight w:val="203"/>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310,388</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(1,280)</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(154,737)</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Total Cross Country Healthcare, Inc. stockholders' equity</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191,597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154,375</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 in subsidiary</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0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192,131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154,909</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493,638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356,973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19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Six Months Ended</w:t>
            </w:r>
          </w:p>
        </w:tc>
      </w:tr>
      <w:tr>
        <w:trPr>
          <w:trHeight w:val="234"/>
        </w:trPr>
        <w:tc>
          <w:tcPr>
            <w:tcW w:w="6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426,843</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 operating expenses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166,045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326,506</w:t>
            </w: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88,135</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7,225</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r>
      <w:tr>
        <w:trPr>
          <w:trHeight w:val="223"/>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230,467</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624,173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441,285</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(14,442)</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30"/>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(16,017)</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 (loss)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(15,816)</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48"/>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5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shareholders - 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55"/>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shareholders -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560" w:type="dxa"/>
            <w:vAlign w:val="bottom"/>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35,998</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0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(15,816)</w:t>
            </w:r>
          </w:p>
        </w:tc>
      </w:tr>
      <w:tr>
        <w:trPr>
          <w:trHeight w:val="257"/>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before income tax:</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Unrealized foreign currency translation loss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57"/>
        </w:trPr>
        <w:tc>
          <w:tcPr>
            <w:tcW w:w="6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Taxes on other comprehensive loss: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effect related to unrealized foreign currency translation loss</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6"/>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4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common shareholders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20"/>
        <w:spacing w:after="0" w:line="263" w:lineRule="auto"/>
        <w:rPr>
          <w:sz w:val="20"/>
          <w:szCs w:val="20"/>
          <w:color w:val="auto"/>
        </w:rPr>
      </w:pPr>
      <w:r>
        <w:rPr>
          <w:rFonts w:ascii="Arial" w:cs="Arial" w:eastAsia="Arial" w:hAnsi="Arial"/>
          <w:sz w:val="18"/>
          <w:szCs w:val="18"/>
          <w:b w:val="1"/>
          <w:bCs w:val="1"/>
          <w:color w:val="auto"/>
        </w:rPr>
        <w:t>CROSS COUNTRY HEALTHCARE, INC. CONDENSED CONSOLIDATED STATEMENTS OF STOCKHOLDERS' EQUITY Three Months Ended June 30, 2021 and 2020 (Unaudited, amounts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8"/>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20" w:type="dxa"/>
            <w:vAlign w:val="bottom"/>
          </w:tcPr>
          <w:p>
            <w:pPr>
              <w:jc w:val="center"/>
              <w:ind w:right="84"/>
              <w:spacing w:after="0"/>
              <w:rPr>
                <w:sz w:val="20"/>
                <w:szCs w:val="20"/>
                <w:color w:val="auto"/>
              </w:rPr>
            </w:pPr>
            <w:r>
              <w:rPr>
                <w:rFonts w:ascii="Arial" w:cs="Arial" w:eastAsia="Arial" w:hAnsi="Arial"/>
                <w:sz w:val="15"/>
                <w:szCs w:val="15"/>
                <w:b w:val="1"/>
                <w:bCs w:val="1"/>
                <w:color w:val="auto"/>
                <w:w w:val="91"/>
              </w:rPr>
              <w:t>Noncontrolling</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20" w:type="dxa"/>
            <w:vAlign w:val="bottom"/>
          </w:tcPr>
          <w:p>
            <w:pPr>
              <w:jc w:val="center"/>
              <w:ind w:right="10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20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Subsidiary</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March 31, 2021</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36,495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309,711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(135,289)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173,674</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159</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(204)</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2,137</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2,137</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w w:val="96"/>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(24)</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Acquisition of WSG</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308</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5,000</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11,548</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11,548</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June 30, 2021</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36,962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316,644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(123,741)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192,131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8"/>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March 31, 2020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36,092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305,935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(1,318)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(143,864)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645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161,402</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83</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(22)</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2,072</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2,072</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w w:val="96"/>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Distribution to noncontrolling</w:t>
            </w: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(321)</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shareholder</w:t>
            </w:r>
          </w:p>
        </w:tc>
        <w:tc>
          <w:tcPr>
            <w:tcW w:w="8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(14,151)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103</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(14,048)</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June 30, 2020</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36,175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307,985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(158,015)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149,074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8"/>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20" w:type="dxa"/>
            <w:vAlign w:val="bottom"/>
          </w:tcPr>
          <w:p>
            <w:pPr>
              <w:jc w:val="center"/>
              <w:ind w:right="84"/>
              <w:spacing w:after="0"/>
              <w:rPr>
                <w:sz w:val="20"/>
                <w:szCs w:val="20"/>
                <w:color w:val="auto"/>
              </w:rPr>
            </w:pPr>
            <w:r>
              <w:rPr>
                <w:rFonts w:ascii="Arial" w:cs="Arial" w:eastAsia="Arial" w:hAnsi="Arial"/>
                <w:sz w:val="15"/>
                <w:szCs w:val="15"/>
                <w:b w:val="1"/>
                <w:bCs w:val="1"/>
                <w:color w:val="auto"/>
                <w:w w:val="91"/>
              </w:rPr>
              <w:t>Noncontrolling</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20" w:type="dxa"/>
            <w:vAlign w:val="bottom"/>
          </w:tcPr>
          <w:p>
            <w:pPr>
              <w:jc w:val="center"/>
              <w:ind w:right="10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20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Subsidiary</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2020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36,177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310,388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(154,737)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154,909</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477</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(2,230)</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(2,230)</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3,486</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3,486</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w w:val="96"/>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(30)</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Acquisition of WSG</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308</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5,000</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30,996</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30,996</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June 30, 2021</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36,962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316,644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(123,741)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192,131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8"/>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2019</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35,871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305,643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(141,775)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868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163,500</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304</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(657)</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2,999</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2,999</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w w:val="96"/>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(87)</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Distribution to noncontrolling</w:t>
            </w: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(865)</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(865)</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shareholder</w:t>
            </w:r>
          </w:p>
        </w:tc>
        <w:tc>
          <w:tcPr>
            <w:tcW w:w="8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(16,240)</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424</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(15,816)</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June 30, 2020</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36,175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307,985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(158,015)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149,074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4"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Consolidated 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30,996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(15,816)</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7,225</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15,011</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Other non-cash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11,242</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11,907</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33,731</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term loan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192,827</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Repayments on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(311,400)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(214,700)</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shares withheld for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Principal payments on note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 to noncontrolling shareholder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(26,001)</w:t>
            </w:r>
          </w:p>
        </w:tc>
      </w:tr>
      <w:tr>
        <w:trPr>
          <w:trHeight w:val="236"/>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accompanying condensed consolidated financial statements include the accounts of Cross Country Healthcare, Inc. and its direct and indirect wholly-owned subsidiaries (collectively, the Company), as well as Cross Country Talent Acquisition Group, LLC, which is a joint venture controlled by the Company but not wholly-owned. Effective December 31, 2020, the sole professional staffing services agreement held by this joint venture was terminated and, as a result, the Company expects to dissolve Cross Country Talent Acquisition Group, LLC during fiscal 2021. All intercompany transactions and balances have been eliminated in consolidation. In the opinion of management, all adjustments necessary for a fair presentation of such unaudited condensed consolidated financial statements have been included. These adjustments consisted of all normal recurring items.</w:t>
      </w:r>
    </w:p>
    <w:p>
      <w:pPr>
        <w:spacing w:after="0" w:line="19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United States generally accepted accounting principles (U.S. GAAP) for complete financial statements. These operating results are not necessarily indicative of the results that may be expected for the year ending December 31, 2021.</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2020 included in the Company’s Annual Report on Form 10-K as filed with the SEC on February 25, 2021 (2020 Form 10-K). The December 31, 2020 condensed consolidated balance sheet included herein was derived from the December 31, 2020 audited consolidated balance sheet included in the 2020 Form 10-K.</w:t>
      </w:r>
    </w:p>
    <w:p>
      <w:pPr>
        <w:spacing w:after="0" w:line="21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See the condensed consolidated balance sheets and statements of cash flows, Note 3 - Revenue Recognition, and Note 12 - Segment Data.</w:t>
      </w:r>
    </w:p>
    <w:p>
      <w:pPr>
        <w:spacing w:after="0" w:line="193" w:lineRule="exact"/>
        <w:rPr>
          <w:sz w:val="20"/>
          <w:szCs w:val="20"/>
          <w:color w:val="auto"/>
        </w:rPr>
      </w:pPr>
    </w:p>
    <w:p>
      <w:pPr>
        <w:ind w:right="6160" w:firstLine="8"/>
        <w:spacing w:after="0" w:line="534"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in context of the unknown future impacts of the current global outbreak of COVID-19 using information that is reasonably available to the Company at the time.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legal contingencies; (8) income taxes; and (9) sales and other non-income tax liabilities.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5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doubtful accounts and sales allowances. Estimated revenue for the Company employees', subcontracted employees', and independent contractors’ time worked but not yet billed at June 30, 2021 and December 31, 2020 totaled $76.3 million and $48.3 million, respectively.</w:t>
      </w:r>
    </w:p>
    <w:p>
      <w:pPr>
        <w:spacing w:after="0" w:line="2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generally does not require collateral and mitigates its credit risk by performing credit evaluations and monitoring at-risk accounts. The allowance for doubtful accounts is established for losses expected to be incurred on accounts receivable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0" w:name="page11"/>
    <w:bookmarkEnd w:id="10"/>
    <w:p>
      <w:pPr>
        <w:ind w:right="20"/>
        <w:spacing w:after="0" w:line="293" w:lineRule="auto"/>
        <w:rPr>
          <w:sz w:val="20"/>
          <w:szCs w:val="20"/>
          <w:color w:val="auto"/>
        </w:rPr>
      </w:pPr>
      <w:r>
        <w:rPr>
          <w:rFonts w:ascii="Arial" w:cs="Arial" w:eastAsia="Arial" w:hAnsi="Arial"/>
          <w:sz w:val="16"/>
          <w:szCs w:val="16"/>
          <w:color w:val="auto"/>
        </w:rPr>
        <w:t>balances. Accounts receivable are written off against the allowance for doubtful accounts when the Company determines amounts are no longer collectible. Judgment is required in the estimation of the allowance and the Company evaluates the collectability of its accounts 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COVID-19, when estimating its allowance for doubtful accounts.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the allowance for doubtful accounts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(amounts in thousands)</w:t>
            </w:r>
          </w:p>
        </w:tc>
        <w:tc>
          <w:tcPr>
            <w:tcW w:w="1120" w:type="dxa"/>
            <w:vAlign w:val="bottom"/>
            <w:shd w:val="clear" w:color="auto" w:fill="CCEEFF"/>
          </w:tcPr>
          <w:p>
            <w:pPr>
              <w:spacing w:after="0"/>
              <w:rPr>
                <w:sz w:val="19"/>
                <w:szCs w:val="19"/>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Balance at January 1</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3,416</w:t>
            </w:r>
          </w:p>
        </w:tc>
        <w:tc>
          <w:tcPr>
            <w:tcW w:w="24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2,406</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Balance at June 30</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r>
      <w:tr>
        <w:trPr>
          <w:trHeight w:val="21"/>
        </w:trPr>
        <w:tc>
          <w:tcPr>
            <w:tcW w:w="7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balance of this allowance as of June 30, 2021 and December 31, 2020 was $0.8 million and $0.6 million, respectively.</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contract terms typically require payment between 30 to 60 days from the date of invoice and are considered past due based on the particular negotiated contract terms. The majority of the Company's customers are U.S. based healthcare systems with a significant percentage in acute-care facilities. No single customer accounted for more than 10% of the Company’s revenue for the three and six months ended June 30, 2021, or the accounts receivable balance as of June 30, 2021 and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56"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condensed consolidated statements of operations primarily include employee termination costs and lease-related exit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employee termination costs and lease-related exit costs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2"/>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4"/>
          </w:tcPr>
          <w:p>
            <w:pPr>
              <w:jc w:val="right"/>
              <w:ind w:right="1810"/>
              <w:spacing w:after="0"/>
              <w:rPr>
                <w:sz w:val="20"/>
                <w:szCs w:val="20"/>
                <w:color w:val="auto"/>
              </w:rPr>
            </w:pPr>
            <w:r>
              <w:rPr>
                <w:rFonts w:ascii="Arial" w:cs="Arial" w:eastAsia="Arial" w:hAnsi="Arial"/>
                <w:sz w:val="18"/>
                <w:szCs w:val="18"/>
                <w:color w:val="auto"/>
              </w:rPr>
              <w:t>(amounts in thousands)</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r>
      <w:tr>
        <w:trPr>
          <w:trHeight w:val="230"/>
        </w:trPr>
        <w:tc>
          <w:tcPr>
            <w:tcW w:w="5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Charged to restructuring costs </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824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979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2,526</w:t>
            </w:r>
          </w:p>
        </w:tc>
      </w:tr>
      <w:tr>
        <w:trPr>
          <w:trHeight w:val="229"/>
        </w:trPr>
        <w:tc>
          <w:tcPr>
            <w:tcW w:w="5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Charged to restructuring costs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7" w:lineRule="exact"/>
        <w:rPr>
          <w:sz w:val="20"/>
          <w:szCs w:val="20"/>
          <w:color w:val="auto"/>
        </w:rPr>
      </w:pPr>
    </w:p>
    <w:p>
      <w:pPr>
        <w:ind w:right="320" w:firstLine="8"/>
        <w:spacing w:after="0" w:line="260"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Aside from what is presented in the table above, restructuring costs in the condensed consolidated statements of operations for the six months ended June 30, 2021 include $0.7 million of ongoing lease costs related to the Company's strategic reduction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ind w:right="320"/>
        <w:spacing w:after="0" w:line="277" w:lineRule="auto"/>
        <w:rPr>
          <w:sz w:val="20"/>
          <w:szCs w:val="20"/>
          <w:color w:val="auto"/>
        </w:rPr>
      </w:pPr>
      <w:r>
        <w:rPr>
          <w:rFonts w:ascii="Arial" w:cs="Arial" w:eastAsia="Arial" w:hAnsi="Arial"/>
          <w:sz w:val="18"/>
          <w:szCs w:val="18"/>
          <w:color w:val="auto"/>
        </w:rPr>
        <w:t>in its real estate footprint which are included as operating lease liabilities - current and non-current in our condensed consolidated balance sheets. Other costs were immaterial for the six months ended June 30,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Effective January 1, 2021, the Company adopted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simplifies the accounting for income taxes by removing certain exceptions to the general principles in Topic 740, and improves consistent application of and simplifies GAAP for other areas of Topic 740 by clarifying and amending existing guidance. The guidance requires either a prospective, retrospective, or modified retrospective approach depending on the amendment. The Company prospectively adopted this guidance with no material impact on its consolidated financial statements.</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6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Arial" w:cs="Arial" w:eastAsia="Arial" w:hAnsi="Arial"/>
          <w:sz w:val="18"/>
          <w:szCs w:val="18"/>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6"/>
              </w:rPr>
              <w:t>Total Segments</w:t>
            </w:r>
          </w:p>
        </w:tc>
        <w:tc>
          <w:tcPr>
            <w:tcW w:w="0" w:type="dxa"/>
            <w:vAlign w:val="bottom"/>
          </w:tcPr>
          <w:p>
            <w:pPr>
              <w:spacing w:after="0"/>
              <w:rPr>
                <w:sz w:val="1"/>
                <w:szCs w:val="1"/>
                <w:color w:val="auto"/>
              </w:rPr>
            </w:pPr>
          </w:p>
        </w:tc>
      </w:tr>
      <w:tr>
        <w:trPr>
          <w:trHeight w:val="229"/>
        </w:trPr>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(amounts in thousands)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308,519</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15,072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323,591</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316,188</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331,827</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1070"/>
              <w:spacing w:after="0"/>
              <w:rPr>
                <w:sz w:val="20"/>
                <w:szCs w:val="20"/>
                <w:color w:val="auto"/>
              </w:rPr>
            </w:pPr>
            <w:r>
              <w:rPr>
                <w:rFonts w:ascii="Arial" w:cs="Arial" w:eastAsia="Arial" w:hAnsi="Arial"/>
                <w:sz w:val="18"/>
                <w:szCs w:val="18"/>
                <w:b w:val="1"/>
                <w:bCs w:val="1"/>
                <w:color w:val="auto"/>
                <w:w w:val="90"/>
              </w:rPr>
              <w:t>Three Months ended June 30, 2020</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6"/>
              </w:rPr>
              <w:t>Total Segments</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(amounts in thousands)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193,331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16,081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209,412</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199,907</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216,779</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1070"/>
              <w:spacing w:after="0"/>
              <w:rPr>
                <w:sz w:val="20"/>
                <w:szCs w:val="20"/>
                <w:color w:val="auto"/>
              </w:rPr>
            </w:pPr>
            <w:r>
              <w:rPr>
                <w:rFonts w:ascii="Arial" w:cs="Arial" w:eastAsia="Arial" w:hAnsi="Arial"/>
                <w:sz w:val="18"/>
                <w:szCs w:val="18"/>
                <w:b w:val="1"/>
                <w:bCs w:val="1"/>
                <w:color w:val="auto"/>
                <w:w w:val="89"/>
              </w:rPr>
              <w:t>Six Months ended June 30, 2021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6"/>
              </w:rPr>
              <w:t>Total Segments</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(amounts in thousands)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614,494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30,478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644,972</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16,096</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629,196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661,068</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1070"/>
              <w:spacing w:after="0"/>
              <w:rPr>
                <w:sz w:val="20"/>
                <w:szCs w:val="20"/>
                <w:color w:val="auto"/>
              </w:rPr>
            </w:pPr>
            <w:r>
              <w:rPr>
                <w:rFonts w:ascii="Arial" w:cs="Arial" w:eastAsia="Arial" w:hAnsi="Arial"/>
                <w:sz w:val="18"/>
                <w:szCs w:val="18"/>
                <w:b w:val="1"/>
                <w:bCs w:val="1"/>
                <w:color w:val="auto"/>
                <w:w w:val="89"/>
              </w:rPr>
              <w:t>Six Months ended June 30, 2020</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6"/>
              </w:rPr>
              <w:t>Total Segments</w:t>
            </w:r>
          </w:p>
        </w:tc>
        <w:tc>
          <w:tcPr>
            <w:tcW w:w="0" w:type="dxa"/>
            <w:vAlign w:val="bottom"/>
          </w:tcPr>
          <w:p>
            <w:pPr>
              <w:spacing w:after="0"/>
              <w:rPr>
                <w:sz w:val="1"/>
                <w:szCs w:val="1"/>
                <w:color w:val="auto"/>
              </w:rPr>
            </w:pPr>
          </w:p>
        </w:tc>
      </w:tr>
      <w:tr>
        <w:trPr>
          <w:trHeight w:val="229"/>
        </w:trPr>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(amounts in thousands)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378,279</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33,241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411,520</w:t>
            </w:r>
          </w:p>
        </w:tc>
        <w:tc>
          <w:tcPr>
            <w:tcW w:w="0" w:type="dxa"/>
            <w:vAlign w:val="bottom"/>
          </w:tcPr>
          <w:p>
            <w:pPr>
              <w:spacing w:after="0"/>
              <w:rPr>
                <w:sz w:val="1"/>
                <w:szCs w:val="1"/>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15,323</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391,790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426,843</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-4448175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-4157345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-3171190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-2879725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-1756410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-1464945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4940" w:space="720"/>
            <w:col w:w="5580"/>
          </w:cols>
          <w:pgMar w:left="320" w:top="895" w:right="339" w:bottom="1440" w:gutter="0" w:footer="0" w:header="0"/>
          <w:type w:val="continuous"/>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2" w:name="page13"/>
    <w:bookmarkEnd w:id="12"/>
    <w:p>
      <w:pPr>
        <w:ind w:right="280"/>
        <w:spacing w:after="0" w:line="259" w:lineRule="auto"/>
        <w:rPr>
          <w:sz w:val="20"/>
          <w:szCs w:val="20"/>
          <w:color w:val="auto"/>
        </w:rPr>
      </w:pPr>
      <w:r>
        <w:rPr>
          <w:rFonts w:ascii="Arial" w:cs="Arial" w:eastAsia="Arial" w:hAnsi="Arial"/>
          <w:sz w:val="18"/>
          <w:szCs w:val="18"/>
          <w:color w:val="auto"/>
        </w:rPr>
        <w:t>In the first quarter of 2021, the Company modified its reportable segments and, as a result, now discloses the following two reportable segments - Nurse and Allied Staffing and Physician Staffing beginning in the first quarter of 2021. Other Services in the amount of $1.8 million and $5.5 million, respectively, included in the previously-reported Search segment have been reclassified to Nurse and Allied Staffing for the three and six months ended June 30, 2020. See Note 12 - Segment Data.</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Country Workforce Solutions Group</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8, 2021, the Company purchased and acquired substantially all of the assets and assumed certain liabilities of Workforce Solutions Group, Inc. for a purchase price of $25.0 million in cash (subject to post-closing adjustments based on net working capital and indebtedness), and $5.0 million in shares (or 307,730 shares) of the Company's common stock. The Company financed the purchase price using a portion of the new subordinated debt that consisted of a $100.0 million, six-year term loan. See Note 8 - Debt. The transaction was treated as a purchase of assets for income tax purposes. The acquisition has not been fully integrated as of June 30, 2021.</w:t>
      </w:r>
    </w:p>
    <w:p>
      <w:pPr>
        <w:spacing w:after="0" w:line="21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sellers are also eligible to receive an earnout based on the business' performance through three years after the acquisition date that could provide up to an additional $15.0 million in cash. The $15.0 million contingent consideration liability is included in long-term contingent consideration on the condensed consolidated balance sheets. See Note 10 - Fair Value Measurements.</w:t>
      </w:r>
    </w:p>
    <w:p>
      <w:pPr>
        <w:spacing w:after="0" w:line="21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business has been branded Cross Country Workforce Solutions Group (WSG) and primarily works with local and national healthcare plans and managed care providers to coordinate in-home care services for participants. WSG also provides a range of consulting and talent management solutions to its healthcare clients, including home care staffing, recruitment process outsourcing, contingent workforce evaluation, and talent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The following table is an estimate of the assets acquired and liabilities assumed on June 8, 2021:</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99"/>
        </w:trPr>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color w:val="auto"/>
                <w:w w:val="92"/>
              </w:rPr>
              <w:t>(amounts in thousands)</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12,142</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37,071</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50,239</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1,147</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19,812</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30,427</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not completed its valuation of assets acquired and liabilities assumed. Any necessary adjustments will be finalized within one year from the date of acquisition; adjustments to date have not been significant. Substantially all of the accounts receivable acquired are expected to be collectible. As a result, $37.1 million has been recorded as goodwill on the Company's condensed consolidated balance sheet. Associated acquisition-related costs incurred were $0.9 million and have been included in acquisition and integration-related costs on the Company's condensed consolidated statement of operations for the three and six months ended June 30, 2021. See Note 7 - Goodwill, Trade Names, and Other Intangible Assets.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acquisition was not significant and has been accounted for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 using the acquisition method of accounting. WSG's results of operations, since the date of acquisition, are included in the Nurse and Allied Staffing business segment, and are not material. The pro-forma impact on the Company's consolidated revenue from services and net income, including the pro forma effect of events that are directly attributable to the acquisition, was not significant.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tabs>
          <w:tab w:leader="none" w:pos="300" w:val="left"/>
        </w:tabs>
        <w:rPr>
          <w:sz w:val="20"/>
          <w:szCs w:val="20"/>
          <w:color w:val="auto"/>
        </w:rPr>
      </w:pPr>
      <w:r>
        <w:rPr>
          <w:rFonts w:ascii="Arial" w:cs="Arial" w:eastAsia="Arial" w:hAnsi="Arial"/>
          <w:sz w:val="18"/>
          <w:szCs w:val="18"/>
          <w:b w:val="1"/>
          <w:bCs w:val="1"/>
          <w:color w:val="auto"/>
        </w:rPr>
        <w:t>5.</w:t>
        <w:tab/>
        <w:t>COMPREHENSIVE INCOME (LOSS)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$1.3 million at June 30, 2021 and December 31, 2020.</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income tax impact related to components of other comprehensive income (loss) for the three and six months ended June 30, 2021 and 2020 is reflected in the condensed consolidated statements of comprehensive income (loss).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19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2020</w:t>
            </w: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79"/>
        </w:trPr>
        <w:tc>
          <w:tcPr>
            <w:tcW w:w="6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900" w:type="dxa"/>
            <w:vAlign w:val="bottom"/>
            <w:gridSpan w:val="9"/>
          </w:tcPr>
          <w:p>
            <w:pPr>
              <w:jc w:val="right"/>
              <w:ind w:right="170"/>
              <w:spacing w:after="0"/>
              <w:rPr>
                <w:sz w:val="20"/>
                <w:szCs w:val="20"/>
                <w:color w:val="auto"/>
              </w:rPr>
            </w:pPr>
            <w:r>
              <w:rPr>
                <w:rFonts w:ascii="Arial" w:cs="Arial" w:eastAsia="Arial" w:hAnsi="Arial"/>
                <w:sz w:val="14"/>
                <w:szCs w:val="14"/>
                <w:color w:val="auto"/>
                <w:w w:val="90"/>
              </w:rPr>
              <w:t>(amounts in thousands, except per share data)</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shareholders - Basic and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11,548</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(14,151)</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30,996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(16,240)</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 Basic</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35,998</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Effect of diluted shares: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Share-based awards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Arial" w:cs="Arial" w:eastAsia="Arial" w:hAnsi="Arial"/>
                <w:sz w:val="18"/>
                <w:szCs w:val="18"/>
                <w:color w:val="auto"/>
              </w:rPr>
              <w:t>Weighted average common shares - Diluted</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37,203</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36,123</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35,998</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shareholders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0.32</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(0.39)</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shareholders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0.31</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(0.39)</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320" w:firstLine="8"/>
        <w:spacing w:after="0" w:line="260"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net loss for the three and six months ended June 30, 2020, 75,688 and 265,304 shares, respectively, were excluded from diluted weighted average shares due to their anti-dilutive effect.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880" w:type="dxa"/>
            <w:vAlign w:val="bottom"/>
            <w:gridSpan w:val="8"/>
          </w:tcPr>
          <w:p>
            <w:pPr>
              <w:spacing w:after="0"/>
              <w:rPr>
                <w:sz w:val="20"/>
                <w:szCs w:val="20"/>
                <w:color w:val="auto"/>
              </w:rPr>
            </w:pPr>
            <w:r>
              <w:rPr>
                <w:rFonts w:ascii="Arial" w:cs="Arial" w:eastAsia="Arial" w:hAnsi="Arial"/>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00" w:type="dxa"/>
            <w:vAlign w:val="bottom"/>
            <w:gridSpan w:val="5"/>
          </w:tcPr>
          <w:p>
            <w:pPr>
              <w:spacing w:after="0"/>
              <w:rPr>
                <w:sz w:val="20"/>
                <w:szCs w:val="20"/>
                <w:color w:val="auto"/>
              </w:rPr>
            </w:pPr>
            <w:r>
              <w:rPr>
                <w:rFonts w:ascii="Arial" w:cs="Arial" w:eastAsia="Arial" w:hAnsi="Arial"/>
                <w:sz w:val="18"/>
                <w:szCs w:val="18"/>
                <w:color w:val="auto"/>
                <w:w w:val="90"/>
              </w:rPr>
              <w:t>The Company had the following acquired intangible assets: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0"/>
              </w:rPr>
              <w:t>December 31, 2020</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380"/>
              <w:spacing w:after="0" w:line="169"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380"/>
              <w:spacing w:after="0" w:line="176"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Databases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16,849</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13,681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15,322</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Non-compete agreements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5"/>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names, indefinite-lived</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color w:val="auto"/>
                <w:w w:val="99"/>
              </w:rPr>
              <w:t>As of June 30, 2021, estimated annual amortization expense is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88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10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40" w:type="dxa"/>
            <w:vAlign w:val="bottom"/>
            <w:gridSpan w:val="4"/>
            <w:shd w:val="clear" w:color="auto" w:fill="CCEEFF"/>
          </w:tcPr>
          <w:p>
            <w:pPr>
              <w:jc w:val="center"/>
              <w:spacing w:after="0"/>
              <w:rPr>
                <w:sz w:val="20"/>
                <w:szCs w:val="20"/>
                <w:color w:val="auto"/>
              </w:rPr>
            </w:pPr>
            <w:r>
              <w:rPr>
                <w:rFonts w:ascii="Arial" w:cs="Arial" w:eastAsia="Arial" w:hAnsi="Arial"/>
                <w:sz w:val="16"/>
                <w:szCs w:val="16"/>
                <w:color w:val="auto"/>
                <w:w w:val="90"/>
              </w:rPr>
              <w:t>(amounts in thousands)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5"/>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5"/>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The changes in the carrying amount of goodwill by reportable segment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Nurse and</w:t>
            </w:r>
          </w:p>
        </w:tc>
        <w:tc>
          <w:tcPr>
            <w:tcW w:w="28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360" w:type="dxa"/>
            <w:vAlign w:val="bottom"/>
          </w:tcPr>
          <w:p>
            <w:pPr>
              <w:spacing w:after="0"/>
              <w:rPr>
                <w:sz w:val="17"/>
                <w:szCs w:val="17"/>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2"/>
              </w:rPr>
              <w:t>Allied Staffing</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9"/>
              </w:rPr>
              <w:t>Staffing</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(amounts in thousands)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2020</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Aggregate goodwill acquired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367,880</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43,405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411,285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business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impairment loss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(269,874)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 net of impairment loss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to aggregate goodwill in 2021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Aggregate goodwill acquired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37,071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37,071</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Balances as of June 30, 2021</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Aggregate goodwill acquired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448,356</w:t>
            </w: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Sale of business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impairment loss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23"/>
        </w:trPr>
        <w:tc>
          <w:tcPr>
            <w:tcW w:w="6080" w:type="dxa"/>
            <w:vAlign w:val="bottom"/>
          </w:tcPr>
          <w:p>
            <w:pPr>
              <w:ind w:left="140"/>
              <w:spacing w:after="0"/>
              <w:rPr>
                <w:sz w:val="20"/>
                <w:szCs w:val="20"/>
                <w:color w:val="auto"/>
              </w:rPr>
            </w:pPr>
            <w:r>
              <w:rPr>
                <w:rFonts w:ascii="Arial" w:cs="Arial" w:eastAsia="Arial" w:hAnsi="Arial"/>
                <w:sz w:val="18"/>
                <w:szCs w:val="18"/>
                <w:color w:val="auto"/>
              </w:rPr>
              <w:t>Goodwill, net of impairment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125,188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127,995</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56" w:lineRule="exact"/>
        <w:rPr>
          <w:sz w:val="20"/>
          <w:szCs w:val="20"/>
          <w:color w:val="auto"/>
        </w:rPr>
      </w:pPr>
    </w:p>
    <w:p>
      <w:pPr>
        <w:jc w:val="both"/>
        <w:ind w:right="20" w:firstLine="8"/>
        <w:spacing w:after="0" w:line="263"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goodwill acquired from the acquisition of WSG, calculated as the excess of the fair value of consideration exchanged as compared to the fair value of identifiable net assets acquired. The initial accounting for the acquisition has not been completed because the fair values of the assets acquired and liabilities assumed have not yet been finalized. See Note 4 - Acquisition.</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the first quarter of 2021, the Company modified its reportable segments and, as a result, now discloses the following two reportable segments - Nurse and Allied Staffing and Physician Staffing. In the table above, goodwill balances and activity previously reported in the Search segment have been reclassified to Nurse and Allied Staffing.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 Impairment</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COVID-19,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30, 2021, the Company performed a qualitative assessment of each of its reporting units and determined it was not more likely than not that the fair value of its reporting units dropped below their carrying value.</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second quarter of 2020, due to the increased negative impact and continuing uncertainty of the COVID-19 pandemic on the business, all reporting units were quantitatively tested. For the Nurse and Allied Staffing and Physician Staffing reporting units no impairment was identified as the fair value was substantially in excess of the carrying amount of goodwill. However, the Search reporting unit under-performed in the second quarter of 2020. As a result, the Company performed quantitative testing of the Search reporting unit which resulted in impairment charges of $10.2 million for its goodwill and $0.3 million for its customer relationships.</w:t>
      </w:r>
    </w:p>
    <w:p>
      <w:pPr>
        <w:spacing w:after="0" w:line="21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Although management believes that the Company's current estimates and assumptions utilized in its quantitative testing are reasonable and supportable, including its assumptions on the impact and timing related to COVID-19, there can be no assurance that the estimates and assumptions management used for purposes of its qualitative assessment as of June 30, 2021 will prove to be accurate predictions of future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its long-lived assets and definite-lived intangible assets, the Company reviews for impairment whenever events or changes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right="120"/>
        <w:spacing w:after="0" w:line="277" w:lineRule="auto"/>
        <w:rPr>
          <w:sz w:val="20"/>
          <w:szCs w:val="20"/>
          <w:color w:val="auto"/>
        </w:rPr>
      </w:pPr>
      <w:r>
        <w:rPr>
          <w:rFonts w:ascii="Arial" w:cs="Arial" w:eastAsia="Arial" w:hAnsi="Arial"/>
          <w:sz w:val="18"/>
          <w:szCs w:val="18"/>
          <w:color w:val="auto"/>
        </w:rPr>
        <w:t>in circumstances indicate the carrying amount may not be recoverable. During the six months ended June 30, 2021, the Company wrote off a discontinued software development project, resulting in an immaterial impairment charge.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its rebranding efforts, the Company made a decision at the end of 2019 to phase out a trade name by the end of 2020, which as of December 31, 2019 would have been recognized over a weighted average life of 7.5 years. In the second quarter of 2020, the Company further accelerated its rebranding plan and shortened the estimated remaining life of the trade name. Total accelerated amortization resulting from the changes in the estimated remaining life of the trade name were $1.4 million, or $0.04 per share, and $2.1 million, or $0.06 per share, for the three and six months ended June 30, 2020,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4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5"/>
          </w:tcPr>
          <w:p>
            <w:pPr>
              <w:ind w:left="52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22"/>
                <w:szCs w:val="22"/>
                <w:color w:val="auto"/>
              </w:rPr>
            </w:pPr>
          </w:p>
        </w:tc>
        <w:tc>
          <w:tcPr>
            <w:tcW w:w="2220" w:type="dxa"/>
            <w:vAlign w:val="bottom"/>
            <w:gridSpan w:val="4"/>
          </w:tcPr>
          <w:p>
            <w:pPr>
              <w:ind w:left="30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4"/>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4"/>
              </w:rPr>
              <w:t>Debt</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85"/>
              </w:rPr>
              <w:t>Issuance</w:t>
            </w: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Costs</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(amounts in thousands)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Term Loan, interest of 6.50% at June 30, 2021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(4,212)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Senior Secured Asset-Based Loan, interest of 4.10% and 2.73% at June 30, 2021 and</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53,408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w w:val="94"/>
              </w:rPr>
              <w:t>(1,063)</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 respectively</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Note Payable, interest of 2.00% per annum</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118,415</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58,259</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4"/>
              </w:rPr>
              <w:t>(1,063)</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Less current portion - note payable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 term loan</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114,989</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55,834</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94"/>
              </w:rPr>
              <w:t>(1,063)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of June 30, 2021 and December 31, 2020, the current portion of the note payable and the term loan is included in current portion of debt on the condensed consolidated balance sheets. The Company has elected to present the debt issuance costs associated with its revolving line-of-credit as an asset, which is included in other non-current assets on the condensed consolidated balance sheets. In addition, the non-current portion of the note payable as of December 31, 2020 is included in other long-term liabilities on the condensed consolidated balance sheets. As a result, the long-term debt in the above table will not agree to long-term debt, net of current portion on the condensed consolidated balance sheets herein.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w w:val="99"/>
              </w:rPr>
              <w:t>As of June 30, 2021, the aggregate schedule for maturities of debt are as follows: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Term Loan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Senior Secured</w:t>
            </w:r>
          </w:p>
        </w:tc>
        <w:tc>
          <w:tcPr>
            <w:tcW w:w="180" w:type="dxa"/>
            <w:vAlign w:val="bottom"/>
          </w:tcPr>
          <w:p>
            <w:pPr>
              <w:spacing w:after="0"/>
              <w:rPr>
                <w:sz w:val="24"/>
                <w:szCs w:val="24"/>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5"/>
              </w:rPr>
              <w:t>Note Payable</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7"/>
              </w:rPr>
              <w:t>Asset-Based Loan</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(amounts in thousands)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Through Years Ending December 31:</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4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2021 Term Loan Credit Agreement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8, 2021, the Company entered into a Term Loan Credit Agreement (Term Loan Agreement) with Blackstone with Wilmington Trust, National Association as agent, pursuant to which the lenders party thereto extended to the Company a six-year second lien subordinated term loan in the amount of $100.0 million (term loan). The term loan has an interest rate of one-month LIBOR plus 5.75% per annum, subject to a 0.75% LIBOR floor. The term loan was used to pay the cash consideration, as well as any costs, fees, and expenses in connection with the WSG acquisition (see Note 4 - Acquisition), with the remainder used to pay down a portion of the asset based credit facility. Fees paid in connection with the Term Loan Agreement have been included as debt issuance costs and as a reduction to the carrying amount of the Term Loan and are expected to be amortized to interest expense over the term of the Term Loan Agreement.</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borrowings under the Term Loan Agreement generally bear interest at a variable rate based on either LIBOR or Base Rate and are subject to mandatory prepayments of principal payable in quarterly installments, commencing on September 30, 2021, with each installment being in the aggregate principal amount of $250,000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June 30, 2021. Obligations under the Term Loan Agreement are secured by substantially all the assets of the borrowers and guarantors under the Term Loan Agreement, subject to customary exceptions.</w:t>
      </w:r>
    </w:p>
    <w:p>
      <w:pPr>
        <w:spacing w:after="0" w:line="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Loan Agreement also contains customary events of default. If an event of default under the Term Loan Agreement occurs and is continuing, then the administrative agent or the requisite lenders may declare any outstanding obligations under the Term Loan Agreement to be immediately due and payable. In addition, the Company or any of its subsidiaries becoming the subject of voluntary or involuntary proceedings under any bankruptcy, insolvency or similar law, constitutes an event of default under the Term Loan Agreement.</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term loan is secured by a second-priority security interest in the collateral as defined in the ABL Credit Agreement (as described below), and Wells Fargo Bank, National Association as agent, as amended by the First Amendment, Second Amendment, and Third Amendment to the ABL Credit Agreement (as described below). The lien priority, relative rights, and other creditors’ rights issues in respect of the collateral lenders are set forth in the Intercreditor Agreement, by and among Wells Fargo Bank, National Association, as first lien agent, and Wilmington Trust, National Association, as second lien agent, as amended, restated, amended and restated, supplemented or otherwise modified from time to time in accordance with the terms hereof and thereof dated June 8, 2021 (Intercreditor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ABL Credit Agreement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October 25, 2019, the Company terminated its commitments under its prior senior credit facility entered into in August 2017 and entered into an ABL Credit Agreement (Loan Agreement). The Loan Agreement provides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June 30, 2020, the Company amended its Loan Agreement (First Amendment), which increased the current aggregate committed size of the ABL from $120.0 million to $130.0 million. All other terms, conditions, covenants, and pricing of the Loan Agreement remained the same.</w:t>
      </w:r>
    </w:p>
    <w:p>
      <w:pPr>
        <w:spacing w:after="0" w:line="3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These amendments were treated as modifications of debt and, as a result, the associated fees and costs were included in debt issuance costs and will be amortized ratably over the remaining term of the agreement.</w:t>
      </w:r>
    </w:p>
    <w:p>
      <w:pPr>
        <w:spacing w:after="0" w:line="6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Availability of the ABL commitments is subject to a borrowing base of up to 85% of secured eligible accounts receivable, subject to adjustment at certain quality levels, plus an amount of Supplemental Availability, reducing over time in accordance with the terms of the Loan Agreement, minus customary reserves, and subject to customary adjustments. Revolving loans and letters of credit issued under the Loan Agreement reduce availability under the ABL on a dollar-for-dollar basis. Availability under the ABL will be used for general corporate purposes. At June 30, 2021, availability under the ABL was $150.0 million and the Company had $16.0 million of borrowings drawn, as well as $18.5 million of letters of credit outstanding related to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workers' compensation and professional liability policies, leaving $115.5 million available for borrowing.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June 30, 2021, the interest rate spreads and fees under the Loan Agreement were based on LIBOR plus 1.75% for the revolving portion of the borrowing base and LIBOR plus 4.00% on the Supplemental Availability. The Base Rate (as defined by the Loan Agreement) margins would have been 0.75% and 3.00%, respectively, for the revolving portion and Supplemental Availability, respectively. The LIBOR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Loan Agreement contains various restrictions and covenants applicable to the Company and its subsidiaries, including a covenant to maintain a minimum fixed charge coverage ratio. The Company was in compliance with this covenant as of June 30, 2021. Obligations under the ABL are secured by substantially all the assets of the borrowers and guarantors, subject to customary exceptions.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the first quarter of 2020, the Company entered into a note payable of $7.3 million related to contingent consideration assumed as part of a prior period acquisition, payable in three installments. The first two installments of $2.4 million each were paid in the second quarter of 2020 and in the first quarter of 2021, respectively. The third installment of $2.5 million is to be paid, together with interest at a rate of 2% per annum, accruing from April 1, 2020, on January 31, 2022. At June 30, 2021, the note payable balance is included in current portion of debt on the condensed consolidated balance sheets.</w:t>
      </w:r>
    </w:p>
    <w:p>
      <w:pPr>
        <w:spacing w:after="0" w:line="2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LEASES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Company's lease population of its right-of-use asset and lease liabilities under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of the FASB ASC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Beginning in the second quarter of 2020, in connection with the continuing developments from COVID-19, the Company expedited restructuring plans and either reduced or fully vacated leased office space. The Company is in the process of seeking to sublet some of the space where possible. The decision and change in the use of space resulted in a right-of-use asset impairment charge of $1.7 million and $3.8 million for the three months ended June 20, 2021 and 2020, respectively. This loss was determined by comparing the fair value of the impacted right-of-use assets to the carrying value of the assets as of the impairment measurement date, in accordance with the Property, Plant and Equipment Topic of the FASB ASC. The fair value of the right-of-use assets was based on the estimated sublease income for the space taking into consideration the time period it will take to obtain a subtenant, the applicable discount rate, and the sublease rate. For the three months ended June 30, 2021 and 2020, respectively, the Company wrote off a total of $0.2 million and $0.7 million of leasehold improvements and other property and equipment related to these locations. The measurement of the right-of-use asset impairments, using the assumptions described, is a level 3 fair value measurement.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Condensed Consolidated Balance Sheets: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2021</w:t>
            </w:r>
          </w:p>
        </w:tc>
        <w:tc>
          <w:tcPr>
            <w:tcW w:w="8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340" w:type="dxa"/>
            <w:vAlign w:val="bottom"/>
            <w:gridSpan w:val="2"/>
          </w:tcPr>
          <w:p>
            <w:pPr>
              <w:jc w:val="right"/>
              <w:ind w:right="550"/>
              <w:spacing w:after="0"/>
              <w:rPr>
                <w:sz w:val="20"/>
                <w:szCs w:val="20"/>
                <w:color w:val="auto"/>
              </w:rPr>
            </w:pPr>
            <w:r>
              <w:rPr>
                <w:rFonts w:ascii="Arial" w:cs="Arial" w:eastAsia="Arial" w:hAnsi="Arial"/>
                <w:sz w:val="18"/>
                <w:szCs w:val="18"/>
                <w:color w:val="auto"/>
                <w:w w:val="89"/>
              </w:rPr>
              <w:t>(amounts in thousands)</w:t>
            </w:r>
          </w:p>
        </w:tc>
        <w:tc>
          <w:tcPr>
            <w:tcW w:w="120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right-of-use assets </w:t>
            </w:r>
            <w:r>
              <w:rPr>
                <w:rFonts w:ascii="Arial" w:cs="Arial" w:eastAsia="Arial" w:hAnsi="Arial"/>
                <w:sz w:val="23"/>
                <w:szCs w:val="23"/>
                <w:color w:val="auto"/>
                <w:vertAlign w:val="superscript"/>
              </w:rPr>
              <w:t>(a)</w:t>
            </w:r>
          </w:p>
        </w:tc>
        <w:tc>
          <w:tcPr>
            <w:tcW w:w="182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8,625</w:t>
            </w:r>
          </w:p>
        </w:tc>
        <w:tc>
          <w:tcPr>
            <w:tcW w:w="15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w:t>
            </w:r>
          </w:p>
        </w:tc>
      </w:tr>
      <w:tr>
        <w:trPr>
          <w:trHeight w:val="230"/>
        </w:trPr>
        <w:tc>
          <w:tcPr>
            <w:tcW w:w="5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liabilities - current </w:t>
            </w:r>
            <w:r>
              <w:rPr>
                <w:rFonts w:ascii="Arial" w:cs="Arial" w:eastAsia="Arial" w:hAnsi="Arial"/>
                <w:sz w:val="23"/>
                <w:szCs w:val="23"/>
                <w:color w:val="auto"/>
                <w:vertAlign w:val="superscript"/>
              </w:rPr>
              <w:t>(a)</w:t>
            </w:r>
          </w:p>
        </w:tc>
        <w:tc>
          <w:tcPr>
            <w:tcW w:w="1820" w:type="dxa"/>
            <w:vAlign w:val="bottom"/>
          </w:tcPr>
          <w:p>
            <w:pPr>
              <w:jc w:val="right"/>
              <w:ind w:right="16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4,381</w:t>
            </w:r>
          </w:p>
        </w:tc>
        <w:tc>
          <w:tcPr>
            <w:tcW w:w="150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4,509</w:t>
            </w:r>
          </w:p>
        </w:tc>
      </w:tr>
      <w:tr>
        <w:trPr>
          <w:trHeight w:val="229"/>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liabilities - non-current </w:t>
            </w:r>
            <w:r>
              <w:rPr>
                <w:rFonts w:ascii="Arial" w:cs="Arial" w:eastAsia="Arial" w:hAnsi="Arial"/>
                <w:sz w:val="23"/>
                <w:szCs w:val="23"/>
                <w:color w:val="auto"/>
                <w:vertAlign w:val="superscript"/>
              </w:rPr>
              <w:t>(a)</w:t>
            </w:r>
          </w:p>
        </w:tc>
        <w:tc>
          <w:tcPr>
            <w:tcW w:w="182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13,467</w:t>
            </w:r>
          </w:p>
        </w:tc>
        <w:tc>
          <w:tcPr>
            <w:tcW w:w="15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2021</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9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 years</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years</w:t>
            </w:r>
          </w:p>
        </w:tc>
      </w:tr>
      <w:tr>
        <w:trPr>
          <w:trHeight w:val="230"/>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740" w:type="dxa"/>
            <w:vAlign w:val="bottom"/>
          </w:tcPr>
          <w:p>
            <w:pPr>
              <w:jc w:val="right"/>
              <w:spacing w:after="0"/>
              <w:rPr>
                <w:sz w:val="20"/>
                <w:szCs w:val="20"/>
                <w:color w:val="auto"/>
              </w:rPr>
            </w:pPr>
            <w:r>
              <w:rPr>
                <w:rFonts w:ascii="Arial" w:cs="Arial" w:eastAsia="Arial" w:hAnsi="Arial"/>
                <w:sz w:val="18"/>
                <w:szCs w:val="18"/>
                <w:color w:val="auto"/>
              </w:rPr>
              <w:t>6.37 %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6.32 %</w:t>
            </w:r>
          </w:p>
        </w:tc>
      </w:tr>
      <w:tr>
        <w:trPr>
          <w:trHeight w:val="296"/>
        </w:trPr>
        <w:tc>
          <w:tcPr>
            <w:tcW w:w="5700" w:type="dxa"/>
            <w:vAlign w:val="bottom"/>
          </w:tcPr>
          <w:p>
            <w:pPr>
              <w:spacing w:after="0"/>
              <w:rPr>
                <w:sz w:val="20"/>
                <w:szCs w:val="20"/>
                <w:color w:val="auto"/>
              </w:rPr>
            </w:pPr>
            <w:r>
              <w:rPr>
                <w:rFonts w:ascii="Arial" w:cs="Arial" w:eastAsia="Arial" w:hAnsi="Arial"/>
                <w:sz w:val="18"/>
                <w:szCs w:val="18"/>
                <w:b w:val="1"/>
                <w:bCs w:val="1"/>
                <w:color w:val="auto"/>
              </w:rPr>
              <w:t>________________</w:t>
            </w:r>
          </w:p>
        </w:tc>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770"/>
        </w:trPr>
        <w:tc>
          <w:tcPr>
            <w:tcW w:w="7620" w:type="dxa"/>
            <w:vAlign w:val="bottom"/>
            <w:gridSpan w:val="2"/>
          </w:tcPr>
          <w:p>
            <w:pPr>
              <w:jc w:val="right"/>
              <w:ind w:right="1810"/>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15"/>
        </w:trPr>
        <w:tc>
          <w:tcPr>
            <w:tcW w:w="57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right="120" w:firstLine="8"/>
        <w:spacing w:after="0" w:line="277"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include lease assets and liabilities related to the eight locations added as part of the acquisition of WSG: operating lease right-of-use assets of $1.1 million, operating lease current liabilities of $0.3 million, and operating lease non-current liabilities of $0.8 million.</w:t>
      </w:r>
    </w:p>
    <w:p>
      <w:pPr>
        <w:spacing w:after="0" w:line="197"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(which do not include short-term leases) recorded on the condensed consolidated balance sheets as of June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3"/>
          </w:tcPr>
          <w:p>
            <w:pPr>
              <w:jc w:val="right"/>
              <w:ind w:right="370"/>
              <w:spacing w:after="0"/>
              <w:rPr>
                <w:sz w:val="20"/>
                <w:szCs w:val="20"/>
                <w:color w:val="auto"/>
              </w:rPr>
            </w:pPr>
            <w:r>
              <w:rPr>
                <w:rFonts w:ascii="Arial" w:cs="Arial" w:eastAsia="Arial" w:hAnsi="Arial"/>
                <w:sz w:val="18"/>
                <w:szCs w:val="18"/>
                <w:color w:val="auto"/>
              </w:rPr>
              <w:t>(amounts in thousands)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2022</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2024</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Arial" w:cs="Arial" w:eastAsia="Arial" w:hAnsi="Arial"/>
                <w:sz w:val="18"/>
                <w:szCs w:val="18"/>
                <w:color w:val="auto"/>
              </w:rPr>
              <w:t>Total minimum lease payments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amount of lease payments representing interest</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Arial" w:cs="Arial" w:eastAsia="Arial" w:hAnsi="Arial"/>
                <w:sz w:val="18"/>
                <w:szCs w:val="18"/>
                <w:color w:val="auto"/>
              </w:rPr>
              <w:t>Present value of future minimum lease payments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operating lease liabilities - current</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Arial" w:cs="Arial" w:eastAsia="Arial" w:hAnsi="Arial"/>
                <w:sz w:val="18"/>
                <w:szCs w:val="18"/>
                <w:color w:val="auto"/>
              </w:rPr>
              <w:t>Operating lease liabilities - non-current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80" w:type="dxa"/>
            <w:vAlign w:val="bottom"/>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2020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3,189</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 acquired under operating lease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1,078</w:t>
            </w:r>
          </w:p>
        </w:tc>
        <w:tc>
          <w:tcPr>
            <w:tcW w:w="9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728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2020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Amounts Included in Condensed Consolidated Statements of Operations: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expense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938</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641</w:t>
            </w:r>
          </w:p>
        </w:tc>
        <w:tc>
          <w:tcPr>
            <w:tcW w:w="9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Variable and other lease costs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751</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4"/>
        </w:trPr>
        <w:tc>
          <w:tcPr>
            <w:tcW w:w="7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2020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Amounts Included in Condensed Consolidated Statements of Operations: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expense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1,852</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1,490</w:t>
            </w:r>
          </w:p>
        </w:tc>
        <w:tc>
          <w:tcPr>
            <w:tcW w:w="9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Variable and other lease costs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1,220</w:t>
            </w: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right="140"/>
        <w:spacing w:after="0" w:line="255" w:lineRule="auto"/>
        <w:rPr>
          <w:sz w:val="20"/>
          <w:szCs w:val="20"/>
          <w:color w:val="auto"/>
        </w:rPr>
      </w:pPr>
      <w:r>
        <w:rPr>
          <w:rFonts w:ascii="Arial" w:cs="Arial" w:eastAsia="Arial" w:hAnsi="Arial"/>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depending on the nature of the leased asset. Operating lease expense is reported net of sublease income, which is not material.</w:t>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of June 30, 2021, the Company does not have any material operating leases which have not yet commenced. The Company has an immaterial amount of finance lease contracts related to other equipment rentals which are not included in the above disclosures.</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Level 1 prices, such as quoted prices for similar assets or liabilities; quoted prices in markets that are not active;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inputs 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Company’s financial assets/liabilities required to be measured on a recurring basis were its: (i) deferred compensation asset included in other non-current assets; and (ii) deferred compensation liability included in other long-term liabilities on its condensed consolidated balance sheets.</w:t>
      </w:r>
    </w:p>
    <w:p>
      <w:pPr>
        <w:spacing w:after="0" w:line="15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Value Measurements</w:t>
      </w:r>
    </w:p>
    <w:p>
      <w:pPr>
        <w:spacing w:after="0" w:line="50" w:lineRule="exact"/>
        <w:rPr>
          <w:sz w:val="20"/>
          <w:szCs w:val="20"/>
          <w:color w:val="auto"/>
        </w:rPr>
      </w:pPr>
    </w:p>
    <w:p>
      <w:pPr>
        <w:ind w:left="7220"/>
        <w:spacing w:after="0"/>
        <w:tabs>
          <w:tab w:leader="none" w:pos="9380" w:val="left"/>
        </w:tabs>
        <w:rPr>
          <w:sz w:val="20"/>
          <w:szCs w:val="20"/>
          <w:color w:val="auto"/>
        </w:rPr>
      </w:pPr>
      <w:r>
        <w:rPr>
          <w:rFonts w:ascii="Arial" w:cs="Arial" w:eastAsia="Arial" w:hAnsi="Arial"/>
          <w:sz w:val="18"/>
          <w:szCs w:val="18"/>
          <w:b w:val="1"/>
          <w:bCs w:val="1"/>
          <w:color w:val="auto"/>
        </w:rPr>
        <w:t>June 30, 2021</w:t>
      </w:r>
      <w:r>
        <w:rPr>
          <w:sz w:val="20"/>
          <w:szCs w:val="20"/>
          <w:color w:val="auto"/>
        </w:rPr>
        <w:tab/>
      </w:r>
      <w:r>
        <w:rPr>
          <w:rFonts w:ascii="Arial" w:cs="Arial" w:eastAsia="Arial" w:hAnsi="Arial"/>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(amounts in thousands)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31"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Arial" w:cs="Arial" w:eastAsia="Arial" w:hAnsi="Arial"/>
          <w:sz w:val="18"/>
          <w:szCs w:val="18"/>
          <w:color w:val="auto"/>
        </w:rPr>
        <w:t>Deferred compensation asset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1,326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32"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Arial" w:cs="Arial" w:eastAsia="Arial" w:hAnsi="Arial"/>
          <w:sz w:val="18"/>
          <w:szCs w:val="18"/>
          <w:color w:val="auto"/>
        </w:rPr>
        <w:t>Deferred compensation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2,699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0576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three and six months ended June 30, 2021 and 2020 included impairment charges to right-of-use assets along with related property and equipment in connection with leases that were vacated during the quarter. The three and six months ended June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1" w:name="page22"/>
    <w:bookmarkEnd w:id="21"/>
    <w:p>
      <w:pPr>
        <w:spacing w:after="0" w:line="263" w:lineRule="auto"/>
        <w:rPr>
          <w:sz w:val="20"/>
          <w:szCs w:val="20"/>
          <w:color w:val="auto"/>
        </w:rPr>
      </w:pPr>
      <w:r>
        <w:rPr>
          <w:rFonts w:ascii="Arial" w:cs="Arial" w:eastAsia="Arial" w:hAnsi="Arial"/>
          <w:sz w:val="18"/>
          <w:szCs w:val="18"/>
          <w:color w:val="auto"/>
        </w:rPr>
        <w:t>30, 2020 also included impairment charges to goodwill and other intangible assets related to the Search reporting unit. Accordingly, as of June 30, 2021 and 2020, these assets were recorded at fair value using level 3 inputs. See Note 7 - Goodwill, Trade Names, and Other Intangible Assets and Note 9 - Leases for more information about these fair value measurements.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(i) note payable, (ii) ABL, (iii) term loan, and (iv) contingent consideration liability, as discussed below.</w:t>
      </w:r>
    </w:p>
    <w:p>
      <w:pPr>
        <w:spacing w:after="0" w:line="199" w:lineRule="exact"/>
        <w:rPr>
          <w:sz w:val="20"/>
          <w:szCs w:val="20"/>
          <w:color w:val="auto"/>
        </w:rPr>
      </w:pPr>
    </w:p>
    <w:p>
      <w:pPr>
        <w:ind w:right="40" w:firstLine="8"/>
        <w:spacing w:after="0" w:line="254" w:lineRule="auto"/>
        <w:tabs>
          <w:tab w:leader="none" w:pos="21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paid the second installment on its note payable in the first quarter of 2021. The remaining balance is included in current portion of debt on the condensed consolidated balance sheets. Due to its relatively short-term nature, the carrying value of the note payable approximates its fair value. (ii) The carrying amount of the Company's ABL approximates fair value because the interest rates are variable and reflective of market rates. (iii) Due to the short proximity of time since the Company entered into the Term Loan Agreement, the carrying amount of its term loan approximates fair value at June 30, 2021. (iv) Potential earnout payments related to the WSG acquisition are contingent upon meeting certain performance requirements based on 2021 through 2023 performance. The Company performed an analysis using multiple forecasted scenarios to determine the fair value of the contingent consideration liability. The contingent consideration liability's carrying amount approximates fair value and is included in long-term contingent consideration on the condensed consolidated balance sheets.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 2021</w:t>
            </w:r>
          </w:p>
        </w:tc>
        <w:tc>
          <w:tcPr>
            <w:tcW w:w="1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2020</w:t>
            </w:r>
          </w:p>
        </w:tc>
        <w:tc>
          <w:tcPr>
            <w:tcW w:w="1080" w:type="dxa"/>
            <w:vAlign w:val="bottom"/>
            <w:tcBorders>
              <w:bottom w:val="single" w:sz="8" w:color="auto"/>
            </w:tcBorders>
          </w:tcPr>
          <w:p>
            <w:pPr>
              <w:spacing w:after="0"/>
              <w:rPr>
                <w:sz w:val="20"/>
                <w:szCs w:val="20"/>
                <w:color w:val="auto"/>
              </w:rPr>
            </w:pPr>
          </w:p>
        </w:tc>
      </w:tr>
      <w:tr>
        <w:trPr>
          <w:trHeight w:val="169"/>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Carrying</w:t>
            </w:r>
          </w:p>
        </w:tc>
        <w:tc>
          <w:tcPr>
            <w:tcW w:w="520" w:type="dxa"/>
            <w:vAlign w:val="bottom"/>
          </w:tcPr>
          <w:p>
            <w:pPr>
              <w:spacing w:after="0"/>
              <w:rPr>
                <w:sz w:val="14"/>
                <w:szCs w:val="14"/>
                <w:color w:val="auto"/>
              </w:rPr>
            </w:pPr>
          </w:p>
        </w:tc>
        <w:tc>
          <w:tcPr>
            <w:tcW w:w="1180" w:type="dxa"/>
            <w:vAlign w:val="bottom"/>
          </w:tcPr>
          <w:p>
            <w:pPr>
              <w:jc w:val="center"/>
              <w:ind w:right="431"/>
              <w:spacing w:after="0" w:line="169"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Carrying</w:t>
            </w:r>
          </w:p>
        </w:tc>
        <w:tc>
          <w:tcPr>
            <w:tcW w:w="620" w:type="dxa"/>
            <w:vAlign w:val="bottom"/>
          </w:tcPr>
          <w:p>
            <w:pPr>
              <w:spacing w:after="0"/>
              <w:rPr>
                <w:sz w:val="14"/>
                <w:szCs w:val="14"/>
                <w:color w:val="auto"/>
              </w:rPr>
            </w:pPr>
          </w:p>
        </w:tc>
        <w:tc>
          <w:tcPr>
            <w:tcW w:w="1080" w:type="dxa"/>
            <w:vAlign w:val="bottom"/>
          </w:tcPr>
          <w:p>
            <w:pPr>
              <w:jc w:val="right"/>
              <w:ind w:right="590"/>
              <w:spacing w:after="0" w:line="169" w:lineRule="exact"/>
              <w:rPr>
                <w:sz w:val="20"/>
                <w:szCs w:val="20"/>
                <w:color w:val="auto"/>
              </w:rPr>
            </w:pPr>
            <w:r>
              <w:rPr>
                <w:rFonts w:ascii="Arial" w:cs="Arial" w:eastAsia="Arial" w:hAnsi="Arial"/>
                <w:sz w:val="18"/>
                <w:szCs w:val="18"/>
                <w:b w:val="1"/>
                <w:bCs w:val="1"/>
                <w:color w:val="auto"/>
              </w:rPr>
              <w:t>Fair</w:t>
            </w:r>
          </w:p>
        </w:tc>
      </w:tr>
      <w:tr>
        <w:trPr>
          <w:trHeight w:val="230"/>
        </w:trPr>
        <w:tc>
          <w:tcPr>
            <w:tcW w:w="3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8"/>
                <w:szCs w:val="18"/>
                <w:b w:val="1"/>
                <w:bCs w:val="1"/>
                <w:color w:val="auto"/>
                <w:w w:val="87"/>
              </w:rPr>
              <w:t>Value</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7"/>
              </w:rPr>
              <w:t>Value</w:t>
            </w: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300" w:type="dxa"/>
            <w:vAlign w:val="bottom"/>
            <w:gridSpan w:val="5"/>
            <w:shd w:val="clear" w:color="auto" w:fill="CCEEFF"/>
          </w:tcPr>
          <w:p>
            <w:pPr>
              <w:ind w:left="540"/>
              <w:spacing w:after="0"/>
              <w:rPr>
                <w:sz w:val="20"/>
                <w:szCs w:val="20"/>
                <w:color w:val="auto"/>
              </w:rPr>
            </w:pPr>
            <w:r>
              <w:rPr>
                <w:rFonts w:ascii="Arial" w:cs="Arial" w:eastAsia="Arial" w:hAnsi="Arial"/>
                <w:sz w:val="16"/>
                <w:szCs w:val="16"/>
                <w:color w:val="auto"/>
              </w:rPr>
              <w:t>(amounts in thousands)</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7"/>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Note Payable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20" w:type="dxa"/>
            <w:vAlign w:val="bottom"/>
          </w:tcPr>
          <w:p>
            <w:pPr>
              <w:ind w:left="220"/>
              <w:spacing w:after="0" w:line="203" w:lineRule="exact"/>
              <w:rPr>
                <w:sz w:val="20"/>
                <w:szCs w:val="20"/>
                <w:color w:val="auto"/>
              </w:rPr>
            </w:pPr>
            <w:r>
              <w:rPr>
                <w:rFonts w:ascii="Arial" w:cs="Arial" w:eastAsia="Arial" w:hAnsi="Arial"/>
                <w:sz w:val="18"/>
                <w:szCs w:val="18"/>
                <w:color w:val="auto"/>
              </w:rPr>
              <w:t>Senior Secured Asset-Based Loan</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15,989</w:t>
            </w:r>
          </w:p>
        </w:tc>
        <w:tc>
          <w:tcPr>
            <w:tcW w:w="2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15,989</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53,408</w:t>
            </w:r>
          </w:p>
        </w:tc>
        <w:tc>
          <w:tcPr>
            <w:tcW w:w="200" w:type="dxa"/>
            <w:vAlign w:val="bottom"/>
          </w:tcPr>
          <w:p>
            <w:pPr>
              <w:spacing w:after="0"/>
              <w:rPr>
                <w:sz w:val="17"/>
                <w:szCs w:val="17"/>
                <w:color w:val="auto"/>
              </w:rPr>
            </w:pPr>
          </w:p>
        </w:tc>
        <w:tc>
          <w:tcPr>
            <w:tcW w:w="6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53,408</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Term Loan,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203"/>
        </w:trPr>
        <w:tc>
          <w:tcPr>
            <w:tcW w:w="3820" w:type="dxa"/>
            <w:vAlign w:val="bottom"/>
          </w:tcPr>
          <w:p>
            <w:pPr>
              <w:ind w:left="220"/>
              <w:spacing w:after="0" w:line="203" w:lineRule="exact"/>
              <w:rPr>
                <w:sz w:val="20"/>
                <w:szCs w:val="20"/>
                <w:color w:val="auto"/>
              </w:rPr>
            </w:pPr>
            <w:r>
              <w:rPr>
                <w:rFonts w:ascii="Arial" w:cs="Arial" w:eastAsia="Arial" w:hAnsi="Arial"/>
                <w:sz w:val="18"/>
                <w:szCs w:val="18"/>
                <w:color w:val="auto"/>
              </w:rPr>
              <w:t>Contingent Consideration</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15,000</w:t>
            </w:r>
          </w:p>
        </w:tc>
        <w:tc>
          <w:tcPr>
            <w:tcW w:w="2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15,000</w:t>
            </w:r>
          </w:p>
        </w:tc>
        <w:tc>
          <w:tcPr>
            <w:tcW w:w="2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1"/>
        </w:trPr>
        <w:tc>
          <w:tcPr>
            <w:tcW w:w="3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180" w:lineRule="exact"/>
        <w:rPr>
          <w:sz w:val="20"/>
          <w:szCs w:val="20"/>
          <w:color w:val="auto"/>
        </w:rPr>
      </w:pPr>
    </w:p>
    <w:p>
      <w:pPr>
        <w:ind w:right="8520" w:firstLine="8"/>
        <w:spacing w:after="0" w:line="518" w:lineRule="auto"/>
        <w:tabs>
          <w:tab w:leader="none" w:pos="39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six months ended June 30, 2021 and 2020, the Company did not repurchase any shares of its common stock. As of June 30, 2021, the Company has 510,004 shares of common stock under the current share repurchase program available to repurchase, subject to certain conditions in the Company's ABL Credit Agreement and Term Loan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19, 2020, the Company's shareholders approved the Cross Country Healthcare, Inc. 2020 Omnibus Incentive Plan (2020 Plan), which replaced the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t>employee directors, based on type of award; (3) awards granted generally will be subject to a minimum one-year vesting schedule; and (4) awards may be granted under the 2020 Plan until March 24, 2030.</w:t>
      </w:r>
    </w:p>
    <w:p>
      <w:pPr>
        <w:spacing w:after="0" w:line="19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and the 2020 Plan (Plans) for the six months ended June 30,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40" w:type="dxa"/>
            <w:vAlign w:val="bottom"/>
            <w:gridSpan w:val="5"/>
          </w:tcPr>
          <w:p>
            <w:pPr>
              <w:ind w:left="620"/>
              <w:spacing w:after="0"/>
              <w:rPr>
                <w:sz w:val="20"/>
                <w:szCs w:val="20"/>
                <w:color w:val="auto"/>
              </w:rPr>
            </w:pPr>
            <w:r>
              <w:rPr>
                <w:rFonts w:ascii="Arial" w:cs="Arial" w:eastAsia="Arial" w:hAnsi="Arial"/>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5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7"/>
              </w:rPr>
              <w:t>Average</w:t>
            </w: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Number of 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January 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1,345,819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483,900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168,324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(651,182)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(136,506)</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(194,309)</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June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1,042,031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522,166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5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Awards granted to non-employee directors under the 2017 Plan prior to the June 2020 grant vest in three equal installments on the first, second and third anniversaries of the grant date, while restricted shares granted under the 2020 Plan on and subsequent to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Plans, the number of target shares that are issued for performance-based stock awards are determined based on the level of attainment of the targets. In the first quarter of 2021, it was determined that the performance stock awards that were granted in 2018 were not earned and, accordingly, those shares were forfeited.</w:t>
      </w:r>
    </w:p>
    <w:p>
      <w:pPr>
        <w:spacing w:after="0" w:line="211"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color w:val="auto"/>
        </w:rPr>
        <w:t>During the three and six months ended June 30, 2021, $2.1 million and $3.5 million, respectively, was included in selling, general and administrative expenses related to share-based payments, and a net of 159,025 and 476,630 shares, respectively, of common stock were issued upon the vesting of restricted stock.</w:t>
      </w:r>
    </w:p>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and six months ended June 30, 2020, $2.1 million and $3.0 million, respectively, was included in selling, general and administrative expenses related to share-based payments, and a net of 82,482 and 303,974 shares, respectively, of common stock were issued upon the vesting of restricted stock.</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SEGMENT DATA</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first quarter of 2021, the Company modified its disclosures of reportable segments to better align with its management structure and to reflect how the operating results are regularly reviewed by the chief operating decision maker. As a result, the two reportable segments are now Nurse and Allied Staffing and Physician Staffing, and the results of the Search segment have been consolidated within Nurse and Allied Staffing for all periods presented. The Company’s segments offer services to its customers as described below:</w:t>
      </w:r>
    </w:p>
    <w:p>
      <w:pPr>
        <w:spacing w:after="0" w:line="214" w:lineRule="exact"/>
        <w:rPr>
          <w:sz w:val="20"/>
          <w:szCs w:val="20"/>
          <w:color w:val="auto"/>
        </w:rPr>
      </w:pPr>
    </w:p>
    <w:p>
      <w:pPr>
        <w:ind w:left="660" w:hanging="328"/>
        <w:spacing w:after="0" w:line="293" w:lineRule="auto"/>
        <w:tabs>
          <w:tab w:leader="none" w:pos="62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Nurse and Allied Staffing </w:t>
      </w:r>
      <w:r>
        <w:rPr>
          <w:rFonts w:ascii="Arial" w:cs="Arial" w:eastAsia="Arial" w:hAnsi="Arial"/>
          <w:sz w:val="16"/>
          <w:szCs w:val="16"/>
          <w:color w:val="auto"/>
        </w:rPr>
        <w:t>– Nurse and Allied Staffing provides traditional staffing, recruiting, and value-added total talent solutions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temporary and permanent placement of travel and local nurse and allied professionals, managed services programs (MSP) services, education healthcare services, in-home care services, and outsourcing services. In addition, Nurse and Allied Staffing provides retained search services for healthcare professionals, as well as contingent search and recruitment process outsourcing services. Its clients include: public and private acute-care and non-acute care hospitals, government facilities, local and national healthcare plans, managed care providers, public schools and charter schools, outpatient clinics, ambulatory care facilities, physician practice groups, and many other healthcare providers throughout the United States.</w:t>
      </w:r>
    </w:p>
    <w:p>
      <w:pPr>
        <w:spacing w:after="0" w:line="191" w:lineRule="exact"/>
        <w:rPr>
          <w:rFonts w:ascii="Arial" w:cs="Arial" w:eastAsia="Arial" w:hAnsi="Arial"/>
          <w:sz w:val="16"/>
          <w:szCs w:val="16"/>
          <w:color w:val="auto"/>
        </w:rPr>
      </w:pPr>
    </w:p>
    <w:p>
      <w:pPr>
        <w:ind w:left="660" w:right="940" w:hanging="328"/>
        <w:spacing w:after="0" w:line="277" w:lineRule="auto"/>
        <w:tabs>
          <w:tab w:leader="none" w:pos="62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provides physicians in many specialties, as well as certified registered nurse anesthetists, nurse</w:t>
      </w:r>
      <w:r>
        <w:rPr>
          <w:rFonts w:ascii="Arial" w:cs="Arial" w:eastAsia="Arial" w:hAnsi="Arial"/>
          <w:sz w:val="18"/>
          <w:szCs w:val="18"/>
          <w:i w:val="1"/>
          <w:iCs w:val="1"/>
          <w:color w:val="auto"/>
        </w:rPr>
        <w:t xml:space="preserve"> </w:t>
      </w:r>
      <w:r>
        <w:rPr>
          <w:rFonts w:ascii="Arial" w:cs="Arial" w:eastAsia="Arial" w:hAnsi="Arial"/>
          <w:sz w:val="18"/>
          <w:szCs w:val="18"/>
          <w:color w:val="auto"/>
        </w:rPr>
        <w:t>practitioners, and physician assistants as independent contractors on temporary assignments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660" w:right="460"/>
        <w:spacing w:after="0" w:line="277" w:lineRule="auto"/>
        <w:rPr>
          <w:sz w:val="20"/>
          <w:szCs w:val="20"/>
          <w:color w:val="auto"/>
        </w:rPr>
      </w:pPr>
      <w:r>
        <w:rPr>
          <w:rFonts w:ascii="Arial" w:cs="Arial" w:eastAsia="Arial" w:hAnsi="Arial"/>
          <w:sz w:val="18"/>
          <w:szCs w:val="18"/>
          <w:color w:val="auto"/>
        </w:rPr>
        <w:t>throughout the United States at various healthcare facilities, such as acute and non-acute care facilities, medical group practices, government facilities, and managed care organizations.</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evaluates performance of each segment primarily based on revenue and contribution income. The Company defines contribution income as income or loss from operations before depreciation and amortization, acquisition and integration-related costs, restructuring costs, legal settlement charges, impairment charges, and corporate overhead. Contribution income is a financial measure used by the Company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4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9"/>
                <w:szCs w:val="19"/>
                <w:color w:val="auto"/>
              </w:rPr>
            </w:pPr>
          </w:p>
        </w:tc>
        <w:tc>
          <w:tcPr>
            <w:tcW w:w="27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6"/>
        </w:trPr>
        <w:tc>
          <w:tcPr>
            <w:tcW w:w="4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60" w:type="dxa"/>
            <w:vAlign w:val="bottom"/>
            <w:gridSpan w:val="3"/>
          </w:tcPr>
          <w:p>
            <w:pPr>
              <w:ind w:left="540"/>
              <w:spacing w:after="0"/>
              <w:rPr>
                <w:sz w:val="20"/>
                <w:szCs w:val="20"/>
                <w:color w:val="auto"/>
              </w:rPr>
            </w:pPr>
            <w:r>
              <w:rPr>
                <w:rFonts w:ascii="Arial" w:cs="Arial" w:eastAsia="Arial" w:hAnsi="Arial"/>
                <w:sz w:val="16"/>
                <w:szCs w:val="16"/>
                <w:color w:val="auto"/>
                <w:w w:val="89"/>
              </w:rPr>
              <w:t>(amounts 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316,188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199,907</w:t>
            </w:r>
          </w:p>
        </w:tc>
        <w:tc>
          <w:tcPr>
            <w:tcW w:w="24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629,196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391,790</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16,872</w:t>
            </w:r>
          </w:p>
        </w:tc>
        <w:tc>
          <w:tcPr>
            <w:tcW w:w="2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35,053</w:t>
            </w:r>
          </w:p>
        </w:tc>
      </w:tr>
      <w:tr>
        <w:trPr>
          <w:trHeight w:val="223"/>
        </w:trPr>
        <w:tc>
          <w:tcPr>
            <w:tcW w:w="4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331,827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216,779</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661,068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426,843</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Contribution income: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33,409</w:t>
            </w:r>
          </w:p>
        </w:tc>
      </w:tr>
      <w:tr>
        <w:trPr>
          <w:trHeight w:val="229"/>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r>
      <w:tr>
        <w:trPr>
          <w:trHeight w:val="223"/>
        </w:trPr>
        <w:tc>
          <w:tcPr>
            <w:tcW w:w="4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20,806</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r>
      <w:tr>
        <w:trPr>
          <w:trHeight w:val="256"/>
        </w:trPr>
        <w:tc>
          <w:tcPr>
            <w:tcW w:w="4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Corporate overhead </w:t>
            </w:r>
            <w:r>
              <w:rPr>
                <w:rFonts w:ascii="Arial" w:cs="Arial" w:eastAsia="Arial" w:hAnsi="Arial"/>
                <w:sz w:val="23"/>
                <w:szCs w:val="23"/>
                <w:color w:val="auto"/>
                <w:vertAlign w:val="superscript"/>
              </w:rPr>
              <w:t>(a)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13,224</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24,494</w:t>
            </w: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7,225</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2,330</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(13,688)</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(14,442)</w:t>
            </w: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right="80" w:firstLine="8"/>
        <w:spacing w:after="0" w:line="260"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1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a result of modifying the Company's reportable segments, revenue in the amount of $1.8 million and $5.5 million, respectively, and contribution loss in the amount of $1.1 million and $1.4 million, respectively, included in the previously-reported Search segment have been reclassified to Nurse and Allied Staffing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tabs>
          <w:tab w:leader="none" w:pos="400" w:val="left"/>
        </w:tabs>
        <w:rPr>
          <w:sz w:val="20"/>
          <w:szCs w:val="20"/>
          <w:color w:val="auto"/>
        </w:rPr>
      </w:pPr>
      <w:r>
        <w:rPr>
          <w:rFonts w:ascii="Arial" w:cs="Arial" w:eastAsia="Arial" w:hAnsi="Arial"/>
          <w:sz w:val="18"/>
          <w:szCs w:val="18"/>
          <w:b w:val="1"/>
          <w:bCs w:val="1"/>
          <w:color w:val="auto"/>
        </w:rPr>
        <w:t>13.</w:t>
        <w:tab/>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For these matters, the Company has established a liability of $0.8 million as of June 30, 2021.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The Company believes the outcome of any outstanding loss contingencies as of June 30, 2021 will not have a material adverse effect on its business, financial condition, results of operations, or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the liability is reflected in sales tax payable within other current liabilities in its condensed consolidated balance sheets.</w:t>
      </w: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For the three and six months ended June 30, 2021 and 2020, the Company calculated its effective tax rate based on year-to-date results, pursuant to the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Topic of the FASB ASC. The Company’s effective tax rate for the three and six months ended June 30, 2021 was 22.5% and 12.1%,</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including the impact of discrete items, and 9.5% and 6.6%, respectively, excluding discrete items. The Company's effective tax rate for the three and six months ended June 30, 2020 was 2.6% and 1.3%, respectively, including the impact of discrete items, and negative 1.3% and negative 2.3%, respectively, excluding discrete items. As a result of the Company's valuation allowance on substantially all of its domestic deferred tax assets, income tax expense for the three and six months ended June 30, 2021 was primarily impacted by international and state taxes and additional valuation allowance required as a result of the WSG acquisition. Income tax expense for the three and six months ended June 30, 2020 was impacted by international and state taxes as well as the impairment of indefinite-lived intangibles.</w:t>
      </w:r>
    </w:p>
    <w:p>
      <w:pPr>
        <w:spacing w:after="0" w:line="20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 xml:space="preserve">As of June 30, 2021 and December 31, 2020, the Company had a valuation allowance of $31.5 million and $37.5 million, respectively. For the six months ended June 30, 2021, the valuation allowance decreased $8.1 million due to the Company's estimate of taxable income. This decrease was partially offset by a $2.1 million increase of the valuation allowance as a result of the WSG acquisition, and in accordance with the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of the FASB ASC, the increase was included in income tax expense. The valuation allowance was recorded against all domestic deferred tax assets not more likely than not to be realized. The Company intends to maintain a valuation allowance until sufficient positive evidence exists to support its reversal.</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June 30, 2021, the Company had approximately $1.0 million of unrecognized tax benefits included in other long-term liabilities, $7.9 million, net of deferred taxes, which would affect the effective tax rate if recognized. During the six months ended June 30, 2021, the Company had gross increases of $0.8 million to its current year unrecognized tax benefits related to federal and state tax positions.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2012 through 2020 remain open to examination by certain taxing jurisdictions to which the Company is subject to tax.</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Prior to December 31, 2020, the Company has a 68% ownership interest in Cross Country Talent Acquisition Group, LLC, a joint venture between the Company and a hospital system. The Company generated revenue providing staffing services to the hospital system of $2.0 million and $7.7 million, respectively, for the three and six months ended June 30, 2020, with no activity for the same periods in 2021. At December 31, 2020, the Company had a receivable balance of $1.7 million and a payable balance of $0.2 million, with no such balances as of June 30, 2021. Effective December 31, 2020, the sole professional staffing services agreement held by its joint venture was terminated, at which time the Company entered into a direct staffing agreement with the hospital system. The Company expects to dissolve Cross Country Talent Acquisition Group, LLC during 2021.</w:t>
      </w:r>
    </w:p>
    <w:p>
      <w:pPr>
        <w:spacing w:after="0" w:line="18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has entered into an arrangement for digital marketing services provided by a firm that is related to Mr. Clark, the Company's Co-Founder &amp; Chief Executive Officer.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and six months ended June 30, 2021 and 2020, the Company incurred an immaterial amount in expenses related to these fees. At June 30, 2021, the Company had an immaterial payable balance due to this entity, and no payable balance at December 31, 2020.</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provides services to a health system affiliated with a member of the Company’s Board of Directors. Management believes the services were conducted on terms equivalent to those prevailing in an arm's-length transaction. Revenue related to these transactions was $0.2 million for both the three and six months ended June 30, 2021, and an immaterial amount for the three and six months ended June 30, 2020. Accounts receivable due from this health system was $0.2 million at June 30, 2021 and an immaterial amount at December 31, 2020.</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result of the WSG acquisition on June 8, 2021, the Company continues to rent WSG's headquarters. The CEO and founder of WSG, and currently a business unit president with the Company, is an agent of the lessor. The lease term is from January 1, 2020 through December 31, 2024. The Company paid an immaterial amount in rent expense for these premises for the month ended June 30, 2021.</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the first quarter of 2020, the Company entered into a note payable of $7.3 million related to contingent consideration assumed as part of a prior period acquisition, payable in three equal installments. The payees of the note are controlled by an employee of the sellers who remained with the Company. The first two installments have been paid, leaving a note payable balance of $2.5 million at June 30, 2021.</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RECENT ACCOUNTING PRONOUNCEMENTS</w:t>
      </w:r>
    </w:p>
    <w:p>
      <w:pPr>
        <w:spacing w:after="0" w:line="25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On March 12, 2020, the FASB issued ASU No.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expedients and exceptions for applying GAAP to contracts, hedging relationships, and other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subject to meeting certain criteria, that reference LIBOR or another reference rate expected to be discontinued. When elected, the optional expedients for contract modifications must be applied consistently for all eligible contracts or transactions. On January 7, 2021, the FASB issued ASU No.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to refine the scope of guidance on reference rate reform to apply to derivatives that are affected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transition. The amendments in these updates are effective as of March 12, 2020 through December 31, 2022. As of June 30, 2021, the Company does not anticipate that this guidance will have a material impact on its consolidated financial statements; however, it will continue to assess the potential impact on its debt contracts and future hedging relationships, if applicable, through the effective period.</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2020 Form 10-K (including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6" w:name="page27"/>
    <w:bookmarkEnd w:id="26"/>
    <w:p>
      <w:pPr>
        <w:ind w:right="360"/>
        <w:spacing w:after="0" w:line="277" w:lineRule="auto"/>
        <w:rPr>
          <w:sz w:val="20"/>
          <w:szCs w:val="20"/>
          <w:color w:val="auto"/>
        </w:rPr>
      </w:pPr>
      <w:r>
        <w:rPr>
          <w:rFonts w:ascii="Arial" w:cs="Arial" w:eastAsia="Arial" w:hAnsi="Arial"/>
          <w:sz w:val="18"/>
          <w:szCs w:val="18"/>
          <w:color w:val="auto"/>
        </w:rPr>
        <w:t>Part I, Item 1A, "Risk Factors"), our financial statements and the accompanying notes to our financial statements, as well as the Risk Factors contained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provide total talent management services, including strategic workforce solutions, contingent staffing, permanent placement, and consultative services for healthcare customers by recruiting and placing highly qualified healthcare professionals in virtually every specialty and area of expertise. Our diverse customer base includes both public and private acute care and non-acute care hospitals, outpatient clinics, ambulatory care facilities, single and multi-specialty physician practices, rehabilitation facilities, urgent care centers, local and national healthcare plans, managed care providers, public and charter schools, correctional facilities, government facilities, pharmacies, and many other healthcare providers. Through our national staffing teams, we offer our workforce solutions and we can place clinicians on travel and per diem assignments, local short-term contracts, and permanent positions. Our workforce solutions include managed service programs (MSPs), internal resource pool (IRP), recruitment process outsourcing (RPO), and other outsourcing and consultative services as described in Item 1. Business in our 2020 Form 10-K. By utilizing our various solutions, customers can better plan their personnel needs, talent acquisition and management processes, strategically flex and balance their workforce, access quality healthcare personnel, and provide continuity of care for improved patient outcomes. We have a longstanding history of investing in our diversity, equality, and inclusion strategic initiatives as a key component of the organization’s overall corporate social responsibility program which is closely aligned with its core values to create a better future for our people, communities, the planet, and our shareholders.</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first quarter of 2021, we modified our reportable segments to reflect the following two business segments: Nurse and Allied Staffing and Physician Staffing. Based on our revised management structure that better aligns with our operations, we aggregated the Search segment in Nurse and Allied Staffing to reflect how the business is evaluated, and the operating results are regularly reviewed by the chief operating decision maker. Prior period data in this “Management’s Discussion and Analysis of Financial Condition and Results of Operations” has been reclassified to conform to the new segment reporting structure.</w:t>
      </w:r>
    </w:p>
    <w:p>
      <w:pPr>
        <w:spacing w:after="0" w:line="215" w:lineRule="exact"/>
        <w:rPr>
          <w:sz w:val="20"/>
          <w:szCs w:val="20"/>
          <w:color w:val="auto"/>
        </w:rPr>
      </w:pPr>
    </w:p>
    <w:p>
      <w:pPr>
        <w:ind w:left="660" w:right="160" w:hanging="328"/>
        <w:spacing w:after="0" w:line="271" w:lineRule="auto"/>
        <w:tabs>
          <w:tab w:leader="none" w:pos="62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represented approximately 95% of our total revenue in the second quarter of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Nurse 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clients such as local and national healthcare plans, managed care providers, public and charter schools, correctional facilities, skilled nursing facilities, and other non-acute settings. In addition, Nurse and Allied Staffing provides retained search services for healthcare professionals, as well as contingent search and recruitment process outsourcing services. We provide flexible workforce solutions to our healthcare customers through diversified offerings designed to meet their unique needs, including: MSP, Optimal Workforce Solutions (OWS), IRP, and consulting services.</w:t>
      </w:r>
    </w:p>
    <w:p>
      <w:pPr>
        <w:spacing w:after="0" w:line="205" w:lineRule="exact"/>
        <w:rPr>
          <w:rFonts w:ascii="Arial" w:cs="Arial" w:eastAsia="Arial" w:hAnsi="Arial"/>
          <w:sz w:val="17"/>
          <w:szCs w:val="17"/>
          <w:color w:val="auto"/>
        </w:rPr>
      </w:pPr>
    </w:p>
    <w:p>
      <w:pPr>
        <w:ind w:left="660" w:right="540" w:hanging="328"/>
        <w:spacing w:after="0" w:line="263" w:lineRule="auto"/>
        <w:tabs>
          <w:tab w:leader="none" w:pos="62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5% of our total revenue in the second quarter of 2021. Physician Staffing</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physicians in many specialties, as well as certified registered nurse anesthetists, nurse practitioners, and physician assistants as independent contractors on temporary assignments throughout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5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For the quarter ended June 30, 2021, revenue from services increased 53% year-over-year to $331.8 million, due to continued solid execution and strong performance in our Nurse and Allied Staffing segment, resulting in a 56% increase in direct operating expenses. As a result of the rise in demand and a tight labor market, our average travel bill rates increased over the prior year period due to the increases in pay rates required to attract healthcare professionals. As expected, bill rates began to normalize during the second quarter of 2021, after reaching a peak in the first quarter of 2021. Throughout the pandemic, we have worked with our clients to adjust bill rates to reflect the changing compensation costs in order to provide the critical healthcare professionals they need. Net income attributable to common shareholders in the second quarter of 2021 was $11.5 million, as compared to a net loss of $14.2 million in the prior year.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right="80"/>
        <w:spacing w:after="0" w:line="296" w:lineRule="auto"/>
        <w:rPr>
          <w:sz w:val="20"/>
          <w:szCs w:val="20"/>
          <w:color w:val="auto"/>
        </w:rPr>
      </w:pPr>
      <w:r>
        <w:rPr>
          <w:rFonts w:ascii="Arial" w:cs="Arial" w:eastAsia="Arial" w:hAnsi="Arial"/>
          <w:sz w:val="16"/>
          <w:szCs w:val="16"/>
          <w:color w:val="auto"/>
        </w:rPr>
        <w:t>On June 8, 2021, we entered into an asset purchase agreement with Workforce Solutions Group, Inc. (WSG). The purchase price included $25.0 million in cash and $5.0 million in shares of our common stock, subject to a net working capital adjustment. The sellers are also eligible to receive an earnout based on the business' performance through three years after the acquisition date that could provide up to an additional $15.0 million of cash. In conjunction with this acquisition, we entered into a $100.0 million, six-year Term Loan Agreement. The proceeds were used to pay the cash consideration, as well as any costs, fees, and expenses in connection with the WSG acquisition, with the remainder used to pay down a portion of the ABL.</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the three months ended June 30, 2021, cash flow provided by operating activities was $15.5 million, with net borrowings of $100.0 million on our term loan and net repayments of $80.0 million on our senior-secured asset-based credit facility (ABL), and an increase in working capital stemming from the strong sequential growth in the business. As of June 30, 2021, there was $18.1 million of cash and cash equivalents,with a principal balance of $100.0 million outstanding on our term loan. Availability under the ABL was $150.0 million, with $16.0 million of borrowings drawn under our ABL, and $18.5 million of undrawn letters of credit outstanding, leaving $115.5 million available for borrowing.</w:t>
      </w:r>
    </w:p>
    <w:p>
      <w:pPr>
        <w:spacing w:after="0" w:line="20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We expect COVID-19 will continue to impact our business in the coming quarters, with average bill and pay rates remaining higher than the prior year though declining sequentially for certain assignments.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Business Measurement</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Nurse and Allied Staffing</w:t>
            </w:r>
          </w:p>
        </w:tc>
        <w:tc>
          <w:tcPr>
            <w:tcW w:w="7680" w:type="dxa"/>
            <w:vAlign w:val="bottom"/>
          </w:tcPr>
          <w:p>
            <w:pPr>
              <w:ind w:left="1540"/>
              <w:spacing w:after="0" w:line="169" w:lineRule="exact"/>
              <w:rPr>
                <w:sz w:val="20"/>
                <w:szCs w:val="20"/>
                <w:color w:val="auto"/>
              </w:rPr>
            </w:pPr>
            <w:r>
              <w:rPr>
                <w:rFonts w:ascii="Arial" w:cs="Arial" w:eastAsia="Arial" w:hAnsi="Arial"/>
                <w:sz w:val="18"/>
                <w:szCs w:val="18"/>
                <w:color w:val="auto"/>
                <w:w w:val="91"/>
              </w:rPr>
              <w:t>FTEs represent the average number of Nurse and Allied Staffing contract personnel</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on a full-time equivalent basis.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6"/>
              </w:rPr>
              <w:t>Average revenue per FTE per day is calculated by dividing the Nurse and Allied</w:t>
            </w: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3"/>
              </w:rPr>
              <w:t>Staffing revenue, excluding permanent placement, per FTE by the number of days</w:t>
            </w:r>
          </w:p>
        </w:tc>
        <w:tc>
          <w:tcPr>
            <w:tcW w:w="0" w:type="dxa"/>
            <w:vAlign w:val="bottom"/>
          </w:tcPr>
          <w:p>
            <w:pPr>
              <w:spacing w:after="0"/>
              <w:rPr>
                <w:sz w:val="1"/>
                <w:szCs w:val="1"/>
                <w:color w:val="auto"/>
              </w:rPr>
            </w:pPr>
          </w:p>
        </w:tc>
      </w:tr>
      <w:tr>
        <w:trPr>
          <w:trHeight w:val="229"/>
        </w:trPr>
        <w:tc>
          <w:tcPr>
            <w:tcW w:w="3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Physician Staffing</w:t>
            </w:r>
          </w:p>
        </w:tc>
        <w:tc>
          <w:tcPr>
            <w:tcW w:w="7680" w:type="dxa"/>
            <w:vAlign w:val="bottom"/>
          </w:tcPr>
          <w:p>
            <w:pPr>
              <w:ind w:left="1540"/>
              <w:spacing w:after="0"/>
              <w:rPr>
                <w:sz w:val="20"/>
                <w:szCs w:val="20"/>
                <w:color w:val="auto"/>
              </w:rPr>
            </w:pPr>
            <w:r>
              <w:rPr>
                <w:rFonts w:ascii="Arial" w:cs="Arial" w:eastAsia="Arial" w:hAnsi="Arial"/>
                <w:sz w:val="18"/>
                <w:szCs w:val="18"/>
                <w:color w:val="auto"/>
              </w:rPr>
              <w:t>worked in the respective periods.</w:t>
            </w:r>
          </w:p>
        </w:tc>
        <w:tc>
          <w:tcPr>
            <w:tcW w:w="0" w:type="dxa"/>
            <w:vAlign w:val="bottom"/>
          </w:tcPr>
          <w:p>
            <w:pPr>
              <w:spacing w:after="0"/>
              <w:rPr>
                <w:sz w:val="1"/>
                <w:szCs w:val="1"/>
                <w:color w:val="auto"/>
              </w:rPr>
            </w:pPr>
          </w:p>
        </w:tc>
      </w:tr>
      <w:tr>
        <w:trPr>
          <w:trHeight w:val="176"/>
        </w:trPr>
        <w:tc>
          <w:tcPr>
            <w:tcW w:w="3520" w:type="dxa"/>
            <w:vAlign w:val="bottom"/>
            <w:vMerge w:val="continue"/>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9"/>
              </w:rPr>
              <w:t>Days filled is calculated by dividing the total hours invoiced during the period,</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4"/>
              </w:rPr>
              <w:t>Revenue per day filled is calculated by dividing revenue as reported by days filled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for the period presented.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Pr>
          <w:p>
            <w:pPr>
              <w:spacing w:after="0"/>
              <w:rPr>
                <w:sz w:val="19"/>
                <w:szCs w:val="19"/>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72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76.5</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r>
      <w:tr>
        <w:trPr>
          <w:trHeight w:val="229"/>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 charges</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(3.3)</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(3.7)</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Consolidated net income (loss)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(3.7)</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94"/>
              </w:rPr>
              <w:t>(6.5)%</w:t>
            </w: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94"/>
              </w:rPr>
              <w:t>(3.8)%</w:t>
            </w:r>
          </w:p>
        </w:tc>
      </w:tr>
      <w:tr>
        <w:trPr>
          <w:trHeight w:val="20"/>
        </w:trPr>
        <w:tc>
          <w:tcPr>
            <w:tcW w:w="5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Comparison of Results for the Three Months Ended June 30, 2021 compared to the Three Months Ended June 30,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8"/>
                <w:szCs w:val="18"/>
                <w:b w:val="1"/>
                <w:bCs w:val="1"/>
                <w:color w:val="auto"/>
                <w:w w:val="90"/>
              </w:rPr>
              <w:t>Three Months Ended June 30,</w:t>
            </w:r>
          </w:p>
        </w:tc>
        <w:tc>
          <w:tcPr>
            <w:tcW w:w="1360" w:type="dxa"/>
            <w:vAlign w:val="bottom"/>
            <w:tcBorders>
              <w:bottom w:val="single" w:sz="8" w:color="auto"/>
            </w:tcBorders>
          </w:tcPr>
          <w:p>
            <w:pPr>
              <w:spacing w:after="0"/>
              <w:rPr>
                <w:sz w:val="20"/>
                <w:szCs w:val="20"/>
                <w:color w:val="auto"/>
              </w:rPr>
            </w:pPr>
          </w:p>
        </w:tc>
      </w:tr>
      <w:tr>
        <w:trPr>
          <w:trHeight w:val="169"/>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7"/>
              </w:rPr>
              <w:t>Increase</w:t>
            </w:r>
          </w:p>
        </w:tc>
        <w:tc>
          <w:tcPr>
            <w:tcW w:w="13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7"/>
              </w:rPr>
              <w:t>Increase</w:t>
            </w:r>
          </w:p>
        </w:tc>
      </w:tr>
      <w:tr>
        <w:trPr>
          <w:trHeight w:val="225"/>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(Decrease)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(Amounts in thousands)</w:t>
            </w:r>
          </w:p>
        </w:tc>
        <w:tc>
          <w:tcPr>
            <w:tcW w:w="13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115,048</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53.1 %</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166,045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93,192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56.1 %</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216.2 %</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60.8 %</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29,336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203.3 %</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Consolidated net income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25,596</w:t>
            </w:r>
          </w:p>
        </w:tc>
        <w:tc>
          <w:tcPr>
            <w:tcW w:w="1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182.2</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25,699</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181.6 %</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 from services increased 53.1% to $331.8 million for the three months ended June 30, 2021, as compared to $216.8 million for the three months ended June 30, 2020, due to strong performance in our Nurse and Allied Staffing segment, resulting from both an increase in volume and higher bill rates. In general, the increase in bill rates related to the spike in COVID-19 needs late in the fourth quarter of 2020. Rates began to normalize in the second quarter of 2021 but remain above pre-COVID-19 rates. See further discussion in Segment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Direct operating expenses are comprised primarily of field employee compensation and independent contractor expenses, housing expenses, travel expenses, and related insurance expenses. Direct operating expenses increased $93.2 million, or 56.1%, to $259.2 million for the three months ended June 30, 2021, as compared to $166.0 million for the three months ended June 30, 2020, as a result of revenue increases. As a percentage of total revenue, direct operating expenses increased to 78.1% compared to 76.6% in the prior year period, as compensation costs rose by a higher percentage than our bill rates. Throughout the pandemic our position has been that in the long term interest of our client relationships, we will do all that we can to mitigate the rising costs for our clients. We expect compensation costs to remain higher than the prior year, but decline sequentially in the coming quarters, though not necessarily at the same pace as bill rates, for certain assignments.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Selling, general and administrative expenses increased 19.1% to $50.3 million for the three months ended June 30, 2021, as compared to $42.3 million for the three months ended June 30, 2020, primarily due to increases in compensation and benefit expense, partially offset by lower rent expense due to the closure of a significant number of offices in 2020 and decreases in legal expenses. As a percentage of total revenue, selling, general and administrative expenses decreased to 15.2% for the three months ended June 30, 2021, as compared to 19.5% for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Depreciation and amortization expense for the three months ended June 30, 2021 decreased to $2.2 million, as compared to $3.9 million for the three months ended June 30, 2020. Lower depreciation expense for the three months ended June 30, 2021 related to fully amortized assets that have not been replaced. Amortization expense for the three months ended June 30, 2020 included accelerated amortization of trade names associated with our rebranding initiatives. See Note 7 - Goodwill, Trade Names, and Other Intangible Assets to our condensed consolidated financial statements. As a percentage of revenue, depreciation and amortization expense was 0.7% for the three months ended June 30, 2021 and 1.8% for the three months ended June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integration-related costs</w:t>
      </w:r>
    </w:p>
    <w:p>
      <w:pPr>
        <w:spacing w:after="0" w:line="252"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Acquisition and integration-related costs for the three months ended June 30, 2021 include costs for legal and advisory fees for the WSG acquisition that closed on June 8, 2021. There were no such costs for the three months ended June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Restructuring costs for the three months ended June 30, 2021 and 2020 were primarily comprised of employee termination costs and ongoing lease costs related to the Company's strategic reduction of its real estate footprint and totaled $0.8 million and $2.3 million, respectively. Restructuring costs for the three months ended June 30, 2020 also included reorganization costs as part of our planned cost savings initiatives.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Non-cash impairment charges totaled $1.9 million and $15.0 million for the three months ended June 30, 2021 and 2020, respectively. The 2021 charges related to real estate restructuring activities. The 2020 charges consisted of $10.5 million of impairment related to our Search business and $4.5 million related to real estate restructuring activities. See Note 7 - Goodwill, Trade Names, and Other Intangible Assets and Note 9 - Leases to our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was $1.2 million for the three months ended June 30, 2021, as compared to $0.7 million for the three months ended June 30, 2020, due to a higher effective rate. The effective interest rate on our borrowings was 4.1% for the three months ended June 30, 2021 compared to 3.3% for the three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Income tax expense was $3.4 million for the three months ended June 30, 2021, as compared to a benefit of $0.4 million for the three months ended June 30, 2020. As a result of our valuation allowance on substantially all of our domestic deferred tax assets, income tax expense for the three months ended June 30, 2021 was primarily impacted by international and state taxes and additional valuation required as a result of the WSG acquisition. Income tax benefit for the three months ended June 30, 2020 was primarily impacted by international and state taxes as well as the impairment of indefinite-lived intangibles.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Comparison of Results for the Six Months Ended June 30, 2021 compared to the Six Months Ended June 30, 2020</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8"/>
                <w:szCs w:val="18"/>
                <w:b w:val="1"/>
                <w:bCs w:val="1"/>
                <w:color w:val="auto"/>
                <w:w w:val="90"/>
              </w:rPr>
              <w:t>Six Months Ended June 30,</w:t>
            </w:r>
          </w:p>
        </w:tc>
        <w:tc>
          <w:tcPr>
            <w:tcW w:w="1360" w:type="dxa"/>
            <w:vAlign w:val="bottom"/>
            <w:tcBorders>
              <w:bottom w:val="single" w:sz="8" w:color="auto"/>
            </w:tcBorders>
          </w:tcPr>
          <w:p>
            <w:pPr>
              <w:spacing w:after="0"/>
              <w:rPr>
                <w:sz w:val="20"/>
                <w:szCs w:val="20"/>
                <w:color w:val="auto"/>
              </w:rPr>
            </w:pPr>
          </w:p>
        </w:tc>
      </w:tr>
      <w:tr>
        <w:trPr>
          <w:trHeight w:val="169"/>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7"/>
              </w:rPr>
              <w:t>Increase</w:t>
            </w:r>
          </w:p>
        </w:tc>
        <w:tc>
          <w:tcPr>
            <w:tcW w:w="13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7"/>
              </w:rPr>
              <w:t>Increase</w:t>
            </w:r>
          </w:p>
        </w:tc>
      </w:tr>
      <w:tr>
        <w:trPr>
          <w:trHeight w:val="225"/>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(Decrease)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(Amounts in thousands)</w:t>
            </w:r>
          </w:p>
        </w:tc>
        <w:tc>
          <w:tcPr>
            <w:tcW w:w="13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234,225</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54.9 %</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190,507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58.3 %</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355.5 %</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51,286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320.2 %</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Consolidated net income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46,812</w:t>
            </w:r>
          </w:p>
        </w:tc>
        <w:tc>
          <w:tcPr>
            <w:tcW w:w="1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296.0</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47,236</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290.9 %</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1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Revenue from services increased 54.9% to $661.1 million for the six months ended June 30, 2021, as compared to $426.8 million for the six months ended June 30, 2020, due to strong performance in our Nurse and Allied Staffing segment, resulting from both an increase in volume and higher bill rates. In general, the increase in bill rates related to the spike in COVID-19 needs late in the fourth quarter of 2020. Rates began to normalize sequentially in the second quarter after reaching a peak in the first quarter, but remain above pre-COVID-19 rates. See further discussion in Segment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Direct operating expenses increased $190.5 million, or 58.3%, to $517.0 million for the six months ended June 30, 2021, as compared to $326.5 million for the six months ended June 30, 2020 as a result of revenue increases. As a percentage of total revenue, direct operating expenses increased to 78.2% compared to 76.5% in the prior year period, as compensation costs rose by a higher percentage than our bill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Selling, general and administrative expenses increased 9.7% to $96.7 million for the six months ended June 30, 2021, as compared to $88.1 million for the six months ended June 30, 2020, primarily due to increases in compensation and benefits, as well as equity compensation expense, partially offset by lower rent expense due to the closure of a significant number of offices in 2020 and decreases in IT, consulting, and legal expenses. As a percentage of total revenue, selling, general and administrative expenses decreased to 14.6% for the six months ended June 30, 2021 as compared to 20.6% for the six months ended June 30,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3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Depreciation and amortization expense for the six months ended June 30, 2021 decreased to $4.5 million as compared to $7.2 million for the six months ended June 30, 2020. Lower depreciation expense for the six months ended June 30, 2021 related to fully amortized assets that have not been replaced. Amortization expense for the six months ended June 30, 2020 included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right="20"/>
        <w:spacing w:after="0" w:line="263" w:lineRule="auto"/>
        <w:rPr>
          <w:sz w:val="20"/>
          <w:szCs w:val="20"/>
          <w:color w:val="auto"/>
        </w:rPr>
      </w:pPr>
      <w:r>
        <w:rPr>
          <w:rFonts w:ascii="Arial" w:cs="Arial" w:eastAsia="Arial" w:hAnsi="Arial"/>
          <w:sz w:val="18"/>
          <w:szCs w:val="18"/>
          <w:color w:val="auto"/>
        </w:rPr>
        <w:t>accelerated amortization of trade names associated with our rebranding initiatives. See Note 7 - Goodwill, Trade Names, and Other Intangible Assets to our condensed consolidated financial statements. As a percentage of revenue, depreciation and amortization expense was 0.7% for the six months ended June 30, 2021 and 1.7% for the six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integration-related costs</w:t>
      </w:r>
    </w:p>
    <w:p>
      <w:pPr>
        <w:spacing w:after="0" w:line="25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Acquisition and integration-related costs for the six months ended June 30, 2021 include costs for legal and advisory fees for the WSG acquisition that closed on June 8, 2021. In the first quarter of 2020, the final earnout amount of the contingent consideration related to the Mediscan acquisition was determined.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Restructuring costs for the six months ended June 30, 2021 and 2020 were primarily comprised of employee termination costs and ongoing lease costs related to the Company's strategic reduction of its real estate footprint and totaled $2.1 million and $2.9 million, respectively. Restructuring costs for the six months ended June 30, 2020 also included reorganization costs as part of our planned cost savings initiatives.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Non-cash impairment charges totaled $2.1 million for the six months ended June 30, 2021 and related to real estate restructuring activities and the write-off of a discontinued software development project. Non-cash impairment charges totaled $15.0 million for the six months ended June 30, 2020. These were comprised of $10.5 million of impairment related to our Search business and $4.5 million related to real estate restructuring activities. See Note 7 - Goodwill, Trade Names, and Other Intangible Assets and Note 9 - Leases to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Interest expense was $1.9 million for the six months ended June 30, 2021 as compared to $1.6 million for the six months ended June 30, 2020, due to higher average borrowings partially offset by a lower effective rate. The effective interest rate on our borrowings was 3.1% for the six months ended June 30, 2021 compared to 3.8% for the six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Income tax expense was $4.3 million for the six months ended June 30, 2021 as compared to a benefit of $0.2 million for the six months ended June 30, 2020. As a result of our valuation allowance on substantially all of our domestic deferred tax assets, income tax expense for the six months ended June 30, 2021 was primarily impacted by international and state taxes and additional valuation required as a result of the WSG acquisition. Income tax benefit for the six months ended June 30, 2020 was impacted by international and state taxes as well as the impairment of indefinite-lived intangibles.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53"/>
        </w:trPr>
        <w:tc>
          <w:tcPr>
            <w:tcW w:w="8600" w:type="dxa"/>
            <w:vAlign w:val="bottom"/>
            <w:gridSpan w:val="9"/>
          </w:tcPr>
          <w:p>
            <w:pPr>
              <w:spacing w:after="0"/>
              <w:rPr>
                <w:sz w:val="20"/>
                <w:szCs w:val="20"/>
                <w:color w:val="auto"/>
              </w:rPr>
            </w:pPr>
            <w:r>
              <w:rPr>
                <w:rFonts w:ascii="Arial" w:cs="Arial" w:eastAsia="Arial" w:hAnsi="Arial"/>
                <w:sz w:val="18"/>
                <w:szCs w:val="18"/>
                <w:color w:val="auto"/>
                <w:w w:val="91"/>
              </w:rPr>
              <w:t>Information on operating segments and a reconciliation to loss from operations for the periods indicated are as follows: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2"/>
        </w:trPr>
        <w:tc>
          <w:tcPr>
            <w:tcW w:w="1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1"/>
                <w:szCs w:val="21"/>
                <w:color w:val="auto"/>
              </w:rPr>
            </w:pPr>
          </w:p>
        </w:tc>
        <w:tc>
          <w:tcPr>
            <w:tcW w:w="26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07"/>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0" w:type="dxa"/>
            <w:vAlign w:val="bottom"/>
            <w:gridSpan w:val="5"/>
          </w:tcPr>
          <w:p>
            <w:pPr>
              <w:ind w:left="480"/>
              <w:spacing w:after="0"/>
              <w:rPr>
                <w:sz w:val="20"/>
                <w:szCs w:val="20"/>
                <w:color w:val="auto"/>
              </w:rPr>
            </w:pPr>
            <w:r>
              <w:rPr>
                <w:rFonts w:ascii="Arial" w:cs="Arial" w:eastAsia="Arial" w:hAnsi="Arial"/>
                <w:sz w:val="16"/>
                <w:szCs w:val="16"/>
                <w:color w:val="auto"/>
              </w:rPr>
              <w:t>(amounts in thousands)</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Nurse and Allied Staffing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316,188</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199,907</w:t>
            </w:r>
          </w:p>
        </w:tc>
        <w:tc>
          <w:tcPr>
            <w:tcW w:w="24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629,196</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391,790</w:t>
            </w: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16,872</w:t>
            </w:r>
          </w:p>
        </w:tc>
        <w:tc>
          <w:tcPr>
            <w:tcW w:w="2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35,053</w:t>
            </w: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331,827</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216,779</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661,068</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426,843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Contribution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33,409</w:t>
            </w:r>
          </w:p>
        </w:tc>
      </w:tr>
      <w:tr>
        <w:trPr>
          <w:trHeight w:val="229"/>
        </w:trPr>
        <w:tc>
          <w:tcPr>
            <w:tcW w:w="4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Physician Staffing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20,806</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r>
      <w:tr>
        <w:trPr>
          <w:trHeight w:val="270"/>
        </w:trPr>
        <w:tc>
          <w:tcPr>
            <w:tcW w:w="46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overhead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13,224</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24,494</w:t>
            </w:r>
          </w:p>
        </w:tc>
      </w:t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7,225</w:t>
            </w: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2,330</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30"/>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r>
      <w:tr>
        <w:trPr>
          <w:trHeight w:val="22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15,901</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(13,688)</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36,895</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(14,442)</w:t>
            </w:r>
          </w:p>
        </w:tc>
      </w:tr>
      <w:tr>
        <w:trPr>
          <w:trHeight w:val="21"/>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the first quarter of 2021, the Company modified its reportable segments and, as a result, now discloses the following two reportable segments - Nurse and Allied Staffing and Physician Staffing. Revenue in the amount of $1.8 million and $5.5 million, respectively, and contribution loss in the amount of $1.1 million and $1.4 million, respectively, included in the previously-reported Search segment have been reclassified to Nurse and Allied Staffing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79"/>
              <w:spacing w:after="0"/>
              <w:rPr>
                <w:sz w:val="20"/>
                <w:szCs w:val="20"/>
                <w:color w:val="auto"/>
              </w:rPr>
            </w:pPr>
            <w:r>
              <w:rPr>
                <w:rFonts w:ascii="Arial" w:cs="Arial" w:eastAsia="Arial" w:hAnsi="Arial"/>
                <w:sz w:val="16"/>
                <w:szCs w:val="16"/>
                <w:b w:val="1"/>
                <w:bCs w:val="1"/>
                <w:color w:val="auto"/>
                <w:w w:val="95"/>
              </w:rPr>
              <w:t>2021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19"/>
                <w:szCs w:val="19"/>
                <w:color w:val="auto"/>
              </w:rPr>
            </w:pP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Nurse and Allied Staffing statistical data:</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FTEs</w:t>
            </w:r>
          </w:p>
        </w:tc>
        <w:tc>
          <w:tcPr>
            <w:tcW w:w="200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7,578</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5,801</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1,777</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30.6 %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Physician Staffing statistical data:</w:t>
            </w:r>
          </w:p>
        </w:tc>
        <w:tc>
          <w:tcPr>
            <w:tcW w:w="2500" w:type="dxa"/>
            <w:vAlign w:val="bottom"/>
            <w:tcBorders>
              <w:bottom w:val="single" w:sz="8" w:color="CCEEFF"/>
            </w:tcBorders>
            <w:gridSpan w:val="4"/>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5"/>
          </w:tcPr>
          <w:p>
            <w:pPr>
              <w:spacing w:after="0"/>
              <w:rPr>
                <w:sz w:val="20"/>
                <w:szCs w:val="20"/>
                <w:color w:val="auto"/>
              </w:rPr>
            </w:pPr>
            <w:r>
              <w:rPr>
                <w:rFonts w:ascii="Arial" w:cs="Arial" w:eastAsia="Arial" w:hAnsi="Arial"/>
                <w:sz w:val="16"/>
                <w:szCs w:val="16"/>
                <w:color w:val="auto"/>
              </w:rPr>
              <w:t>Days filled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9,195</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580</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4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2"/>
              </w:rPr>
              <w:t>Six Months Ended</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79"/>
              <w:spacing w:after="0"/>
              <w:rPr>
                <w:sz w:val="20"/>
                <w:szCs w:val="20"/>
                <w:color w:val="auto"/>
              </w:rPr>
            </w:pPr>
            <w:r>
              <w:rPr>
                <w:rFonts w:ascii="Arial" w:cs="Arial" w:eastAsia="Arial" w:hAnsi="Arial"/>
                <w:sz w:val="16"/>
                <w:szCs w:val="16"/>
                <w:b w:val="1"/>
                <w:bCs w:val="1"/>
                <w:color w:val="auto"/>
                <w:w w:val="95"/>
              </w:rPr>
              <w:t>2021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19"/>
                <w:szCs w:val="19"/>
                <w:color w:val="auto"/>
              </w:rPr>
            </w:pP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auto"/>
            </w:tcBorders>
            <w:gridSpan w:val="4"/>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1"/>
              </w:rPr>
              <w:t>Nurse and Allied Staffing statistical data: (a)</w:t>
            </w:r>
          </w:p>
        </w:tc>
        <w:tc>
          <w:tcPr>
            <w:tcW w:w="1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5"/>
          </w:tcPr>
          <w:p>
            <w:pPr>
              <w:spacing w:after="0"/>
              <w:rPr>
                <w:sz w:val="20"/>
                <w:szCs w:val="20"/>
                <w:color w:val="auto"/>
              </w:rPr>
            </w:pPr>
            <w:r>
              <w:rPr>
                <w:rFonts w:ascii="Arial" w:cs="Arial" w:eastAsia="Arial" w:hAnsi="Arial"/>
                <w:sz w:val="16"/>
                <w:szCs w:val="16"/>
                <w:color w:val="auto"/>
              </w:rPr>
              <w:t>FTEs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6,473</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623</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48.2 %</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Physician Staffing statistical data: (a)</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Days filled</w:t>
            </w:r>
          </w:p>
        </w:tc>
        <w:tc>
          <w:tcPr>
            <w:tcW w:w="2280" w:type="dxa"/>
            <w:vAlign w:val="bottom"/>
            <w:tcBorders>
              <w:top w:val="single" w:sz="8" w:color="CCEEFF"/>
            </w:tcBorders>
            <w:gridSpan w:val="3"/>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19,244</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19,394</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(0.8)%</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 under the Operating Metrics section of our Management's Discussion and Analysis.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June 30, 2021 compared to the Three Months Ended June 30, 2020</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Revenue increased $116.3 million, or 58.2%, to $316.2 million for the three months ended June 30, 2021, compared to $199.9 million for the three months ended June 30, 2020, driven by volume increases and higher bill rates, especially for travel assignments.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Contribution income increased $15.7 million, or 80.1%, to $35.3 million for the three months ended June 30, 2021, compared to $19.6 million for the three months ended June 30, 2020 driven by increased revenue. As a percentage of segment revenue, contribution income margin was 11.2% for the three months ended June 30, 2021, compared to 9.8% for the three months ended June 30, 2020.</w:t>
      </w:r>
    </w:p>
    <w:p>
      <w:pPr>
        <w:spacing w:after="0" w:line="21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average number of FTEs on contract during the three months ended June 30, 2021 increased 30.6% from the three months ended June 30, 2020, primarily due to headcount growth in travel nurse and allied. The average revenue per FTE per day increased 21.1%, due to the increase in the average travel bill rates as a result of the increases in pay rates required to attract healthcare professionals.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decreased $1.2 million, or 7.3%, to $15.6 million for the three months ended June 30, 2021, compared to $16.9 million for the three months ended June 30, 2020, primarily due to a mix shift to lower bill-rate specialties.</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Contribution income was $0.6 million for the three months ended June 30, 2021, compared to $1.2 million for the three months ended June 30, 2020. As a percentage of segment revenue, contribution income was 3.6% for the three months ended June 30, 2021, compared to 7.2% for the three months ended June 30, 2020, driven by lower revenue and higher direct costs.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days filled for the three months ended June 30, 2021 were 9,775, as compared with 9,195 in the prior year. Revenue per day filled was $1,600 as compared with $1,835 in the prior year.</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$14.1 million for the three months ended June 30, 2021, from $13.2 million for the three months ended June 30, 2020, primarily due to increases in compensation and benefit expense. As a percentage of consolidated revenue, corporate overhead was 4.2% for the three months ended June 30, 2021 and 6.1% for the three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Six Months Ended June 30, 2021 compared to the Six Months Ended June 30, 2020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Revenue increased $237.4 million, or 60.6%, to $629.2 million for the six months ended June 30, 2021, compared to $391.8 million for the six months ended June 30, 2020, driven by volume increases and higher bill rates, especially for travel assignments. As expected, bill rates began to normalize through the second quarter, after reaching a peak in the first quarter.</w:t>
      </w:r>
    </w:p>
    <w:p>
      <w:pPr>
        <w:spacing w:after="0" w:line="18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Contribution income increased $39.3 million, or 117.7%, to $72.7 million for the six months ended June 30, 2021, compared to $33.4 million for the six months ended June 30, 2020 driven by increased revenue. As a percentage of segment revenue, contribution income margin was 11.6% for the six months ended June 30, 2021, compared to 8.5% for the six months ended June 30, 2020.</w:t>
      </w:r>
    </w:p>
    <w:p>
      <w:pPr>
        <w:spacing w:after="0" w:line="211"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average number of FTEs on contract during the six months ended June 30, 2021 increased 9.6% from the six months ended June 30, 2020, due to headcount growth in travel nurse and allied, partially offset by declines in local staffing and education clients. The average revenue per FTE per day increased 48.2%, due to the increase in the average travel bill rates as a result of the increases in pay rates required to attract healthcare professionals.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Revenue decreased $3.2 million, or 9.1%, to $31.9 million for the six months ended June 30, 2021, compared to $35.1 million for the six months ended June 30, 2020, primarily due to a decline in volume related to certain physician-based specialties, as well as a mix shift to lower bill-rate specialties.</w:t>
      </w:r>
    </w:p>
    <w:p>
      <w:pPr>
        <w:spacing w:after="0" w:line="12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Contribution income was $2.0 million for the six months ended June 30, 2021, compared to $1.9 million for the six months ended June 30, 2020. As a percentage of segment revenue, contribution income was 6.2% for the six months ended June 30, 2021, compared to 5.3% for the six months ended June 30, 2020, driven by lower revenue.</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days filled for the six months ended June 30, 2021 were 19,244 as compared with 19,394 in the prior year. Revenue per day filled was $1,656 as compared with $1,807 in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Corporate overhead increased to $28.3 million for the six months ended June 30, 2021, from $24.5 million for the six months ended June 30, 2020, primarily due to increases in compensation and benefits, as well as equity compensation expense, partially offset by lower rent expense due to the closure of a significant number of offices in 2020 and decreases in IT, consulting, and legal expenses. As a percentage of consolidated revenue, corporate overhead was 4.3% for the six months ended June 30, 2021 and 5.7% for the six months ended June 30,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Related Party Transactions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June 30, 2021, we reported $18.1 million in cash and cash equivalents, $100.0 million of term loan outstanding, at par, and $16.0 million of borrowings drawn under our ABL. Working capital increased by $73.6 million to $163.3 million as of June 30, 2021, compared to $89.7 million as of December 31, 2020, primarily due to strong sequential growth, partially offset by the timing of disbursements. As of June 30, 2021, our days' sales outstanding, net of amounts owed to subcontractors, was 56 days, up 7 days year-over-year and flat sequentially. As of June 30, 2021, we do not have any off-balance sheet arrangements.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36" w:name="page37"/>
    <w:bookmarkEnd w:id="36"/>
    <w:p>
      <w:pPr>
        <w:ind w:right="60"/>
        <w:spacing w:after="0" w:line="257" w:lineRule="auto"/>
        <w:rPr>
          <w:sz w:val="20"/>
          <w:szCs w:val="20"/>
          <w:color w:val="auto"/>
        </w:rPr>
      </w:pPr>
      <w:r>
        <w:rPr>
          <w:rFonts w:ascii="Arial" w:cs="Arial" w:eastAsia="Arial" w:hAnsi="Arial"/>
          <w:sz w:val="18"/>
          <w:szCs w:val="18"/>
          <w:color w:val="auto"/>
        </w:rPr>
        <w:t>Our operating cash flow constitutes our primary source of liquidity, and historically, has been sufficient to fund our working capital, capital expenditures, internal business expansion, and debt service. This includes our commitments, both short-term and long-term, of interest expense on our debt, payments on our promissory note payable, and operating lease commitments, as well as any settlements on uncertain tax positions, and future principal payments on our term loan and our ABL credit facility. We expect to meet our future needs from a combination of cash on hand, operating cash flows, and funds available through the ABL. See debt discussion which follows.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was $9.4 million in the six months ended June 30, 2021, compared to net cash provided by operating activities of</w:t>
      </w:r>
    </w:p>
    <w:p>
      <w:pPr>
        <w:spacing w:after="0" w:line="4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$33.7 million in the six months ended June 30, 2020, primarily due to strong sequential growth in the business which resulted in a $76.3 million increase in receivables since the start of the year.</w:t>
      </w:r>
    </w:p>
    <w:p>
      <w:pPr>
        <w:spacing w:after="0" w:line="212"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Net cash used in investing activities was $27.5 million in the six months ended June 30, 2021, compared to $2.5 million in the six months ended June 30, 2020. Net cash used in investing activities in the six months ended June 30, 2021 included $24.5 million related to the acquisition of WSG. Net cash used in both periods was also for capital expenditures. During the six months ended June 30, 2021, the expenditures related to the project to replace our applicant tracking system, the development of our on-demand staffing platform, and the build-out of our corporate office. During the six months ended June 30, 2020, the expenditures primarily related to the project to replace our applicant tracking system.</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provided by financing activities during the six months ended June 30, 2021 was $53.4 million, compared to net cash used in financing activities of $26.0 million during the six months ended June 30, 2020. During the six months ended June 30, 2021, we reported net borrowings of $100.0 million on our term loan, and used cash to repay borrowing on our ABL of $37.5 million, $2.4 million on our note payable, $4.5 million of debt issuance costs, $2.2 million for income taxes on share-based compensation, and an immaterial amount for other financing activities. During the six months ended June 30, 2020, we used cash to repay borrowing on our ABL of $21.9 million, $2.4 million to pay our note payable, $0.7 million for income taxes on share-based compensation, and $1.0 million for other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Credit Agreement</w:t>
      </w:r>
    </w:p>
    <w:p>
      <w:pPr>
        <w:spacing w:after="0" w:line="3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more fully described in Note 8 - Debt to our condensed consolidated financial statements, on June 8, 2021, we entered into a Term Loan Credit Agreement (Term Loan Agreement), which provides for a six-year second lien subordinated term loan in the amount of $100.0 million (term loan). The term loan has an interest rate of one-month LIBOR plus 5.75% per annum, subject to a 0.75% LIBOR floor. The term loan was used to pay the cash consideration, as well as any costs, fees, and expenses in connection with the WSG acquisition (see Note 4 - Acquisition to our consolidated financial statements), with the remainder used to pay down a portion of the asset based credit facility.</w:t>
      </w: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borrowings under the Term Loan Agreement generally bear interest at a variable rate based on either LIBOR or Base Rate and are subject to mandatory prepayments of principal payable in quarterly installments, commencing on September 30, 2021, with each installment being in the aggregate principal amount of $250,000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June 30, 2021. Obligations under the Term Loan Agreement are secured by substantially all the assets of the borrowers and guarantors under the Term Loan Agreement, subject to customary exceptions.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ABL Credit Agreement</w:t>
      </w:r>
    </w:p>
    <w:p>
      <w:pPr>
        <w:spacing w:after="0" w:line="36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Effective October 25, 2019, our prior senior credit facility entered into in August 2017 was replaced by a $120.0 million ABL Credit Agreement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ind w:right="140"/>
        <w:spacing w:after="0" w:line="290" w:lineRule="auto"/>
        <w:rPr>
          <w:sz w:val="20"/>
          <w:szCs w:val="20"/>
          <w:color w:val="auto"/>
        </w:rPr>
      </w:pPr>
      <w:r>
        <w:rPr>
          <w:rFonts w:ascii="Arial" w:cs="Arial" w:eastAsia="Arial" w:hAnsi="Arial"/>
          <w:sz w:val="16"/>
          <w:szCs w:val="16"/>
          <w:color w:val="auto"/>
        </w:rPr>
        <w:t>As of June 30, 2021, the interest rate spreads and fees under the Loan Agreement were based on LIBOR plus 1.75% for the revolving portion of the borrowing base and LIBOR plus 4.00% on the Supplemental Availability. The Base Rate (as defined by the Loan Agreement) margins would have been 0.75% and 3.00%, respectively, for the revolving portion and Supplemental Availability, respectively. The LIBOR and Base Rate margins are subject to monthly pricing adjustments, pursuant to a pricing matrix based on our excess availability under the revolving credit facility. In addition, the facility is subject to an unused fee, letter of credit fees, and an administrative fee. The Loan Agreement contains various restrictions and covenants, including a covenant to maintain a minimum fixed charge coverage ratio. We were in compliance with the fixed charge coverage ratio covenant as of June 30, 2021. Availability under the ABL is subject to a borrowing base, which was sufficient to access the full facility size of $150.0 million at June 30, 2021, with $16.0 million of borrowings drawn as well as $18.5 million of letters of credit outstanding, leaving $115.5 million available for borrowing.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 Stockholders' Equity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2020 Form 10-K, other than the adoption of ASU No. 2019-12, </w:t>
      </w:r>
      <w:r>
        <w:rPr>
          <w:rFonts w:ascii="Arial" w:cs="Arial" w:eastAsia="Arial" w:hAnsi="Arial"/>
          <w:sz w:val="18"/>
          <w:szCs w:val="18"/>
          <w:i w:val="1"/>
          <w:iCs w:val="1"/>
          <w:color w:val="auto"/>
        </w:rPr>
        <w:t xml:space="preserve">Income Taxes (Topic 740), Simplifying the Accounting for Income Taxes </w:t>
      </w:r>
      <w:r>
        <w:rPr>
          <w:rFonts w:ascii="Arial" w:cs="Arial" w:eastAsia="Arial" w:hAnsi="Arial"/>
          <w:sz w:val="18"/>
          <w:szCs w:val="18"/>
          <w:color w:val="auto"/>
        </w:rPr>
        <w:t>as discussed in Note 2 - Summary of Significant Accounting Policies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38" w:right="459" w:bottom="1440" w:gutter="0" w:footer="0" w:header="0"/>
        </w:sectPr>
      </w:pPr>
    </w:p>
    <w:bookmarkStart w:id="38" w:name="page39"/>
    <w:bookmarkEnd w:id="38"/>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exposed to variable interest rate risk associated with our Term Loan Agreement entered into on June 8, 2021 and our ABL Credit Agreement (ABL) entered into on October 25, 2019. These agreements charge interest at a rate based on either LIBOR or Base Rate (as defined in the agreements) plus an applicable margin.</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1% change in interest rates would have resulted in interest expense fluctuating approximately $0.5 million and $0.3 million for the six months ended June 30, 2021 and 2020, respectively. See Note 8 - Debt to our condensed consolidated financial statements.</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Refer to Item 1A. Risk Factors in Part II - Other Information under </w:t>
      </w:r>
      <w:r>
        <w:rPr>
          <w:rFonts w:ascii="Arial" w:cs="Arial" w:eastAsia="Arial" w:hAnsi="Arial"/>
          <w:sz w:val="18"/>
          <w:szCs w:val="18"/>
          <w:i w:val="1"/>
          <w:iCs w:val="1"/>
          <w:color w:val="auto"/>
        </w:rPr>
        <w:t>"The interest rates under our Term Loan Agreement and our ABL Credit Agreement may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 impacted by the phase-out of the London Interbank Offered Rate (LIBOR)" </w:t>
      </w:r>
      <w:r>
        <w:rPr>
          <w:rFonts w:ascii="Arial" w:cs="Arial" w:eastAsia="Arial" w:hAnsi="Arial"/>
          <w:sz w:val="18"/>
          <w:szCs w:val="18"/>
          <w:color w:val="auto"/>
        </w:rPr>
        <w:t>for discussion of the interest rate risk related to the potential phase-out of</w:t>
      </w:r>
      <w:r>
        <w:rPr>
          <w:rFonts w:ascii="Arial" w:cs="Arial" w:eastAsia="Arial" w:hAnsi="Arial"/>
          <w:sz w:val="18"/>
          <w:szCs w:val="18"/>
          <w:i w:val="1"/>
          <w:iCs w:val="1"/>
          <w:color w:val="auto"/>
        </w:rPr>
        <w:t xml:space="preserve"> </w:t>
      </w:r>
      <w:r>
        <w:rPr>
          <w:rFonts w:ascii="Arial" w:cs="Arial" w:eastAsia="Arial" w:hAnsi="Arial"/>
          <w:sz w:val="18"/>
          <w:szCs w:val="18"/>
          <w:color w:val="auto"/>
        </w:rPr>
        <w:t>LIBOR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other exposures as disclosed in our 2020 Form 10-K.</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w:t>
      </w:r>
      <w:r>
        <w:rPr>
          <w:rFonts w:ascii="Arial" w:cs="Arial" w:eastAsia="Arial" w:hAnsi="Arial"/>
          <w:sz w:val="18"/>
          <w:szCs w:val="18"/>
          <w:color w:val="212529"/>
        </w:rPr>
        <w:t>We have</w:t>
      </w:r>
      <w:r>
        <w:rPr>
          <w:rFonts w:ascii="Arial" w:cs="Arial" w:eastAsia="Arial" w:hAnsi="Arial"/>
          <w:sz w:val="18"/>
          <w:szCs w:val="18"/>
          <w:color w:val="auto"/>
        </w:rPr>
        <w:t xml:space="preserve"> </w:t>
      </w:r>
      <w:r>
        <w:rPr>
          <w:rFonts w:ascii="Arial" w:cs="Arial" w:eastAsia="Arial" w:hAnsi="Arial"/>
          <w:sz w:val="18"/>
          <w:szCs w:val="18"/>
          <w:color w:val="212529"/>
        </w:rPr>
        <w:t>not experienced any material impact to our internal controls over financial reporting despite the fact that most of our employees are working remotely due to the COVID-19 pandemic. We are continually monitoring and assessing the impacts of the COVID-19 pandemic on our internal controls to minimize the impact on their design and operating effectiveness.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Information with respect to certain legal proceedings is included in Part I, Item 1, Note 13 - Contingencies -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this Quarterly Report on Form 10-Q, and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addition to the other information set forth in this report, careful consideration should be given to the factors discussed in Item 1A, “Risk Factors” in our Form 10-K for the year ended December 31, 2020, all of which could materially affect our business, financial condition, or future results. The risks described herein and therein are not the only risks facing us. Additional risks and uncertainties not currently known to us, or that we currently deem to be immaterial, also may adversely affect our business, financial condition, and/or operating results. The following risk factors are provided to update our risk factors previously disclosed in our periodic reports filed with the SEC, including our Annual Report on Form 10-K for the year ended December 31, 2020:</w:t>
      </w:r>
    </w:p>
    <w:p>
      <w:pPr>
        <w:spacing w:after="0" w:line="18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Notwithstanding the due diligence investigation we performed in connection with the transaction, WSG may have liabilities, losses, or other exposures for which we do not have adequate insurance coverage, indemnification, or other protection.</w:t>
      </w:r>
    </w:p>
    <w:p>
      <w:pPr>
        <w:spacing w:after="0" w:line="19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While we performed significant due diligence on WSG prior to signing the purchase agreement, we are dependent on the accuracy and completeness of statements and disclosures made or actions taken by WSG and its representatives when conducting due diligence and evaluating the results of such due diligence. We did not control and may be unaware of activities of WSG before the acquisition, including intellectual property and other litigation or disputes, information security vulnerabilities, violations of laws, policies, rules and regulations, commercial disputes, tax liabilities, and other liabilities.</w:t>
      </w:r>
    </w:p>
    <w:p>
      <w:pPr>
        <w:spacing w:after="0" w:line="18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sellers’ obligations to indemnify us is limited to, among others, breaches of specified representations and warranties and covenants included in the purchase agreement and other specific indemnities as set forth in the purchase agreement. In the event of a breach of a representation or warranty, other than a core representation (as defined in the purchase agreement), sellers' obligation to indemnify us may be limited to the time frame in which the loss arises and the amount of the loss. If any issues arise post-closing, we may not be entitled to sufficient, or any, indemnification or recourse from the sellers, which could have a material adverse impact on our business and results of operations.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interest rates under our Term Loan Agreement and our ABL Credit Agreement may be impacted by the phase-out of the London Interbank Offered Rate (LIBOR).</w:t>
      </w:r>
    </w:p>
    <w:p>
      <w:pPr>
        <w:spacing w:after="0" w:line="197"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LIBOR is the basic rate of interest used in lending between banks on the London interbank market and is widely used as a reference for setting the interest rates on loans globally. We use LIBOR as a reference rate to calculate interest under our Term Loan Agreement and our ABL Credit Agreement. In 2017, the United Kingdom's Financial Conduct Authority, which regulates LIBOR, announced that it intends to phase out LIBOR by the end of 2021. The U.S.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Federal Reserve, in conjunction with the Alternative Reference Rates Committee, a steering committee comprised of large U.S. financial institutions, identified the Secured Overnight Financing Rate (SOFR) as the preferred alternative reference rate to U.S. dollar LIBOR and recommended a paced transition plan that involves the creation of a reference rate based on SOFR by the end of 2021. SOFR is a more generic measure than LIBOR and considers the cost of borrowing cash overnight, collateralized by U.S. Treasury securities. Given the inherent differences between LIBOR and SOFR or any other alternative benchmark rate that may be established, there are many uncertainties regarding a transition from LIBOR. Our Term Loan Agreement and our ABL Credit Agreement contain a fallback provision providing for alternative rate calculations in the event LIBOR is unavailable, prior to any LIBOR rate transition. As a result of any changes in the benchmarking rate, the new rates we incur may not be as favorable to us as those in effect prior to any LIBOR phase-out, and we may incur higher interest payments.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22"/>
          </w:tcPr>
          <w:p>
            <w:pPr>
              <w:spacing w:after="0"/>
              <w:rPr>
                <w:sz w:val="20"/>
                <w:szCs w:val="20"/>
                <w:color w:val="auto"/>
              </w:rPr>
            </w:pPr>
            <w:r>
              <w:rPr>
                <w:rFonts w:ascii="Arial" w:cs="Arial" w:eastAsia="Arial" w:hAnsi="Arial"/>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22"/>
          </w:tcPr>
          <w:p>
            <w:pPr>
              <w:spacing w:after="0"/>
              <w:rPr>
                <w:rFonts w:ascii="Arial" w:cs="Arial" w:eastAsia="Arial" w:hAnsi="Arial"/>
                <w:sz w:val="18"/>
                <w:szCs w:val="18"/>
                <w:color w:val="0000FF"/>
                <w:w w:val="98"/>
              </w:rPr>
            </w:pPr>
            <w:hyperlink r:id="rId65">
              <w:r>
                <w:rPr>
                  <w:rFonts w:ascii="Arial" w:cs="Arial" w:eastAsia="Arial" w:hAnsi="Arial"/>
                  <w:sz w:val="18"/>
                  <w:szCs w:val="18"/>
                  <w:color w:val="0000FF"/>
                  <w:w w:val="98"/>
                </w:rPr>
                <w:t>Asset Purchase Agreement, by and among Cross Country Healthcare, Inc., Workforce Solutions Group, Inc., Health Talent</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0"/>
          </w:tcPr>
          <w:p>
            <w:pPr>
              <w:spacing w:after="0" w:line="156"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Strategies, Inc., Talent Strategies, Inc., and Pamela Jung, dated June 8, 2021 (Previously filed as an exhibit to the Company's</w:t>
              </w:r>
            </w:hyperlink>
          </w:p>
        </w:tc>
        <w:tc>
          <w:tcPr>
            <w:tcW w:w="80" w:type="dxa"/>
            <w:vAlign w:val="bottom"/>
          </w:tcPr>
          <w:p>
            <w:pPr>
              <w:spacing w:after="0"/>
              <w:rPr>
                <w:sz w:val="13"/>
                <w:szCs w:val="13"/>
                <w:color w:val="auto"/>
              </w:rPr>
            </w:pPr>
          </w:p>
        </w:tc>
        <w:tc>
          <w:tcPr>
            <w:tcW w:w="720" w:type="dxa"/>
            <w:vAlign w:val="bottom"/>
            <w:gridSpan w:val="11"/>
          </w:tcPr>
          <w:p>
            <w:pPr>
              <w:ind w:left="100"/>
              <w:spacing w:after="0" w:line="156"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Form 8-</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K dated June 14, 2021 and incorporated by reference herein.)</w:t>
              </w:r>
            </w:hyperlink>
          </w:p>
        </w:tc>
        <w:tc>
          <w:tcPr>
            <w:tcW w:w="52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 #</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2"/>
          </w:tcPr>
          <w:p>
            <w:pPr>
              <w:spacing w:after="0"/>
              <w:rPr>
                <w:rFonts w:ascii="Arial" w:cs="Arial" w:eastAsia="Arial" w:hAnsi="Arial"/>
                <w:sz w:val="18"/>
                <w:szCs w:val="18"/>
                <w:color w:val="0000FF"/>
                <w:w w:val="93"/>
              </w:rPr>
            </w:pPr>
            <w:hyperlink r:id="rId66">
              <w:r>
                <w:rPr>
                  <w:rFonts w:ascii="Arial" w:cs="Arial" w:eastAsia="Arial" w:hAnsi="Arial"/>
                  <w:sz w:val="18"/>
                  <w:szCs w:val="18"/>
                  <w:color w:val="0000FF"/>
                  <w:w w:val="93"/>
                </w:rPr>
                <w:t>Offer Letter by and between Cross Country Healthcare, Inc. and Phillip Noe (Previously filed as an exhibit to the Company's Form</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8-K dated May 10, 2021 and incorporated by reference herein.)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10.2 #</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2"/>
          </w:tcPr>
          <w:p>
            <w:pPr>
              <w:spacing w:after="0"/>
              <w:rPr>
                <w:rFonts w:ascii="Arial" w:cs="Arial" w:eastAsia="Arial" w:hAnsi="Arial"/>
                <w:sz w:val="18"/>
                <w:szCs w:val="18"/>
                <w:color w:val="0000FF"/>
                <w:w w:val="97"/>
              </w:rPr>
            </w:pPr>
            <w:hyperlink r:id="rId67">
              <w:r>
                <w:rPr>
                  <w:rFonts w:ascii="Arial" w:cs="Arial" w:eastAsia="Arial" w:hAnsi="Arial"/>
                  <w:sz w:val="18"/>
                  <w:szCs w:val="18"/>
                  <w:color w:val="0000FF"/>
                  <w:w w:val="97"/>
                </w:rPr>
                <w:t>Employment Agreement by and between Cross Country Healthcare, Inc. and Phillip Noe (Previously filed as an exhibit to the</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Company's Form 8-K dated May 10, 2021 and incorporated by reference herein.)</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2"/>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Term Loan Credit Agreement, by and between Cross Country Healthcare, Inc. and the Lenders as defined therein, dated June 8, 2021</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(Previously filed as an exhibit to the Company's Form 8-K dated June 14, 2021 and incorporated by reference herein.)</w:t>
              </w:r>
            </w:hyperlink>
          </w:p>
        </w:tc>
        <w:tc>
          <w:tcPr>
            <w:tcW w:w="4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6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2"/>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Amendment No. 3 to ABL Credit Agreement, by and among Cross Country Healthcare, Inc. and certain of its domestic subsidiaries</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as borrowers, certain of its domestic subsidiaries as guarantors, the Lenders (as defined therein), and Wells Fargo Bank, National</w:t>
              </w:r>
            </w:hyperlink>
          </w:p>
        </w:tc>
        <w:tc>
          <w:tcPr>
            <w:tcW w:w="140" w:type="dxa"/>
            <w:vAlign w:val="bottom"/>
            <w:gridSpan w:val="3"/>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69">
              <w:r>
                <w:rPr>
                  <w:rFonts w:ascii="Arial" w:cs="Arial" w:eastAsia="Arial" w:hAnsi="Arial"/>
                  <w:sz w:val="18"/>
                  <w:szCs w:val="18"/>
                  <w:color w:val="0000FF"/>
                  <w:w w:val="93"/>
                </w:rPr>
                <w:t>Association as agent dated June 8, 2021 (Previously filed as an exhibit to the Company's Form 8-K dated June 14, 2021 and</w:t>
              </w:r>
            </w:hyperlink>
          </w:p>
        </w:tc>
        <w:tc>
          <w:tcPr>
            <w:tcW w:w="1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incorporated by reference herein.)</w:t>
              </w:r>
            </w:hyperlink>
          </w:p>
        </w:tc>
        <w:tc>
          <w:tcPr>
            <w:tcW w:w="6460" w:type="dxa"/>
            <w:vAlign w:val="bottom"/>
            <w:tcBorders>
              <w:top w:val="single" w:sz="8" w:color="0000FF"/>
            </w:tcBorders>
            <w:gridSpan w:val="8"/>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2"/>
          </w:tcPr>
          <w:p>
            <w:pPr>
              <w:spacing w:after="0"/>
              <w:rPr>
                <w:rFonts w:ascii="Arial" w:cs="Arial" w:eastAsia="Arial" w:hAnsi="Arial"/>
                <w:sz w:val="18"/>
                <w:szCs w:val="18"/>
                <w:color w:val="0000FF"/>
                <w:w w:val="97"/>
              </w:rPr>
            </w:pPr>
            <w:hyperlink w:anchor="page43">
              <w:r>
                <w:rPr>
                  <w:rFonts w:ascii="Arial" w:cs="Arial" w:eastAsia="Arial" w:hAnsi="Arial"/>
                  <w:sz w:val="18"/>
                  <w:szCs w:val="18"/>
                  <w:color w:val="0000FF"/>
                  <w:w w:val="97"/>
                </w:rPr>
                <w:t>Certification pursuant to Rule 13a-14(a) and Rule 15d-14(a) by Kevin C. Clark, Co-Founder, Chief Executive Officer, Director</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43">
              <w:r>
                <w:rPr>
                  <w:rFonts w:ascii="Arial" w:cs="Arial" w:eastAsia="Arial" w:hAnsi="Arial"/>
                  <w:sz w:val="18"/>
                  <w:szCs w:val="18"/>
                  <w:color w:val="0000FF"/>
                  <w:w w:val="93"/>
                </w:rPr>
                <w:t>(Principal Executive Officer)</w:t>
              </w:r>
            </w:hyperlink>
          </w:p>
        </w:tc>
        <w:tc>
          <w:tcPr>
            <w:tcW w:w="7060" w:type="dxa"/>
            <w:vAlign w:val="bottom"/>
            <w:tcBorders>
              <w:top w:val="single" w:sz="8" w:color="0000FF"/>
            </w:tcBorders>
            <w:gridSpan w:val="12"/>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2"/>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Certification pursuant to Rule 13a-14(a) and Rule 15d-14(a) by William J. Burns, Executive Vice President, Chief Financial Officer</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w:anchor="page44">
              <w:r>
                <w:rPr>
                  <w:rFonts w:ascii="Arial" w:cs="Arial" w:eastAsia="Arial" w:hAnsi="Arial"/>
                  <w:sz w:val="18"/>
                  <w:szCs w:val="18"/>
                  <w:color w:val="0000FF"/>
                  <w:w w:val="93"/>
                </w:rPr>
                <w:t>(Principal Accounting and Financial Officer)</w:t>
              </w:r>
            </w:hyperlink>
          </w:p>
        </w:tc>
        <w:tc>
          <w:tcPr>
            <w:tcW w:w="6240" w:type="dxa"/>
            <w:vAlign w:val="bottom"/>
            <w:tcBorders>
              <w:top w:val="single" w:sz="8" w:color="0000FF"/>
            </w:tcBorders>
            <w:gridSpan w:val="13"/>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2"/>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Certification pursuant to 18 U.S.C. Section 1350 by Kevin C. Clark, Co-Founder, Chief Executive Officer, Director (Principal</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Executive Officer)</w:t>
              </w:r>
            </w:hyperlink>
          </w:p>
        </w:tc>
        <w:tc>
          <w:tcPr>
            <w:tcW w:w="340" w:type="dxa"/>
            <w:vAlign w:val="bottom"/>
            <w:gridSpan w:val="3"/>
          </w:tcPr>
          <w:p>
            <w:pPr>
              <w:spacing w:after="0"/>
              <w:rPr>
                <w:sz w:val="13"/>
                <w:szCs w:val="13"/>
                <w:color w:val="auto"/>
              </w:rPr>
            </w:pPr>
          </w:p>
        </w:tc>
        <w:tc>
          <w:tcPr>
            <w:tcW w:w="220" w:type="dxa"/>
            <w:vAlign w:val="bottom"/>
            <w:gridSpan w:val="6"/>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Certification pursuant to 18 U.S.C. Section 1350 by William J. Burns, Executive Vice President, Chief Financial Officer (Principal</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Accounting and Financial Officer)</w:t>
              </w:r>
            </w:hyperlink>
          </w:p>
        </w:tc>
        <w:tc>
          <w:tcPr>
            <w:tcW w:w="220" w:type="dxa"/>
            <w:vAlign w:val="bottom"/>
            <w:gridSpan w:val="6"/>
          </w:tcPr>
          <w:p>
            <w:pPr>
              <w:spacing w:after="0"/>
              <w:rPr>
                <w:sz w:val="13"/>
                <w:szCs w:val="13"/>
                <w:color w:val="auto"/>
              </w:rPr>
            </w:pPr>
          </w:p>
        </w:tc>
      </w:tr>
      <w:tr>
        <w:trPr>
          <w:trHeight w:val="30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24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7160" w:type="dxa"/>
            <w:vAlign w:val="bottom"/>
            <w:gridSpan w:val="18"/>
          </w:tcPr>
          <w:p>
            <w:pPr>
              <w:spacing w:after="0"/>
              <w:rPr>
                <w:sz w:val="24"/>
                <w:szCs w:val="24"/>
                <w:color w:val="auto"/>
              </w:rPr>
            </w:pP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Arial" w:cs="Arial" w:eastAsia="Arial" w:hAnsi="Arial"/>
                <w:sz w:val="18"/>
                <w:szCs w:val="18"/>
                <w:color w:val="auto"/>
              </w:rPr>
              <w:t>Represents a management contract or compensatory plan or arrangement</w:t>
            </w:r>
          </w:p>
        </w:tc>
      </w:tr>
      <w:tr>
        <w:trPr>
          <w:trHeight w:val="284"/>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Arial" w:cs="Arial" w:eastAsia="Arial" w:hAnsi="Arial"/>
                <w:sz w:val="18"/>
                <w:szCs w:val="18"/>
                <w:color w:val="auto"/>
              </w:rPr>
              <w:t>Filed herewith</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Arial" w:cs="Arial" w:eastAsia="Arial" w:hAnsi="Arial"/>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1" w:name="page42"/>
    <w:bookmarkEnd w:id="41"/>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William J. Burns</w:t>
      </w:r>
    </w:p>
    <w:p>
      <w:pPr>
        <w:ind w:left="6200"/>
        <w:spacing w:after="0" w:line="228" w:lineRule="auto"/>
        <w:rPr>
          <w:sz w:val="20"/>
          <w:szCs w:val="20"/>
          <w:color w:val="auto"/>
        </w:rPr>
      </w:pPr>
      <w:r>
        <w:rPr>
          <w:rFonts w:ascii="Arial" w:cs="Arial" w:eastAsia="Arial" w:hAnsi="Arial"/>
          <w:sz w:val="16"/>
          <w:szCs w:val="16"/>
          <w:color w:val="auto"/>
        </w:rPr>
        <w:t>Executive Vice President &amp; Chief Financial Officer (Principal</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60"/>
          </w:cols>
          <w:pgMar w:left="320" w:top="891" w:right="9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August 5, 2021</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Kevin C. Clark</w:t>
      </w:r>
    </w:p>
    <w:p>
      <w:pPr>
        <w:ind w:left="3000"/>
        <w:spacing w:after="0" w:line="203" w:lineRule="auto"/>
        <w:rPr>
          <w:sz w:val="20"/>
          <w:szCs w:val="20"/>
          <w:color w:val="auto"/>
        </w:rPr>
      </w:pPr>
      <w:r>
        <w:rPr>
          <w:rFonts w:ascii="Arial" w:cs="Arial" w:eastAsia="Arial" w:hAnsi="Arial"/>
          <w:sz w:val="18"/>
          <w:szCs w:val="18"/>
          <w:color w:val="auto"/>
        </w:rPr>
        <w:t>Co-Founder &amp; Chief Executive Officer</w:t>
      </w:r>
    </w:p>
    <w:p>
      <w:pPr>
        <w:ind w:left="3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August 5, 2021</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June 30, 2021, (the "Periodic Report"), I, Kevin C. Clark, Co-Founder and Chief Executive Officer of the Company, hereby certify pursuant to</w:t>
      </w:r>
    </w:p>
    <w:p>
      <w:pPr>
        <w:ind w:right="200"/>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30" w:lineRule="exact"/>
        <w:rPr>
          <w:sz w:val="20"/>
          <w:szCs w:val="20"/>
          <w:color w:val="auto"/>
        </w:rPr>
      </w:pPr>
    </w:p>
    <w:p>
      <w:pPr>
        <w:ind w:left="20"/>
        <w:spacing w:after="0"/>
        <w:tabs>
          <w:tab w:leader="none" w:pos="660" w:val="left"/>
          <w:tab w:leader="none" w:pos="3020" w:val="left"/>
        </w:tabs>
        <w:rPr>
          <w:sz w:val="20"/>
          <w:szCs w:val="20"/>
          <w:color w:val="auto"/>
        </w:rPr>
      </w:pPr>
      <w:r>
        <w:rPr>
          <w:rFonts w:ascii="Arial" w:cs="Arial" w:eastAsia="Arial" w:hAnsi="Arial"/>
          <w:sz w:val="18"/>
          <w:szCs w:val="18"/>
          <w:color w:val="auto"/>
        </w:rPr>
        <w:t>Date:</w:t>
        <w:tab/>
        <w:t>August 5, 2021</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14605</wp:posOffset>
            </wp:positionV>
            <wp:extent cx="52031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Kevin C. Clark</w:t>
      </w:r>
    </w:p>
    <w:p>
      <w:pPr>
        <w:ind w:left="3040"/>
        <w:spacing w:after="0" w:line="203" w:lineRule="auto"/>
        <w:rPr>
          <w:sz w:val="20"/>
          <w:szCs w:val="20"/>
          <w:color w:val="auto"/>
        </w:rPr>
      </w:pPr>
      <w:r>
        <w:rPr>
          <w:rFonts w:ascii="Arial" w:cs="Arial" w:eastAsia="Arial" w:hAnsi="Arial"/>
          <w:sz w:val="18"/>
          <w:szCs w:val="18"/>
          <w:color w:val="auto"/>
        </w:rPr>
        <w:t>Co-Founder &amp; Chief Executive Officer</w:t>
      </w:r>
    </w:p>
    <w:p>
      <w:pPr>
        <w:ind w:left="3040"/>
        <w:spacing w:after="0"/>
        <w:rPr>
          <w:sz w:val="20"/>
          <w:szCs w:val="20"/>
          <w:color w:val="auto"/>
        </w:rPr>
      </w:pPr>
      <w:r>
        <w:rPr>
          <w:rFonts w:ascii="Arial" w:cs="Arial" w:eastAsia="Arial" w:hAnsi="Arial"/>
          <w:sz w:val="18"/>
          <w:szCs w:val="18"/>
          <w:color w:val="auto"/>
        </w:rPr>
        <w:t>(Principal Executive Officer)</w:t>
      </w:r>
    </w:p>
    <w:p>
      <w:pPr>
        <w:spacing w:after="0" w:line="33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June 30, 2021,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17"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August 5, 2021</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pacing w:after="0" w:line="33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decimal"/>
      <w:start w:val="1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65" Type="http://schemas.openxmlformats.org/officeDocument/2006/relationships/hyperlink" Target="https://www.sec.gov/Archives/edgar/data/0001141103/000115752321000786/a52444769ex2_1.htm" TargetMode="External"/><Relationship Id="rId66" Type="http://schemas.openxmlformats.org/officeDocument/2006/relationships/hyperlink" Target="https://www.sec.gov/Archives/edgar/data/0001141103/000115752321000639/a52426652ex10_1.htm" TargetMode="External"/><Relationship Id="rId67" Type="http://schemas.openxmlformats.org/officeDocument/2006/relationships/hyperlink" Target="https://www.sec.gov/Archives/edgar/data/0001141103/000115752321000639/a52426652ex10_2.htm" TargetMode="External"/><Relationship Id="rId68" Type="http://schemas.openxmlformats.org/officeDocument/2006/relationships/hyperlink" Target="https://www.sec.gov/Archives/edgar/data/0001141103/000115752321000786/a52444769ex10_1.htm" TargetMode="External"/><Relationship Id="rId69" Type="http://schemas.openxmlformats.org/officeDocument/2006/relationships/hyperlink" Target="https://www.sec.gov/Archives/edgar/data/0001141103/000115752321000786/a52444769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2021-08-05T10:58:23Z</dcterms:created>
  <dcterms:modified xsi:type="dcterms:W3CDTF">2021-08-05T10:58:23Z</dcterms:modified>
</cp:coreProperties>
</file>