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103" w:lineRule="exact"/>
        <w:rPr>
          <w:sz w:val="24"/>
          <w:szCs w:val="24"/>
          <w:color w:val="auto"/>
        </w:rPr>
      </w:pPr>
    </w:p>
    <w:p>
      <w:pPr>
        <w:ind w:left="3820" w:right="2100" w:hanging="1341"/>
        <w:spacing w:after="0" w:line="353" w:lineRule="auto"/>
        <w:tabs>
          <w:tab w:leader="none" w:pos="2677"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3680" w:right="2080" w:hanging="1212"/>
        <w:spacing w:after="0" w:line="353" w:lineRule="auto"/>
        <w:tabs>
          <w:tab w:leader="none" w:pos="266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color w:val="auto"/>
        </w:rPr>
        <w:t>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-50165</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860"/>
          </w:cols>
          <w:pgMar w:left="320" w:top="1188" w:right="719" w:bottom="1440" w:gutter="0" w:footer="0" w:header="0"/>
        </w:sectPr>
      </w:pPr>
    </w:p>
    <w:p>
      <w:pPr>
        <w:spacing w:after="0" w:line="4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86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0-33169</w:t>
      </w: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Commission</w:t>
      </w: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13-4066229</w:t>
      </w:r>
    </w:p>
    <w:p>
      <w:pPr>
        <w:spacing w:after="0" w:line="3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740"/>
        <w:spacing w:after="0"/>
        <w:rPr>
          <w:sz w:val="20"/>
          <w:szCs w:val="20"/>
          <w:color w:val="auto"/>
        </w:rPr>
      </w:pPr>
      <w:r>
        <w:rPr>
          <w:rFonts w:ascii="Times New Roman" w:cs="Times New Roman" w:eastAsia="Times New Roman" w:hAnsi="Times New Roman"/>
          <w:sz w:val="16"/>
          <w:szCs w:val="16"/>
          <w:i w:val="1"/>
          <w:iCs w:val="1"/>
          <w:color w:val="auto"/>
        </w:rPr>
        <w:t>Identification Number)</w:t>
      </w:r>
    </w:p>
    <w:p>
      <w:pPr>
        <w:spacing w:after="0" w:line="188" w:lineRule="exact"/>
        <w:rPr>
          <w:sz w:val="24"/>
          <w:szCs w:val="24"/>
          <w:color w:val="auto"/>
        </w:rPr>
      </w:pPr>
    </w:p>
    <w:p>
      <w:pPr>
        <w:sectPr>
          <w:pgSz w:w="11900" w:h="16838" w:orient="portrait"/>
          <w:cols w:equalWidth="0" w:num="3">
            <w:col w:w="4500" w:space="720"/>
            <w:col w:w="2680" w:space="720"/>
            <w:col w:w="2240"/>
          </w:cols>
          <w:pgMar w:left="320" w:top="1188" w:right="71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6551 Park of Commerce Boulevard, N.W.</w:t>
      </w:r>
    </w:p>
    <w:p>
      <w:pPr>
        <w:spacing w:after="0" w:line="2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Boca Raton, Florida 33487</w:t>
      </w:r>
    </w:p>
    <w:p>
      <w:pPr>
        <w:spacing w:after="0" w:line="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offices)(Zip Code)</w:t>
      </w:r>
    </w:p>
    <w:p>
      <w:pPr>
        <w:spacing w:after="0" w:line="10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(561) 998-2232</w:t>
      </w:r>
    </w:p>
    <w:p>
      <w:pPr>
        <w:spacing w:after="0" w:line="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3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7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2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0860"/>
          </w:cols>
          <w:pgMar w:left="320" w:top="1188" w:right="71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060" w:space="720"/>
            <w:col w:w="1980" w:space="720"/>
            <w:col w:w="3380"/>
          </w:cols>
          <w:pgMar w:left="320" w:top="1188" w:right="71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00" w:space="720"/>
            <w:col w:w="2300" w:space="720"/>
            <w:col w:w="2720"/>
          </w:cols>
          <w:pgMar w:left="320" w:top="1188" w:right="719" w:bottom="1440" w:gutter="0" w:footer="0" w:header="0"/>
          <w:type w:val="continuous"/>
        </w:sectPr>
      </w:pP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82"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44" w:lineRule="exact"/>
        <w:rPr>
          <w:sz w:val="24"/>
          <w:szCs w:val="24"/>
          <w:color w:val="auto"/>
        </w:rPr>
      </w:pPr>
    </w:p>
    <w:p>
      <w:pPr>
        <w:jc w:val="center"/>
        <w:ind w:right="-379"/>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p>
    <w:p>
      <w:pPr>
        <w:spacing w:after="0" w:line="43" w:lineRule="exact"/>
        <w:rPr>
          <w:sz w:val="24"/>
          <w:szCs w:val="24"/>
          <w:color w:val="auto"/>
        </w:rPr>
      </w:pPr>
    </w:p>
    <w:p>
      <w:pPr>
        <w:jc w:val="center"/>
        <w:ind w:right="-379"/>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60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outstanding 37,295,465 shares of common stock, par value $0.0001 per share, as of October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88" w:right="7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overall macroeconomic environment, including increased inflation and interest rates, demand for the healthcare services we provide, both nationally and in the regions in which we operate, the ongoing impacts of the coronavirus pandemic (COVID or COVID-19) on our business, financial condition, and results of operations,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2021 (2021 Form 10-K), as filed and updated in our Quarterly Reports on Form 10-Q and other filings with the Securities and Exchange Commission (SEC).</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14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gridSpan w:val="9"/>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6"/>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7"/>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7"/>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3"/>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(Unaudited)</w:t>
            </w:r>
          </w:p>
        </w:tc>
        <w:tc>
          <w:tcPr>
            <w:tcW w:w="4120" w:type="dxa"/>
            <w:vAlign w:val="bottom"/>
            <w:gridSpan w:val="7"/>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2680" w:type="dxa"/>
            <w:vAlign w:val="bottom"/>
            <w:gridSpan w:val="2"/>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340" w:type="dxa"/>
            <w:vAlign w:val="bottom"/>
            <w:gridSpan w:val="4"/>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 (Unaudited)</w:t>
            </w:r>
          </w:p>
        </w:tc>
        <w:tc>
          <w:tcPr>
            <w:tcW w:w="3060" w:type="dxa"/>
            <w:vAlign w:val="bottom"/>
            <w:gridSpan w:val="3"/>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20" w:type="dxa"/>
            <w:vAlign w:val="bottom"/>
            <w:gridSpan w:val="3"/>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6160" w:type="dxa"/>
            <w:vAlign w:val="bottom"/>
            <w:gridSpan w:val="10"/>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37</w:t>
            </w:r>
          </w:p>
        </w:tc>
      </w:tr>
      <w:tr>
        <w:trPr>
          <w:trHeight w:val="26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40" w:type="dxa"/>
            <w:vAlign w:val="bottom"/>
            <w:gridSpan w:val="1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263"/>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87"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$12,763 in 2022 and $6,881 in 2021</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610,897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493,910</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508,273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$19,846 in 2022 and $17,729 in 2021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119,490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 indefinite-lived</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11,525</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insurance recovery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13,998</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7,958</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109,753</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65,580</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debt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earnout liability</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199,770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176,366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accrued claims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25,314</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earnout liability</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13,788</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435,281</w:t>
            </w:r>
          </w:p>
        </w:tc>
      </w:tr>
      <w:tr>
        <w:trPr>
          <w:trHeight w:val="203"/>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321,552</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(22,735)</w:t>
            </w: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422,709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297,528</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420" w:top="887" w:right="4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ectPr>
          <w:pgSz w:w="11900" w:h="16838" w:orient="portrait"/>
          <w:cols w:equalWidth="0" w:num="1">
            <w:col w:w="11240"/>
          </w:cols>
          <w:pgMar w:left="320" w:top="887" w:right="339" w:bottom="1440" w:gutter="0" w:footer="0" w:header="0"/>
        </w:sectPr>
      </w:pPr>
    </w:p>
    <w:p>
      <w:pPr>
        <w:spacing w:after="0" w:line="27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7" w:lineRule="exact"/>
        <w:rPr>
          <w:sz w:val="20"/>
          <w:szCs w:val="20"/>
          <w:color w:val="auto"/>
        </w:rPr>
      </w:pPr>
    </w:p>
    <w:p>
      <w:pPr>
        <w:ind w:left="6440"/>
        <w:spacing w:after="0"/>
        <w:tabs>
          <w:tab w:leader="none" w:pos="77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14605</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31" w:lineRule="exact"/>
        <w:rPr>
          <w:sz w:val="20"/>
          <w:szCs w:val="20"/>
          <w:color w:val="auto"/>
        </w:rPr>
      </w:pPr>
    </w:p>
    <w:p>
      <w:pPr>
        <w:sectPr>
          <w:pgSz w:w="11900" w:h="16838" w:orient="portrait"/>
          <w:cols w:equalWidth="0" w:num="2">
            <w:col w:w="8460" w:space="720"/>
            <w:col w:w="20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636,098</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374,905</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2,178,391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1,035,973</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808,124</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149,518</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6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348,458</w:t>
            </w:r>
          </w:p>
        </w:tc>
        <w:tc>
          <w:tcPr>
            <w:tcW w:w="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1,956,747</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972,631</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63,342</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59,909</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54,429</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foreign currency translation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54,397</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5"/>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37,492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37,582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37,741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37,276</w:t>
            </w: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 w:name="page6"/>
    <w:bookmarkEnd w:id="5"/>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CROSS COUNTRY HEALTHCARE, INC. CONDENSED CONSOLIDATED STATEMENTS OF STOCKHOLDERS' EQUITY Three Months Ended September 30, 2022 and 2021 (Unaudited, amounts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9"/>
        </w:trPr>
        <w:tc>
          <w:tcPr>
            <w:tcW w:w="2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June 30, 2022</w:t>
            </w:r>
          </w:p>
        </w:tc>
        <w:tc>
          <w:tcPr>
            <w:tcW w:w="8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37,523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320,000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92,142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410,811</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1,491</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1,491</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(1,015)</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(24,348)</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(24,348)</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w:t>
            </w:r>
          </w:p>
        </w:tc>
        <w:tc>
          <w:tcPr>
            <w:tcW w:w="4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0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34,793</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34,793</w:t>
            </w:r>
          </w:p>
        </w:tc>
      </w:tr>
      <w:tr>
        <w:trPr>
          <w:trHeight w:val="198"/>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September 30, 2022</w:t>
            </w:r>
          </w:p>
        </w:tc>
        <w:tc>
          <w:tcPr>
            <w:tcW w:w="8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36,508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297,143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(1,373)</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126,935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422,709</w:t>
            </w:r>
          </w:p>
        </w:tc>
      </w:tr>
      <w:tr>
        <w:trPr>
          <w:trHeight w:val="20"/>
        </w:trPr>
        <w:tc>
          <w:tcPr>
            <w:tcW w:w="2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8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8"/>
                <w:szCs w:val="18"/>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9"/>
        </w:trPr>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20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1"/>
                <w:szCs w:val="11"/>
                <w:color w:val="auto"/>
              </w:rPr>
            </w:pPr>
          </w:p>
        </w:tc>
        <w:tc>
          <w:tcPr>
            <w:tcW w:w="12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8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June 30, 2021</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36,962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316,644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(123,741)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192,131</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1,771</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1,771</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7"/>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Dissolution of noncontrolling interest</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(324)</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Distribution to noncontrolling</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shareholder</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r>
      <w:tr>
        <w:trPr>
          <w:trHeight w:val="20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23,433</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23,433</w:t>
            </w:r>
          </w:p>
        </w:tc>
      </w:tr>
      <w:tr>
        <w:trPr>
          <w:trHeight w:val="198"/>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September 30, 2021</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36,964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318,415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(1,312)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(100,308)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216,799</w:t>
            </w: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type w:val="continuous"/>
        </w:sectPr>
      </w:pPr>
    </w:p>
    <w:bookmarkStart w:id="6" w:name="page7"/>
    <w:bookmarkEnd w:id="6"/>
    <w:p>
      <w:pPr>
        <w:spacing w:after="0" w:line="200" w:lineRule="exact"/>
        <w:rPr>
          <w:sz w:val="20"/>
          <w:szCs w:val="20"/>
          <w:color w:val="auto"/>
        </w:rPr>
      </w:pPr>
    </w:p>
    <w:p>
      <w:pPr>
        <w:spacing w:after="0" w:line="219" w:lineRule="exact"/>
        <w:rPr>
          <w:sz w:val="20"/>
          <w:szCs w:val="20"/>
          <w:color w:val="auto"/>
        </w:rPr>
      </w:pPr>
    </w:p>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CROSS COUNTRY HEALTHCARE, INC. CONDENSED CONSOLIDATED STATEMENTS OF STOCKHOLDERS' EQUITY Nine Months Ended September 30, 2022 and 2021 (Unaudited, amounts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8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8"/>
                <w:szCs w:val="18"/>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8"/>
        </w:trPr>
        <w:tc>
          <w:tcPr>
            <w:tcW w:w="2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1"/>
                <w:szCs w:val="11"/>
                <w:color w:val="auto"/>
              </w:rPr>
            </w:pPr>
          </w:p>
        </w:tc>
        <w:tc>
          <w:tcPr>
            <w:tcW w:w="122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2021</w:t>
            </w:r>
          </w:p>
        </w:tc>
        <w:tc>
          <w:tcPr>
            <w:tcW w:w="8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37,024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321,552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(22,735)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297,528</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499</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(5,267)</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(5,267)</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5,206</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5,206</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(1,015)</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(24,348)</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(24,348)</w:t>
            </w:r>
          </w:p>
        </w:tc>
      </w:tr>
      <w:tr>
        <w:trPr>
          <w:trHeight w:val="151"/>
        </w:trPr>
        <w:tc>
          <w:tcPr>
            <w:tcW w:w="2740" w:type="dxa"/>
            <w:vAlign w:val="bottom"/>
            <w:shd w:val="clear" w:color="auto" w:fill="CCEEFF"/>
          </w:tcPr>
          <w:p>
            <w:pPr>
              <w:ind w:left="140"/>
              <w:spacing w:after="0" w:line="151"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0"/>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149,670</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149,670</w:t>
            </w:r>
          </w:p>
        </w:tc>
      </w:tr>
      <w:tr>
        <w:trPr>
          <w:trHeight w:val="22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September 30, 2022</w:t>
            </w:r>
          </w:p>
        </w:tc>
        <w:tc>
          <w:tcPr>
            <w:tcW w:w="8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36,508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297,143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126,935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422,709</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8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8"/>
                <w:szCs w:val="18"/>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8"/>
        </w:trPr>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1"/>
                <w:szCs w:val="11"/>
                <w:color w:val="auto"/>
              </w:rPr>
            </w:pPr>
          </w:p>
        </w:tc>
        <w:tc>
          <w:tcPr>
            <w:tcW w:w="12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8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2020</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36,177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310,388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(154,737)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154,909</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(2,230)</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(2,230)</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5,257</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5,257</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18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 of WSG</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5,000</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Dissolution of noncontrolling interest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(324)</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r>
      <w:tr>
        <w:trPr>
          <w:trHeight w:val="151"/>
        </w:trPr>
        <w:tc>
          <w:tcPr>
            <w:tcW w:w="2740" w:type="dxa"/>
            <w:vAlign w:val="bottom"/>
            <w:shd w:val="clear" w:color="auto" w:fill="CCEEFF"/>
          </w:tcPr>
          <w:p>
            <w:pPr>
              <w:ind w:left="140"/>
              <w:spacing w:after="0" w:line="151" w:lineRule="exact"/>
              <w:rPr>
                <w:sz w:val="20"/>
                <w:szCs w:val="20"/>
                <w:color w:val="auto"/>
              </w:rPr>
            </w:pPr>
            <w:r>
              <w:rPr>
                <w:rFonts w:ascii="Times New Roman" w:cs="Times New Roman" w:eastAsia="Times New Roman" w:hAnsi="Times New Roman"/>
                <w:sz w:val="15"/>
                <w:szCs w:val="15"/>
                <w:color w:val="auto"/>
              </w:rPr>
              <w:t>Distribution to noncontrolling</w:t>
            </w: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shareholder</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w:t>
            </w:r>
          </w:p>
        </w:tc>
      </w:tr>
      <w:tr>
        <w:trPr>
          <w:trHeight w:val="200"/>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54,429</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54,429</w:t>
            </w:r>
          </w:p>
        </w:tc>
      </w:tr>
      <w:tr>
        <w:trPr>
          <w:trHeight w:val="22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September 30, 2021</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36,964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318,415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(100,308)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216,799</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(122,887)</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36,675</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(24,470)</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(29,360)</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term loan</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Senior Secured Asset-Based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1,275,808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288,467</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on Senior Secured Asset-Based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(1,275,808)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(337,876)</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for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note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repurchase and retirement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40,869</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Cross Country Talent Acquisition Group, LLC was a joint venture controlled but not wholly-owned by the Company. Effective December 31, 2020, the sole professional staffing services agreement held by this joint venture was terminated and, as a result, the Company dissolved Cross Country Talent Acquisition Group, LLC in the third quarter of 2021.</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2021 included in the 2021 Form 10-K. The December 31, 2021 condensed consolidated balance sheet included herein was derived from the December 31, 2021 audited consolidated balance sheet included in the 2021 Form 10-K.</w:t>
      </w:r>
    </w:p>
    <w:p>
      <w:pPr>
        <w:spacing w:after="0" w:line="20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the condensed consolidated balance sheets and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ind w:right="6180" w:firstLine="8"/>
        <w:spacing w:after="0" w:line="534"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in context of the unknown future impacts of the global COVID pandemic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5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Company’s future results of operations and liquidity could be materially adversely affected by macroeconomic factors contributing to delays in payments from clients and inflationary pressure, uncertain or reduced demand, and the impact of any initiatives or programs that the Company may undertake to address financial and operational challenges faced by its clients.</w:t>
      </w:r>
    </w:p>
    <w:p>
      <w:pPr>
        <w:spacing w:after="0" w:line="18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Company is also subject to additional risks and uncertainties due to the ongoing COVID pandemic. The extent of the impact on the Company’s business is highly uncertain and difficult to predict.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5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September 30, 2022 and December 31, 2021 totaled $161.2 million and $140.0 million, respectively.</w:t>
      </w:r>
    </w:p>
    <w:p>
      <w:pPr>
        <w:spacing w:after="0" w:line="2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 when estimating its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opening balance of the allowance for doubtful accounts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w:t>
            </w:r>
          </w:p>
        </w:tc>
      </w:tr>
      <w:tr>
        <w:trPr>
          <w:trHeight w:val="20"/>
        </w:trPr>
        <w:tc>
          <w:tcPr>
            <w:tcW w:w="7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balance of this allowance as of September 30, 2022 and December 31, 2021 was $1.4 million and $0.8 million, respectively.</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U.S. based healthcare systems with a significant percentage in acute-care facilities. No single customer accounted for more than 10% of the Company’s revenue for the three and nine months ended September 30, 2022 and 2021, or the accounts receivable balance as of September 30, 2022 and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5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(benefits) costs on the condensed consolidated statements of operations primarily include employee termination costs and lease-related exit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employee termination costs and lease-related exit costs (benefits)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Employee Termination</w:t>
            </w:r>
          </w:p>
        </w:tc>
        <w:tc>
          <w:tcPr>
            <w:tcW w:w="7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Lease-Related</w:t>
            </w:r>
          </w:p>
        </w:tc>
      </w:tr>
      <w:tr>
        <w:trPr>
          <w:trHeight w:val="223"/>
        </w:trPr>
        <w:tc>
          <w:tcPr>
            <w:tcW w:w="5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(amounts in thousands)</w:t>
            </w:r>
          </w:p>
        </w:tc>
        <w:tc>
          <w:tcPr>
            <w:tcW w:w="186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30"/>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Charged to restructuring</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2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and adjustments</w:t>
            </w:r>
          </w:p>
        </w:tc>
        <w:tc>
          <w:tcPr>
            <w:tcW w:w="26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Charged to restructuring</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Pr>
          <w:p>
            <w:pPr>
              <w:spacing w:after="0"/>
              <w:rPr>
                <w:sz w:val="19"/>
                <w:szCs w:val="19"/>
                <w:color w:val="auto"/>
              </w:rPr>
            </w:pPr>
          </w:p>
        </w:tc>
        <w:tc>
          <w:tcPr>
            <w:tcW w:w="2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30"/>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Charged to restructuring</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4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31" w:lineRule="exact"/>
        <w:rPr>
          <w:sz w:val="20"/>
          <w:szCs w:val="20"/>
          <w:color w:val="auto"/>
        </w:rPr>
      </w:pPr>
    </w:p>
    <w:p>
      <w:pPr>
        <w:jc w:val="both"/>
        <w:ind w:right="720" w:firstLine="8"/>
        <w:spacing w:after="0" w:line="255"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in the condensed consolidated statements of operations for the nine months ended September 30, 2022 include a benefit of $1.4 million in the second quarter of 2022 associated with the early termination of the lease for one of the Company's corporate offices which was previously restructured.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00" w:lineRule="exact"/>
        <w:rPr>
          <w:sz w:val="20"/>
          <w:szCs w:val="20"/>
          <w:color w:val="auto"/>
        </w:rPr>
      </w:pPr>
    </w:p>
    <w:p>
      <w:pPr>
        <w:spacing w:after="0" w:line="20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592,398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615,209</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612,270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636,098</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2021</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347,115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365,170</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356,139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374,905</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2022</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2,053,935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2,120,057</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58,334</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2,109,293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69,098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2,178,391</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2021</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961,608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1,010,142</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25,831</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985,335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1,035,973</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-4337050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-4045585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-3051175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-2759710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-1765300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-1473835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56" w:lineRule="exact"/>
        <w:rPr>
          <w:sz w:val="20"/>
          <w:szCs w:val="20"/>
          <w:color w:val="auto"/>
        </w:rPr>
      </w:pPr>
    </w:p>
    <w:p>
      <w:pPr>
        <w:sectPr>
          <w:pgSz w:w="11900" w:h="16838" w:orient="portrait"/>
          <w:cols w:equalWidth="0" w:num="2">
            <w:col w:w="4940" w:space="720"/>
            <w:col w:w="5580"/>
          </w:cols>
          <w:pgMar w:left="320" w:top="887" w:right="339" w:bottom="1440" w:gutter="0" w:footer="0" w:header="0"/>
          <w:type w:val="continuous"/>
        </w:sectPr>
      </w:pPr>
    </w:p>
    <w:p>
      <w:pPr>
        <w:spacing w:after="0" w:line="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16, 2021, the Company purchased and acquired substantially all of the assets and assumed certain liabilities of Selected, Inc. (Selected) for a purchase price of $3.5 million in cash, subject to adjustment, and $1.5 million in shares (or 59,429 shares) of the Company's common stock. The transaction was treated as a purchase of assets for income tax purposes.</w:t>
      </w: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sellers were eligible to receive up to an additional $1.5 million in earnout cash consideration, based on Selected's revenues for each of the twelve-month periods ending on the first and second anniversaries of the first day after the closing date. In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ind w:right="280"/>
        <w:spacing w:after="0" w:line="282" w:lineRule="auto"/>
        <w:rPr>
          <w:sz w:val="20"/>
          <w:szCs w:val="20"/>
          <w:color w:val="auto"/>
        </w:rPr>
      </w:pPr>
      <w:r>
        <w:rPr>
          <w:rFonts w:ascii="Times New Roman" w:cs="Times New Roman" w:eastAsia="Times New Roman" w:hAnsi="Times New Roman"/>
          <w:sz w:val="18"/>
          <w:szCs w:val="18"/>
          <w:color w:val="auto"/>
        </w:rPr>
        <w:t>second quarter of 2022, the Company determined that the contingent consideration earnout related to the Selected acquisition would not be achieved for 2022 and 2023 and, as a result, the entire liability was reversed. See Note 10 - Fair Value Measurements.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assigned the following values to other identifiable intangible assets: (i) an immaterial amount to trade names with a weighted average estimated useful life of 2 years; (ii) $1.7 million to software with a weighted average estimated useful life of 5 years; and (iii) $2.9 million to a database, consisting of education professionals, with a weighted average estimated useful life of 5 years, for a total of $4.6 million in definite life intangible assets with a weighted average estimated useful life of 5 years.</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$0.4 million was recorded as goodwill on the Company's condensed consolidated balance sheets. See Note 7 - Goodwill, Trade Names, and Other Intangible Assets.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acquisition was not significant and has been accounted for using the acquisition method of accounting. Associated immaterial acquisition-related costs incurred have been included in acquisition and integration-related costs on the Company's condensed consolidated statements of operations for the nine months ended September 30,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Country Workforce Solutions Group (CCWSG)</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8, 2021, the Company purchased and acquired substantially all of the assets and assumed certain liabilities of Workforce Solutions Group, Inc. (WSG) for a purchase price of $25.0 million in cash and $5.0 million in shares (or 307,730 shares) of the Company's common stock. The parties agreed to a final net working capital reduction of $1.1 million, which was received in the fourth quarter of 2021. The transaction was treated as a purchase of assets for income tax purposes.</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sellers are also eligible to receive an earnout based on the business' performance through three years after the acquisition date that could provide up to an additional $15.0 million in cash. In the third quarter of 2022, the Company determined that the contingent consideration earnout was achieved for the 2021 through 2022 period and, as a result, the Company made a $7.5 million earnout payment. The remaining earnout liability's carrying amount of $7.5 million is included in current portion of earnout liability on the condensed consolidated balance sheets. See Note 10 - Fair Value Measurements.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on June 8, 2021:</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99"/>
        </w:trPr>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22,066</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 current</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assigned a value to other identifiable intangible assets of $14.2 million in customer relationships with a weighted average estimated useful life of 11.5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400"/>
        <w:spacing w:after="0" w:line="282"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$22.1 million was recorded as goodwill on the Company's condensed consolidated balance sheets. See Note 7 - Goodwill, Trade Names, and Other Intangible Assets.</w:t>
      </w:r>
    </w:p>
    <w:p>
      <w:pPr>
        <w:spacing w:after="0" w:line="18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COMPREHENSIVE INCOME</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Total comprehensive income includes net income or loss and foreign currency translation adjustments, net of any related deferred taxes, and is included within the accompanying condensed consolidated statements of operations.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$1.4 million at September 30, 2022 and $1.3 million at December 31, 2021.</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0"/>
                <w:szCs w:val="20"/>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6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3"/>
                <w:szCs w:val="23"/>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0"/>
        </w:trPr>
        <w:tc>
          <w:tcPr>
            <w:tcW w:w="66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9"/>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20" w:type="dxa"/>
            <w:vAlign w:val="bottom"/>
            <w:gridSpan w:val="9"/>
          </w:tcPr>
          <w:p>
            <w:pPr>
              <w:jc w:val="right"/>
              <w:ind w:right="90"/>
              <w:spacing w:after="0"/>
              <w:rPr>
                <w:sz w:val="20"/>
                <w:szCs w:val="20"/>
                <w:color w:val="auto"/>
              </w:rPr>
            </w:pPr>
            <w:r>
              <w:rPr>
                <w:rFonts w:ascii="Times New Roman" w:cs="Times New Roman" w:eastAsia="Times New Roman" w:hAnsi="Times New Roman"/>
                <w:sz w:val="14"/>
                <w:szCs w:val="14"/>
                <w:color w:val="auto"/>
              </w:rPr>
              <w:t>(amounts in thousands, except per share data)</w:t>
            </w:r>
          </w:p>
        </w:tc>
        <w:tc>
          <w:tcPr>
            <w:tcW w:w="820" w:type="dxa"/>
            <w:vAlign w:val="bottom"/>
          </w:tcPr>
          <w:p>
            <w:pPr>
              <w:spacing w:after="0"/>
              <w:rPr>
                <w:sz w:val="16"/>
                <w:szCs w:val="16"/>
                <w:color w:val="auto"/>
              </w:rPr>
            </w:pPr>
          </w:p>
        </w:tc>
      </w:tr>
      <w:tr>
        <w:trPr>
          <w:trHeight w:val="23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 - Basic and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54,429</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diluted shares: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awards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3"/>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37,276</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6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share-based awards that could potentially dilute net income per share attributable to common stockholders in the future that were not included in the computation of diluted net income per share attributable to common stockholders because to do so would have been anti-dilutive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(amounts in thousands)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2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5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 had the following acquired intangible assets: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82,902</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42,059</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78,572</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36,228</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gridSpan w:val="4"/>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 of September 30, 2022, estimated annual amortization expense was as follows: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Nurse</w:t>
            </w:r>
          </w:p>
        </w:tc>
        <w:tc>
          <w:tcPr>
            <w:tcW w:w="120" w:type="dxa"/>
            <w:vAlign w:val="bottom"/>
          </w:tcPr>
          <w:p>
            <w:pPr>
              <w:spacing w:after="0"/>
              <w:rPr>
                <w:sz w:val="17"/>
                <w:szCs w:val="17"/>
                <w:color w:val="auto"/>
              </w:rPr>
            </w:pPr>
          </w:p>
        </w:tc>
        <w:tc>
          <w:tcPr>
            <w:tcW w:w="2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2"/>
          </w:tcPr>
          <w:p>
            <w:pPr>
              <w:jc w:val="center"/>
              <w:ind w:right="56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12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2021</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396,446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43,405</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439,851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business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(269,874)</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(40,598)</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(310,472)</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119,490</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to aggregate goodwill in 2022</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acquisition adjustment - Selected </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September 30, 2022</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433,721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business</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(269,874)</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(40,598)</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110,553</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113,360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31" w:lineRule="exact"/>
        <w:rPr>
          <w:sz w:val="20"/>
          <w:szCs w:val="20"/>
          <w:color w:val="auto"/>
        </w:rPr>
      </w:pPr>
    </w:p>
    <w:p>
      <w:pPr>
        <w:ind w:right="60" w:firstLine="8"/>
        <w:spacing w:after="0" w:line="260"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the fair value of the identifiable net assets acquired, with a corresponding offset to goodwill, made during the measurement period related to the acquisition of Selected. See Note 4 - Acquisitions.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September 30, 2022 and 2021, the Company performed a qualitative assessment of each of its reporting units and determined it was not more likely than not that the fair value of its reporting units dropped below their carrying value. Although management believes that the Company's current estimates and assumptions utilized in its qualitative testing are reasonable and supportable, including its assumptions on the impact and timing related to COVID, there can be no assurance that the estimates and assumptions management used for purposes of its qualitative assessment as of September 30, 2022 will prove to be accurate predictions of future performance.</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its long-lived assets and definite-lived intangible assets, the Company reviews for impairment whenever events or changes in circumstances indicate the carrying amount may not be recoverable. As of September 30, 2022, the Company performed a qualitative assessment of its trade names and other intangible assets and, as a result, the Company wrote off a discontinued IT project and recorded a $1.9 million impairment charge. During the nine months ended September 30, 2021, the Company wrote off a discontinued software development project, resulting in an immaterial impairment charge.</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 w:name="page17"/>
    <w:bookmarkEnd w:id="1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Term Loan, interest of 8.83% and 6.50% at September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right="100"/>
        <w:spacing w:after="0" w:line="237" w:lineRule="auto"/>
        <w:rPr>
          <w:sz w:val="20"/>
          <w:szCs w:val="20"/>
          <w:color w:val="auto"/>
        </w:rPr>
      </w:pPr>
      <w:r>
        <w:rPr>
          <w:rFonts w:ascii="Times New Roman" w:cs="Times New Roman" w:eastAsia="Times New Roman" w:hAnsi="Times New Roman"/>
          <w:sz w:val="18"/>
          <w:szCs w:val="18"/>
          <w:color w:val="auto"/>
        </w:rPr>
        <w:t>Senior Secured Asset-Based Loan, interest of 4.58% and 1.60% at September 30, 2022 and December 31, 2021, respectively</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Payable, interest of 2.00% per annum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 - Note Payable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69"/>
        </w:trPr>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123,875</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174,312</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41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133,075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185,938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133,075</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181,762</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80" w:space="260"/>
            <w:col w:w="5000"/>
          </w:cols>
          <w:pgMar w:left="320" w:top="887" w:right="339" w:bottom="1440" w:gutter="0" w:footer="0" w:header="0"/>
        </w:sectPr>
      </w:pP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2021, the current portion of the term loan and the note payable are included in current portion of debt on the condensed consolidated balance sheets. The final installment of the note payable, related to contingent consideration assumed as part of a prior period acquisition, was paid in the first quarter of 2022. The Company has elected to present the debt issuance costs associated with its revolving line-of-credit as an asset, which is included in other non-current assets on the condensed consolidated balance sheets. As a result, the long-term debt in the above table will not agree to long-term debt, net of current portion on the condensed consolidated balance sheets herein.</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Late in the second quarter of 2022, the Company made an optional prepayment of $50.0 million on its term loan. The Company was entitled to determine the application of the prepayment, which was applied to all future amortization payments, with the balance applied to the remaining balloon payment in 2027. As of September 30, 2022, the aggregate schedule for maturities of debt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Senior Secured Asset-</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Based Loan</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(amounts in thousands)</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Through Years Ending December 31:</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 Credit Agreement</w:t>
      </w:r>
    </w:p>
    <w:p>
      <w:pPr>
        <w:spacing w:after="0" w:line="10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 The term loan has an interest rate of one-month London Inter-Bank Offered Rate (LIBOR) plus 5.75% per annum, subject to a 0.75% LIBOR floor. The term loan was used to pay the cash consideration, as well as any costs, fees, and expenses in connection with the WSG acquisition (see Note 4 - Acquisitions), with the remainder used to pay down a portion of the asset-based credit facility. Fees paid in connection with the Term Loan Agreement have been included as debt issuance costs and as a reduction to the carrying amount of the term loan and are expected to be amortized to interest expense over the term of the Term Loan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7" w:name="page18"/>
    <w:bookmarkEnd w:id="17"/>
    <w:p>
      <w:pPr>
        <w:ind w:right="80"/>
        <w:spacing w:after="0"/>
        <w:rPr>
          <w:sz w:val="20"/>
          <w:szCs w:val="20"/>
          <w:color w:val="auto"/>
        </w:rPr>
      </w:pPr>
      <w:r>
        <w:rPr>
          <w:rFonts w:ascii="Times New Roman" w:cs="Times New Roman" w:eastAsia="Times New Roman" w:hAnsi="Times New Roman"/>
          <w:sz w:val="18"/>
          <w:szCs w:val="18"/>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September 30, 2022. Obligations under the Term Loan Agreement are secured by substantially all the assets of the borrowers and guarantors under the Term Loan Agreement, subject to customary exceptions.</w:t>
      </w:r>
    </w:p>
    <w:p>
      <w:pPr>
        <w:spacing w:after="0" w:line="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November 18, 2021, the Company amended its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 In conjunction with the Term Loan First Amendment, the Company entered into the Term Loan First Amendment to the Intercreditor Agreement, effective as of November 18, 2021, which sets forth the lien priority, relative rights, and other creditors’ rights issues in respect of the collateral lenders.</w:t>
      </w:r>
    </w:p>
    <w:p>
      <w:pPr>
        <w:spacing w:after="0" w:line="2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to its scheduled payments, on June 23, 2022, the Company made an optional prepayment of $50.0 million to reduce interest costs, and paid a prepayment premium of $0.5 million pursuant to the Term Loan Agreement. As a result of the early prepayment, debt issuance costs of $1.4 million were written off in the three months ended June 30, 2022. The prepayment premium and the write-off of debt issuance costs are included as loss on early extinguishment of debt in the condensed consolidated statements of operations.</w:t>
      </w:r>
    </w:p>
    <w:p>
      <w:pPr>
        <w:spacing w:after="0" w:line="20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term loan is secured by a second-priority security interest in the collateral as defined in the ABL Credit Agreement (Loan Agreement) (as described below), and Wells Fargo Bank, National Association as agent, as amended by the First Amendment, Second Amendment, Third Amendment, Fourth Amendment, and Fifth Amendment to the Loan Agreement. The lien priority, relative rights, and other creditors’ rights issues in respect of the collateral lenders are set forth in the Intercreditor Agreement, by and among Wells Fargo Bank, National Association, as first lien agent, and Wilmington Trust, National Association, as second lien agent, as amended, restated, amended and restated, supplemented or otherwise modified from time to time in accordance with the terms thereof dated June 8, 2021 (Intercreditor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Loan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Effective October 25, 2019, the Company terminated its commitments under its prior senior credit facility entered into in August 2017 and entered into a Loan Agreement, by and among the Company and certain of its domestic subsidiaries, as borrowers or guarantors, Wells Fargo, PNC Bank N.A., as well as other Lenders (as defined therein) from time to time parties thereto. The Loan Agreement provides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its Loan Agreement (Fourth Amendment), whereby the permitted indebtedness (as defined in the Loan Agreement), was increased to $175.0 million.</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21, 2022, the Company amended its Loan Agreement (Fifth Amendment), which increased the current aggregate committed size of the ABL from $150.0 million to $300.0 million, extended the credit facility for an additional five years, and increased certain borrowing base sub-limits. In addition, the agreement provides the option for all or a portion of the borrowings to bear interest at a rate based on the Secured Overnight Financing Rate (SOFR) or Base Rate, at the election of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borrowers, plus an applicable margin. The applicable margin will increase 10 basis points due to the credit spread associated with the transition to SOFR.</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will be amortized ratably over the remaining term of the Loan Agreement.</w:t>
      </w:r>
    </w:p>
    <w:p>
      <w:pPr>
        <w:spacing w:after="0" w:line="5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Availability of the ABL commitments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Availability under the ABL will be used for general corporate purposes. At September 30, 2022, borrowing base availability under the ABL was $300.0 million and the Company had $9.2 million of borrowings drawn, as well as $17.5 million of letters of credit outstanding related to workers' compensation and professional liability policies, leaving $273.3 million of excess availability.</w:t>
      </w:r>
    </w:p>
    <w:p>
      <w:pPr>
        <w:spacing w:after="0" w:line="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September 30, 2022,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September 30, 2022. Obligations under the ABL are secured by substantially all the assets of the borrowers and guarantors, subject to customary exceptions.</w:t>
      </w: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Beginning in the second quarter of 2020, in connection with the continuing developments from COVID, the Company expedited restructuring plans and either reduced or fully vacated leased office space. The Company is in the process of seeking to sublet some of the space where possible. The decision and change in the use of space resulted in a right-of-use asset impairment charge of $2.8 million and $1.7 million for the nine months ended September 30, 2022 and 2021, respectively. This loss was determined by comparing the fair value of the impacted right-of-use assets to the carrying value of the assets as of the impairment measurement date. The fair value of the right-of-use assets was based on the estimated sublease income for the space taking into consideration the time period it will take to obtain a subtenant, the applicable discount rate, and the sublease rate. For the nine months ended September 30, 2022 and 2021, the Company wrote off an immaterial amount of leasehold improvements and other property and equipment related to these locations. The measurement of the right-of-use asset impairments, using the assumptions described, is a Level 3 fair value measurement. See Note 10 - Fair Value Measurements for a description of Level 3 inputs.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Condensed Consolidated Balance Sheets: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5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880" w:type="dxa"/>
            <w:vAlign w:val="bottom"/>
          </w:tcPr>
          <w:p>
            <w:pPr>
              <w:spacing w:after="0"/>
              <w:rPr>
                <w:sz w:val="19"/>
                <w:szCs w:val="19"/>
                <w:color w:val="auto"/>
              </w:rPr>
            </w:pPr>
          </w:p>
        </w:tc>
        <w:tc>
          <w:tcPr>
            <w:tcW w:w="41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(amounts in thousands)</w:t>
            </w:r>
          </w:p>
        </w:tc>
        <w:tc>
          <w:tcPr>
            <w:tcW w:w="1200" w:type="dxa"/>
            <w:vAlign w:val="bottom"/>
          </w:tcPr>
          <w:p>
            <w:pPr>
              <w:spacing w:after="0"/>
              <w:rPr>
                <w:sz w:val="19"/>
                <w:szCs w:val="19"/>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8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3,249</w:t>
            </w:r>
          </w:p>
        </w:tc>
        <w:tc>
          <w:tcPr>
            <w:tcW w:w="15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4,489</w:t>
            </w:r>
          </w:p>
        </w:tc>
        <w:tc>
          <w:tcPr>
            <w:tcW w:w="15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08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5,493</w:t>
            </w:r>
          </w:p>
        </w:tc>
        <w:tc>
          <w:tcPr>
            <w:tcW w:w="15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8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years</w:t>
            </w:r>
          </w:p>
        </w:tc>
        <w:tc>
          <w:tcPr>
            <w:tcW w:w="2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r>
    </w:tbl>
    <w:p>
      <w:pPr>
        <w:spacing w:after="0" w:line="3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September 30,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(amounts in thousands)</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Pr>
          <w:p>
            <w:pPr>
              <w:spacing w:after="0"/>
              <w:rPr>
                <w:sz w:val="19"/>
                <w:szCs w:val="19"/>
                <w:color w:val="auto"/>
              </w:rPr>
            </w:pPr>
          </w:p>
        </w:tc>
        <w:tc>
          <w:tcPr>
            <w:tcW w:w="8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4,446</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acquired under operating lease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72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8"/>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21"/>
                <w:szCs w:val="21"/>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596</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1,743</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486"/>
        </w:trPr>
        <w:tc>
          <w:tcPr>
            <w:tcW w:w="7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Pr>
          <w:p>
            <w:pPr>
              <w:spacing w:after="0"/>
              <w:rPr>
                <w:sz w:val="24"/>
                <w:szCs w:val="24"/>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2,043</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4,128</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1,674</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r>
    </w:tbl>
    <w:p>
      <w:pPr>
        <w:spacing w:after="0" w:line="31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depending on the nature of the leased asset. Operating lease expense is reported net of sublease income, which is not material. Variable and other lease costs for the nine months ended September 30, 2022 include a benefit associated with the early termination of a lease for one of the Company's corporate offices which was previously restructured.</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did not have any material operating leases which had not yet commenced. The Company has an immaterial amount of finance lease contracts related to other equipment rentals which are not included in the above disclosures.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its: (i) deferred compensation asset included in other non-current assets; and (ii) deferred compensation liability included in other long-term liabilities on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50" w:lineRule="exact"/>
        <w:rPr>
          <w:sz w:val="20"/>
          <w:szCs w:val="20"/>
          <w:color w:val="auto"/>
        </w:rPr>
      </w:pPr>
    </w:p>
    <w:p>
      <w:pPr>
        <w:ind w:left="698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September 30, 2022</w:t>
      </w:r>
      <w:r>
        <w:rPr>
          <w:sz w:val="20"/>
          <w:szCs w:val="20"/>
          <w:color w:val="auto"/>
        </w:rPr>
        <w:tab/>
      </w:r>
      <w:r>
        <w:rPr>
          <w:rFonts w:ascii="Times New Roman" w:cs="Times New Roman" w:eastAsia="Times New Roman" w:hAnsi="Times New Roman"/>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19685</wp:posOffset>
            </wp:positionV>
            <wp:extent cx="29057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-127000</wp:posOffset>
            </wp:positionV>
            <wp:extent cx="710628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27"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30"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2,317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nine months ended September 30, 2022 and 2021 included impairment charges to right-of-use assets along with related property and equipment in connection with leases that were vacated. The nine months ended September 30, 2022 also included impairment charges primarily related to the write-off of a discontinued IT project in the third quarter of 2022. Accordingly, as of September 30, 2022 and 2021, these assets were recorded at fair value using Level 3 inputs. See Note 7 - Goodwill, Trade Names, and Other Intangible Assets and Note 9 - Leases for more information about these fair value measurements.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note payable, (ii) ABL, (iii) term loan, (iv) earnout liabilities related to the WSG acquisition, and (v) earnout liabilities related to the Selected acquisition, as discussed below.</w:t>
      </w:r>
    </w:p>
    <w:p>
      <w:pPr>
        <w:spacing w:after="0" w:line="208" w:lineRule="exact"/>
        <w:rPr>
          <w:sz w:val="20"/>
          <w:szCs w:val="20"/>
          <w:color w:val="auto"/>
        </w:rPr>
      </w:pPr>
    </w:p>
    <w:p>
      <w:pPr>
        <w:ind w:firstLine="8"/>
        <w:spacing w:after="0" w:line="242"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the third and final installment on its note payable in the first quarter of 2022. Due to its relatively short-term nature, the carrying value of the note payable approximated its fair value. (ii) The carrying amount of the Company's ABL approximates fair value because the interest rates are variable and reflective of market rates. (iii) The estimated fair value of the Company's term loan was calculated applying an interest rate lattice model using Level 2 inputs from available market information. (iv) Potential earnout payments related to the WSG acquisition are contingent upon meeting certain performance requirements based on 2021 through 2023 performance. The Company performed an analysis using multiple forecasted scenarios to determine the fair value of the earnout liability. In the third quarter of 2022, the Company determined that the contingent consideration earnout related to the WSG acquisition was achieved for the 2021 through 2022 period and, as a result, the Company made a $7.5 million earnout payment. The remaining earnout liability's carrying amount approximates fair value and is included in current portion of earnout liability on the condensed consolidated balance sheets. See Note 4 - Acquisitions. (v) Potential earnout payments related to the Selected acquisition were contingent upon meeting certain performance requirements based on 2022 and 2023 revenues. The earnout liability's carrying amount approximates fair value and was included in current portion of earnout liability and non-current earnout liability on the condensed consolidated balance sheets. In the second quarter of 2022, the Company determined that the contingent consideration earnout related to the Selected acquisition would not be achieved for 2022 and 2023 and, as a result, the entire liability was reversed. See Note 4 - Acquisitions.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carrying amounts and estimated fair value of the Company’s significant financial instruments that were not measured at fair value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80" w:type="dxa"/>
            <w:vAlign w:val="bottom"/>
          </w:tcPr>
          <w:p>
            <w:pPr>
              <w:spacing w:after="0"/>
              <w:rPr>
                <w:sz w:val="20"/>
                <w:szCs w:val="20"/>
                <w:color w:val="auto"/>
              </w:rPr>
            </w:pPr>
          </w:p>
        </w:tc>
      </w:tr>
      <w:tr>
        <w:trPr>
          <w:trHeight w:val="169"/>
        </w:trPr>
        <w:tc>
          <w:tcPr>
            <w:tcW w:w="38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3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271"/>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6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61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41"/>
        </w:trPr>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60" w:type="dxa"/>
            <w:vAlign w:val="bottom"/>
          </w:tcPr>
          <w:p>
            <w:pPr>
              <w:spacing w:after="0"/>
              <w:rPr>
                <w:sz w:val="20"/>
                <w:szCs w:val="20"/>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30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4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38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6"/>
                <w:szCs w:val="16"/>
                <w:color w:val="auto"/>
              </w:rPr>
              <w:t>(amounts in thousands)</w:t>
            </w: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2"/>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Senior Secured Asset-Based Loan</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9,200</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9,200</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9,200</w:t>
            </w:r>
          </w:p>
        </w:tc>
        <w:tc>
          <w:tcPr>
            <w:tcW w:w="200" w:type="dxa"/>
            <w:vAlign w:val="bottom"/>
          </w:tcPr>
          <w:p>
            <w:pPr>
              <w:spacing w:after="0"/>
              <w:rPr>
                <w:sz w:val="17"/>
                <w:szCs w:val="17"/>
                <w:color w:val="auto"/>
              </w:rPr>
            </w:pPr>
          </w:p>
        </w:tc>
        <w:tc>
          <w:tcPr>
            <w:tcW w:w="640" w:type="dxa"/>
            <w:vAlign w:val="bottom"/>
            <w:tcBorders>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3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174,312</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174,845</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Earnout Liability (WSG)</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7"/>
                <w:szCs w:val="17"/>
                <w:color w:val="auto"/>
              </w:rPr>
            </w:pPr>
          </w:p>
        </w:tc>
        <w:tc>
          <w:tcPr>
            <w:tcW w:w="640" w:type="dxa"/>
            <w:vAlign w:val="bottom"/>
            <w:tcBorders>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3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Earnout Liability (Selected)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72" w:lineRule="exact"/>
        <w:rPr>
          <w:sz w:val="20"/>
          <w:szCs w:val="20"/>
          <w:color w:val="auto"/>
        </w:rPr>
      </w:pPr>
    </w:p>
    <w:p>
      <w:pPr>
        <w:ind w:right="8520" w:firstLine="8"/>
        <w:spacing w:after="0" w:line="549" w:lineRule="auto"/>
        <w:tabs>
          <w:tab w:leader="none" w:pos="39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Stock Repurchase Program</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16, 2022, the Company's Board of Directors authorized a new stock repurchase program (the New Repurchase Program), whereby the Company may repurchase up to $100.0 million of its shares of common stock, subject to the terms of its current credit agreements. The shares may be repurchased from time-to-time in the open market or in privately negotiated transactions. The New Repurchase Program was effective immediately and may be discontinued at any time at the Board's discretion. In addition to the repurchase of $100.0 million of its shares of common stock under the New Repurchase Program, the Company was authorized to continue to repurchase any remaining shares available for repurchase under the Company's previous stock repurchase program, which was approved by the Board of Directors on February 28, 2008 (the Prior Repurchase Program). Upon completion of the authorized number of shares available for repurchase under the Prior Repurchase Program, the Company commenced repurchases under the New Repurchase Program during the third quarter of 2022. During the third quarter, the Company repurchased and retired, under both the Prior Repurchase Program and the New Repurchase Program, a total of 1,014,815 shares of common stock for $24.3 million, at an average market price of $23.97 per share. During the three and nine months ended September 30, 2021, the Company did not repurchase any shares of its common stock.</w:t>
      </w:r>
    </w:p>
    <w:p>
      <w:pPr>
        <w:spacing w:after="0" w:line="2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$87.2 million remaining for share repurchase under the New Repurchase Program, subject to certain conditions in the Company's Loan Agreement and Term Loan Agreement. At September 30, 2022, the Company had 36,508,529 unrestricted shares of common stock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19, 2020, the Company's stockholders approved the Cross Country Healthcare, Inc. 2020 Omnibus Incentive Plan (2020 Plan), which replaced the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2017 Plan and the 2020 Plan (Plans) for the nine months ended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287,774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(575,051)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(79,520)</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(47,675)</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September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672,658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476,086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Awards granted to non-employee directors under the 2017 Plan, prior to the adoption of the 2020 Plan, vest in three equal installments on the first, second, and third anniversaries of the grant date, while restricted shares granted under the 2020 Plan on and subsequent to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Plans, the number of target shares that are issued for performance-based stock awards are determined based on the level of attainment of the targets. During the first quarter of 2022, the Company's Compensation Committee of the Board of Directors approved a 120% level of attainment for the 2019 performance-based share awards, resulting in the issuance of 170,278 performance shares that vested on March 31, 2022.</w:t>
      </w:r>
    </w:p>
    <w:p>
      <w:pPr>
        <w:spacing w:after="0" w:line="203"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$1.5 million and $5.2 million, respectively, was included in selling, general and administrative expenses related to share-based payments. During the nine months ended September 30, 2022, a net of 499,700 shares of common stock were issued upon the vesting of restricted and performance stock. No shares vested during the three months ended September 30, 2022.</w:t>
      </w:r>
    </w:p>
    <w:p>
      <w:pPr>
        <w:spacing w:after="0" w:line="21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2021, $1.8 million and $5.3 million, respectively, was included in selling, general and administrative expenses related to share-based payments, and a net of 2,576 and 479,206 shares, respectively, of common stock were issued upon the vesting of restricted stock.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segments offer services to its customers as described below:</w:t>
      </w:r>
    </w:p>
    <w:p>
      <w:pPr>
        <w:spacing w:after="0" w:line="250" w:lineRule="exact"/>
        <w:rPr>
          <w:sz w:val="20"/>
          <w:szCs w:val="20"/>
          <w:color w:val="auto"/>
        </w:rPr>
      </w:pPr>
    </w:p>
    <w:p>
      <w:pPr>
        <w:ind w:left="660" w:hanging="328"/>
        <w:spacing w:after="0" w:line="275" w:lineRule="auto"/>
        <w:tabs>
          <w:tab w:leader="none" w:pos="62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Nurse and Allied Staffing </w:t>
      </w:r>
      <w:r>
        <w:rPr>
          <w:rFonts w:ascii="Times New Roman" w:cs="Times New Roman" w:eastAsia="Times New Roman" w:hAnsi="Times New Roman"/>
          <w:sz w:val="17"/>
          <w:szCs w:val="17"/>
          <w:color w:val="auto"/>
        </w:rPr>
        <w:t>– Nurse and Allied Staffing provides traditional staffing, recruiting, and value-added total talent solutions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temporary and permanent placement of travel and local nurse and allied professionals, managed services programs (MSP) services, education healthcare services, in-home care services, and outsourcing services. In addition, Nurse and Allied Staffing provides retained search services for healthcare professionals, as well as contingent search and recruitment process outsourcing services. Its clients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spacing w:after="0" w:line="195" w:lineRule="exact"/>
        <w:rPr>
          <w:rFonts w:ascii="Times New Roman" w:cs="Times New Roman" w:eastAsia="Times New Roman" w:hAnsi="Times New Roman"/>
          <w:sz w:val="17"/>
          <w:szCs w:val="17"/>
          <w:color w:val="auto"/>
        </w:rPr>
      </w:pPr>
    </w:p>
    <w:p>
      <w:pPr>
        <w:ind w:left="660" w:right="340" w:hanging="328"/>
        <w:spacing w:after="0" w:line="290" w:lineRule="auto"/>
        <w:tabs>
          <w:tab w:leader="none" w:pos="62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Physician Staffing </w:t>
      </w:r>
      <w:r>
        <w:rPr>
          <w:rFonts w:ascii="Times New Roman" w:cs="Times New Roman" w:eastAsia="Times New Roman" w:hAnsi="Times New Roman"/>
          <w:sz w:val="17"/>
          <w:szCs w:val="17"/>
          <w:color w:val="auto"/>
        </w:rPr>
        <w:t>– Physician Staffing provides physicians in many specialties, as well as certified registered nurse anesthetists, nurse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evaluates performance of each segment primarily based on revenue and contribution income. The Company defines contribution income as income (loss) from operations before depreciation and amortization, acquisition and integration-related costs, restructuring (benefits) costs, legal settlement charges,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from operations for the periods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9"/>
                <w:szCs w:val="19"/>
                <w:color w:val="auto"/>
              </w:rPr>
            </w:pPr>
          </w:p>
        </w:tc>
        <w:tc>
          <w:tcPr>
            <w:tcW w:w="30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4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60" w:type="dxa"/>
            <w:vAlign w:val="bottom"/>
            <w:gridSpan w:val="5"/>
          </w:tcPr>
          <w:p>
            <w:pPr>
              <w:ind w:left="440"/>
              <w:spacing w:after="0"/>
              <w:rPr>
                <w:sz w:val="20"/>
                <w:szCs w:val="20"/>
                <w:color w:val="auto"/>
              </w:rPr>
            </w:pPr>
            <w:r>
              <w:rPr>
                <w:rFonts w:ascii="Times New Roman" w:cs="Times New Roman" w:eastAsia="Times New Roman" w:hAnsi="Times New Roman"/>
                <w:sz w:val="16"/>
                <w:szCs w:val="16"/>
                <w:color w:val="auto"/>
              </w:rPr>
              <w:t>(amounts in thousands)</w:t>
            </w: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612,270</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356,139</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2,109,293</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985,335</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636,098</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374,905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2,178,391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1,035,973</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285,506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113,346</w:t>
            </w:r>
          </w:p>
        </w:tc>
      </w:tr>
      <w:tr>
        <w:trPr>
          <w:trHeight w:val="230"/>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116,246</w:t>
            </w:r>
          </w:p>
        </w:tc>
      </w:tr>
      <w:tr>
        <w:trPr>
          <w:trHeight w:val="257"/>
        </w:trPr>
        <w:tc>
          <w:tcPr>
            <w:tcW w:w="4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overhead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40,326</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221,644</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63,342</w:t>
            </w: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80" w:firstLine="8"/>
        <w:spacing w:after="0" w:line="260"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The Company believes the outcome of any outstanding loss contingencies as of September 30, 2022 will not have a material adverse effect on its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the liability is reflected in sales tax payable within other current liabilities in its condensed consolidated balance sheets.</w:t>
      </w:r>
    </w:p>
    <w:p>
      <w:pPr>
        <w:spacing w:after="0" w:line="2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calculated its effective tax rate estimating its annual effective tax rate, as opposed to the three and nine months ended September 30, 2021 whereby the Company calculated its effective tax rate based on year-to-date results. The Company’s effective tax rate for the three and nine months ended September 30, 2022 was 28.6% and 28.7%, respectively, including the impact of discrete items, and 28.6% and 29.3%, respectively, excluding discrete items. The Company's effective tax rate for the three and nine months ended September 30, 2021 was 4.9% and 9.1%, respectively, including the impact of discrete items, and 4.9% and 5.9%, respectively, excluding discrete items. The effective tax rate for the three and nine months ended September 30, 2022 was primarily impacted by federal and state taxes. As a result of the Company's valuation allowance on substantially all of its domestic deferred tax assets, the effective tax rate for the three and nine months ended September 30, 2021 was primarily impacted by international taxes and state taxes, while the effective tax rate for the nine months ended September 30, 2021 was also impacted by additional valuation allowance required as a result of the WSG acquisition.</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concluded that it was more likely than not that a benefit from a substantial portion of its United States federal and state deferred tax assets would be realized and released the majority of its valuation allowance. As of December 31, 2021, the Company had an immaterial amount of valuation allowance on its deferred tax assets related to state net operating losses not expected to be realized before expiration. There was no valuation allowance related to state net operating losses as of September 30, 2022.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(the IRA) into law in the U.S. Among other changes, the IRA introduced an excise tax on certain stock repurchases by certain covered corporations for taxable years beginning after December 31, 2022. Based on its current estimates and pending future guidance to be issued by the Internal Revenue Service, the Company does not believe these provisions will have a material impact on its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years 2012 through 2021 remain open to examination by certain taxing jurisdictions to which the Company is subject to tax.</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Mr. Clark, the Company's non-executive Chairman of the Board of Directors since April 1, 2022, and the Company's Co-Founder &amp; Chief Executive Officer through March 31, 2022.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and nine months ended September 30, 2022 and 2021, the Company incurred an immaterial amount in expenses. The Company had immaterial payable balances at September 30, 2022 and December 31, 2021.</w:t>
      </w:r>
    </w:p>
    <w:p>
      <w:pPr>
        <w:spacing w:after="0" w:line="2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entities which are affiliated with certain members of the Company’s Board of Directors. Management believes the services were conducted on terms equivalent to those prevailing in an arm's-length transaction. Revenue related to these transactions was $0.7 million and $1.5 million for the three and nine months ended September 30, 2022, respectively, and an immaterial amount for the three and nine months ended September 30, 2021. Accounts receivable due from these entities was an immaterial amount at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6" w:name="page27"/>
    <w:bookmarkEnd w:id="26"/>
    <w:p>
      <w:pPr>
        <w:ind w:right="140"/>
        <w:spacing w:after="0" w:line="261" w:lineRule="auto"/>
        <w:rPr>
          <w:sz w:val="20"/>
          <w:szCs w:val="20"/>
          <w:color w:val="auto"/>
        </w:rPr>
      </w:pPr>
      <w:r>
        <w:rPr>
          <w:rFonts w:ascii="Times New Roman" w:cs="Times New Roman" w:eastAsia="Times New Roman" w:hAnsi="Times New Roman"/>
          <w:sz w:val="18"/>
          <w:szCs w:val="18"/>
          <w:color w:val="auto"/>
        </w:rPr>
        <w:t>Following the WSG acquisition on June 8, 2021, the Company continued to rent WSG's headquarters. The Chief Executive Officer and Founder of WSG, who is currently a business unit president with the Company, is an agent of the lessor. The lease term for WSG's headquarters expires on December 31, 2024. The Company paid an immaterial amount in rent expense for these premises for the three and nine months ended September 30, 2022 and the three months ended September 30, 2021. The Company had no payable balance at September 30, 2022 and December 31, 2021.</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On October 28,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which requires contract assets and contract liabilities such as deferred revenue acquired in a business combination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and measured by the acquirer on the acquisition date in accordance with ASC 606, Revenue from Contracts with Customers. Generally, this amendment will result in the acquirer recognizing contract assets and contract liabilities at the same amounts recorded by the acquiree. Historically such amounts were recognized by the acquirer at fair value in acquisition accounting. This guidance is effective for fiscal years beginning after December 15, 2022, including interim periods within those fiscal years. The amendments should be applied prospectively to business combinations occurring on or after the effective date of the amendments. Early adoption is permitted, including adoption in an interim period. The Company is currently in the process of evaluating this standard and expects to adopt this standard in its first quarter of 2023.</w:t>
      </w: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3, 2022, the Company completed the acquisition of substantially all of the assets and certain liabilities of Mint Medical Physician Staffing, LP (Mint) and Lotus Medical Staffing LLC (Lotus). Mint and Lotus place healthcare professionals in locum tenens positions throughout the country. The purchase price of the acquisition was paid for with a proportional combination of cash and shares of the Company's common stock. The acquisition was not significant to the Company's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Prepayment</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26, 2022, the Company made an optional prepayment on its term loan, resulting in a prepayment premium and the write-off of debt issuance costs. The prepayment was applied to the remaining balloon payment in 2027.</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2021 (2021 Form 10-K) (including Part I, Item 1A. "Risk Factors"), our financial statements and the accompanying notes to our financial statements, as well as the Risk Factors contained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Selected and Workforce Solutions Group, Inc. (WSG).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ind w:right="40"/>
        <w:spacing w:after="0" w:line="256" w:lineRule="auto"/>
        <w:rPr>
          <w:sz w:val="20"/>
          <w:szCs w:val="20"/>
          <w:color w:val="auto"/>
        </w:rPr>
      </w:pPr>
      <w:r>
        <w:rPr>
          <w:rFonts w:ascii="Times New Roman" w:cs="Times New Roman" w:eastAsia="Times New Roman" w:hAnsi="Times New Roman"/>
          <w:sz w:val="18"/>
          <w:szCs w:val="18"/>
          <w:color w:val="auto"/>
        </w:rPr>
        <w:t>Our workforce solutions include managed service programs (MSPs), recruitment process outsourcing (RPO), project management, and other outsourcing and consultative services as described in Item 1. “Business” in our 2021 Form 10-K. By utilizing the solutions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which we believe is closely aligned with our core values to create a better future for our people, communities, and our stockholders.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our business segments are regularly reviewed by the chief operating decision maker.</w:t>
      </w:r>
    </w:p>
    <w:p>
      <w:pPr>
        <w:spacing w:after="0" w:line="250" w:lineRule="exact"/>
        <w:rPr>
          <w:sz w:val="20"/>
          <w:szCs w:val="20"/>
          <w:color w:val="auto"/>
        </w:rPr>
      </w:pPr>
    </w:p>
    <w:p>
      <w:pPr>
        <w:ind w:left="660" w:right="100" w:hanging="328"/>
        <w:spacing w:after="0" w:line="255" w:lineRule="auto"/>
        <w:tabs>
          <w:tab w:leader="none" w:pos="6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96% of our total revenue in the third quarter of 2022. The Nurse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clients such as local and national healthcare plans, managed care providers,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w:t>
      </w:r>
    </w:p>
    <w:p>
      <w:pPr>
        <w:spacing w:after="0" w:line="211" w:lineRule="exact"/>
        <w:rPr>
          <w:rFonts w:ascii="Times New Roman" w:cs="Times New Roman" w:eastAsia="Times New Roman" w:hAnsi="Times New Roman"/>
          <w:sz w:val="18"/>
          <w:szCs w:val="18"/>
          <w:color w:val="auto"/>
        </w:rPr>
      </w:pPr>
    </w:p>
    <w:p>
      <w:pPr>
        <w:ind w:left="660" w:hanging="328"/>
        <w:spacing w:after="0" w:line="267" w:lineRule="auto"/>
        <w:tabs>
          <w:tab w:leader="none" w:pos="6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4% of our total revenue in the third quarter of 2022. Physician Staffing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the quarter ended September 30, 2022, revenue from services increased 70% year-over-year to $636.1 million, due to continued growth in both our Nurse and Allied Staffing and Physician Staffing segments. The year-over-year revenue increase was primarily driven by an increase in professionals on assignment and volume growth. In the third quarter of 2022, revenue decreased 16% sequentially, primarily due to average bill rates declining in the low double digits and a decrease in billable hours, as anticipated. Net income attributable to common stockholders in the third quarter of 2022 was $34.8 million, as compared to $23.4 million for the same period in the prior year.</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remainder of 2022, average travel bill rates are anticipated to experience a high single-digit sequential decline. Looking to 2023, we anticipate continued organic growth, driving further market share gains despite potential headwinds from changing bill rates or demand from certain specialties. We remain committed to continued investments in our people and technology, including the ongoing rollout of our proprietary vendor-neutral offering, Intellify.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13, 2022, we entered into an agreement to acquire locums companies Mint and Lotus, which closed on October 3, 2022.</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2022, cash flow provided by operating activities was $140.6 million, with net borrowings of $9.2 million on our senior secured asset-based credit facility (ABL), and an increase in working capital stemming from an increase in accounts receivable partly offset by the timing of disbursements. As of September 30, 2022, we had $30.3 million of cash and cash equivalents, a portion of which was subsequently used to complete the acquisition of Mint and Lotus as noted above. As of September 30, 2022, we had a principal balance of $123.9 million outstanding on our term loan, and borrowing base availability under the ABL was $300.0 million, with $9.2 million of borrowings drawn under our ABL, and $17.5 million of undrawn letters of credit outstanding, leaving $273.3 million of excess availability.</w:t>
      </w:r>
    </w:p>
    <w:p>
      <w:pPr>
        <w:spacing w:after="0" w:line="21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the third quarter of 2022, our Board of Directors authorized the New Repurchase Program, whereby we may repurchase up to $100.0 million of our shares of common stock. Upon completion of the authorized number of shares available for repurchase under the Prior Repurchase Program, we commenced repurchases under the New Repurchase Program during the third quarter of 2022. During the quarter, we repurchased, under both the Prior Repurchase Program and the New Repurchase Program, a total of 1,014,815 shares of common stock for $24.3 million, at an average market price of $23.97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Segment Results, and Liquidity and Capital Resources sections that follow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Metrics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80" w:type="dxa"/>
            <w:vAlign w:val="bottom"/>
          </w:tcPr>
          <w:p>
            <w:pPr>
              <w:ind w:left="1540"/>
              <w:spacing w:after="0" w:line="169" w:lineRule="exact"/>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on a full-time equivalent basis.</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768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768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c>
          <w:tcPr>
            <w:tcW w:w="0" w:type="dxa"/>
            <w:vAlign w:val="bottom"/>
          </w:tcPr>
          <w:p>
            <w:pPr>
              <w:spacing w:after="0"/>
              <w:rPr>
                <w:sz w:val="1"/>
                <w:szCs w:val="1"/>
                <w:color w:val="auto"/>
              </w:rPr>
            </w:pPr>
          </w:p>
        </w:tc>
      </w:tr>
      <w:tr>
        <w:trPr>
          <w:trHeight w:val="229"/>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worked in the respective periods.</w:t>
            </w:r>
          </w:p>
        </w:tc>
        <w:tc>
          <w:tcPr>
            <w:tcW w:w="0" w:type="dxa"/>
            <w:vAlign w:val="bottom"/>
          </w:tcPr>
          <w:p>
            <w:pPr>
              <w:spacing w:after="0"/>
              <w:rPr>
                <w:sz w:val="1"/>
                <w:szCs w:val="1"/>
                <w:color w:val="auto"/>
              </w:rPr>
            </w:pPr>
          </w:p>
        </w:tc>
      </w:tr>
      <w:tr>
        <w:trPr>
          <w:trHeight w:val="180"/>
        </w:trPr>
        <w:tc>
          <w:tcPr>
            <w:tcW w:w="3520" w:type="dxa"/>
            <w:vAlign w:val="bottom"/>
            <w:vMerge w:val="continue"/>
          </w:tcPr>
          <w:p>
            <w:pPr>
              <w:spacing w:after="0"/>
              <w:rPr>
                <w:sz w:val="15"/>
                <w:szCs w:val="15"/>
                <w:color w:val="auto"/>
              </w:rPr>
            </w:pPr>
          </w:p>
        </w:tc>
        <w:tc>
          <w:tcPr>
            <w:tcW w:w="7680" w:type="dxa"/>
            <w:vAlign w:val="bottom"/>
          </w:tcPr>
          <w:p>
            <w:pPr>
              <w:ind w:left="1540"/>
              <w:spacing w:after="0" w:line="181" w:lineRule="exact"/>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768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rPr>
              <w:t>Revenue per day filled is calculated by dividing revenue as reported by days filled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for the period presented.</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19"/>
                <w:szCs w:val="19"/>
                <w:color w:val="auto"/>
              </w:rPr>
            </w:pPr>
          </w:p>
        </w:tc>
        <w:tc>
          <w:tcPr>
            <w:tcW w:w="28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720" w:type="dxa"/>
            <w:vAlign w:val="bottom"/>
          </w:tcPr>
          <w:p>
            <w:pPr>
              <w:spacing w:after="0"/>
              <w:rPr>
                <w:sz w:val="20"/>
                <w:szCs w:val="20"/>
                <w:color w:val="auto"/>
              </w:rPr>
            </w:pPr>
          </w:p>
        </w:tc>
        <w:tc>
          <w:tcPr>
            <w:tcW w:w="28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7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Three Months Ended September 30, 2022 and the Three Months Ended September 30,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160" w:type="dxa"/>
            <w:vAlign w:val="bottom"/>
            <w:tcBorders>
              <w:bottom w:val="single" w:sz="8" w:color="auto"/>
            </w:tcBorders>
          </w:tcPr>
          <w:p>
            <w:pPr>
              <w:spacing w:after="0"/>
              <w:rPr>
                <w:sz w:val="20"/>
                <w:szCs w:val="20"/>
                <w:color w:val="auto"/>
              </w:rPr>
            </w:pPr>
          </w:p>
        </w:tc>
      </w:tr>
      <w:tr>
        <w:trPr>
          <w:trHeight w:val="174"/>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460"/>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160" w:type="dxa"/>
            <w:vAlign w:val="bottom"/>
          </w:tcPr>
          <w:p>
            <w:pPr>
              <w:jc w:val="center"/>
              <w:ind w:right="110"/>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color w:val="auto"/>
              </w:rPr>
              <w:t>(Amounts in thousands)</w:t>
            </w:r>
          </w:p>
        </w:tc>
        <w:tc>
          <w:tcPr>
            <w:tcW w:w="11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636,098</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92.8 %</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97.7 %</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48.5 %</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Revenue from services increased 69.7% to $636.1 million for the three months ended September 30, 2022, as compared to $374.9 million for the three months ended September 30, 2021, due to strong performance in both our Nurse and Allied Staffing and Physician Staffing segments, primarily driven by an increase in the number of professionals on assignment, as well as higher bill rates in Nurse and Allied.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related insurance expenses. Direct operating expenses increased $201.4 million, or 69.2%, to $492.6 million for the three months ended September 30, 2022, as compared to $291.1 million for the three months ended September 30, 2021, as a result of revenue increases. As a percentage of total revenue, direct operating expenses slightly decreased to 77.4% compared to 77.6% in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51.8% to $80.2 million for the three months ended September 30, 2022, as compared to $52.8 million for the three months ended September 30, 2021, primarily due to increases in compensation and benefit expense, as well as marketing and consulting expense and computer subscription fees. As a percentage of total revenue, selling, general and administrative expenses decreased to 12.6% for the three months ended September 30, 2022, as compared to 14.1% for the three months ended September 30,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September 30, 2022 was $3.2 million, as compared to $2.7 million for the three months ended September 30, 2021. The increase was primarily due to the additional amortization of other intangible assets from the WSG and Selected acquisitions. See Note 7 - Goodwill, Trade Names, and Other Intangible Assets to our condensed consolidated financial statements. As a percentage of revenue, depreciation and amortization expense was 0.5% for the three months ended September 30, 2022 and 0.7% for the three months ended September 30,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costs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Acquisition and integration-related costs for the three months ended September 30, 2022 included costs for legal and advisory fees for the Mint and Lotus acquisition that closed on October 3, 2022. Acquisition and integration-related costs for the three months ended September 30, 2021 included costs for legal and advisory fees for the WSG acquisition that closed on June 8,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Restructuring costs for the three months ended September 30, 2022 and 2021 were primarily comprised of ongoing lease costs related to the Company's strategic reduction of its real estate footprint and totaled $2.5 million and $0.3 million, respectively. Restructuring costs for the three months ended September 30, 2022 also included employee termination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impairment charges totaled $3.9 million for the three months ended September 30, 2022 and related to real estate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restructuring activities and the write-off of a discontinued IT project. There were no such charges for the three months ended September 30, 2021. See Note 7 - Goodwill, Trade Names, and Other Intangible Assets and Note 9 - Leases to our condensed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Interest expense was $3.5 million for the three months ended September 30, 2022, as compared to $2.2 million for the three months ended September 30, 2021, due to higher average borrowings and a higher effective interest rate. The effective interest rate on our borrowings was 8.2% and 7.5% for the three months ended September 30, 2022 and 2021,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660"/>
        <w:spacing w:after="0" w:line="289" w:lineRule="auto"/>
        <w:rPr>
          <w:sz w:val="20"/>
          <w:szCs w:val="20"/>
          <w:color w:val="auto"/>
        </w:rPr>
      </w:pPr>
      <w:r>
        <w:rPr>
          <w:rFonts w:ascii="Times New Roman" w:cs="Times New Roman" w:eastAsia="Times New Roman" w:hAnsi="Times New Roman"/>
          <w:sz w:val="17"/>
          <w:szCs w:val="17"/>
          <w:color w:val="auto"/>
        </w:rPr>
        <w:t>Income tax expense totaled $13.9 million for the three months ended September 30, 2022, compared to $1.2 million for the three months ended September 30, 2021. The increase in income tax expense was primarily driven by federal and state taxes, as in the prior year there was a valuation allowance on substantially all of our domestic deferred tax assets.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Nine Months Ended September 30, 2022 and the Nine Months Ended September 30,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180" w:type="dxa"/>
            <w:vAlign w:val="bottom"/>
            <w:tcBorders>
              <w:bottom w:val="single" w:sz="8" w:color="auto"/>
            </w:tcBorders>
          </w:tcPr>
          <w:p>
            <w:pPr>
              <w:spacing w:after="0"/>
              <w:rPr>
                <w:sz w:val="20"/>
                <w:szCs w:val="20"/>
                <w:color w:val="auto"/>
              </w:rPr>
            </w:pPr>
          </w:p>
        </w:tc>
      </w:tr>
      <w:tr>
        <w:trPr>
          <w:trHeight w:val="169"/>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18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8"/>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1180" w:type="dxa"/>
            <w:vAlign w:val="bottom"/>
          </w:tcPr>
          <w:p>
            <w:pPr>
              <w:spacing w:after="0"/>
              <w:rPr>
                <w:sz w:val="18"/>
                <w:szCs w:val="18"/>
                <w:color w:val="auto"/>
              </w:rPr>
            </w:pPr>
          </w:p>
        </w:tc>
      </w:tr>
      <w:tr>
        <w:trPr>
          <w:trHeight w:val="23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2,178,391</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170.4 %</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250.5 %</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Revenue from services increased 110.3% to $2.2 billion for the nine months ended September 30, 2022, as compared to $1.0 billion for the nine months ended September 30, 2021, due to strong performance in both our Nurse and Allied Staffing and Physician Staffing segments, primarily driven by an increase in the number of professionals on assignment, as well as higher bill rates in Nurse and Allied. See further discussion in Segment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Direct operating expenses increased $881.5 million, or 109.1%, to $1.7 billion for the nine months ended September 30, 2022, as compared to $808.1 million for the nine months ended September 30, 2021 as a result of revenue increases. As a percentage of total revenue, direct operating expenses decreased to 77.6% compared to 78.0% in the prior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62.5% to $243.0 million for the nine months ended September 30, 2022, as compared to $149.5 million for the nine months ended September 30, 2021, primarily due to increases in compensation and benefits, as well as marketing and consulting expense and computer subscription fees. As a percentage of total revenue, selling, general and administrative expenses decreased to 11.2% for the nine months ended September 30, 2022 as compared to 14.4% for the nine months ended September 30,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for the nine months ended September 30, 2022 was $9.4 million as compared to $7.1 million for the nine months ended September 30, 2021. The increase is primarily due to the additional amortization of other intangible assets from the WSG and Selected acquisitions. See Note 7 - Goodwill, Trade Names, and Other Intangible Assets to our condensed consolidated financial statements. As a percentage of revenue, depreciation and amortization expense was 0.4% for the nine months ended September 30, 2022 and 0.7%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costs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Acquisition and integration-related costs for the nine months ended September 30, 2022 included costs for legal and advisory fees for the Mint and Lotus acquisition that closed on October 3, 2022, and an immaterial amount for the Selected acquisition that closed late in the fourth quarter of 2021. Acquisition and integration-related costs for the nine months ended September 30, 2021 included costs for legal and advisory fees for the WSG acquisition that closed on June 8,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Restructuring costs for the nine months ended September 30, 2022 and 2021 were primarily comprised of employee termination costs and ongoing lease costs related to the Company's strategic reduction of its real estate footprint and totaled $1.9 million and $2.4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Non-cash impairment charges totaled $5.6 million for the nine months ended September 30, 2022 and related to real estate restructuring activities and the write-off of a discontinued IT project. Non-cash impairment charges totaled $2.1 million for the nine months ended September 30, 2021 and related to real estate restructuring activities and the write-off of a discontinued software development project. See Note 7 - Goodwill, Trade Names, and Other Intangible Assets and Note 9 - Leases to our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Interest expense was $10.9 million for the nine months ended September 30, 2022 as compared to $4.0 million for the nine months ended September 30, 2021, due to higher average borrowings and a higher effective interest rate. The effective interest rate on our borrowings was 8.8% for the nine months ended September 30, 2022 compared to 5.1% for the nine months ended September 30,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Loss on early extinguishment of debt for the nine months ended September 30, 2022 consisted of a prepayment premium and the write-off of debt issuance costs related to the optional prepayment on our term loan made in the second quarter of 2022. There were no such expenses for the nine months ended September 30,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other income, net included a $1.1 million gain on lease termination as a result of the early termination of one of our corporate offices.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Income tax expense totaled $60.3 million for the nine months ended September 30, 2022 compared to $5.5 million for the nine months ended September 30, 2021. The increase in income tax expense was primarily driven by federal and state taxes as in the prior year there was a valuation allowance on substantially all of our domestic deferred tax assets.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Segment Results</w:t>
            </w: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from operations for the periods indicated are as follows: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1"/>
                <w:szCs w:val="21"/>
                <w:color w:val="auto"/>
              </w:rPr>
            </w:pPr>
          </w:p>
        </w:tc>
        <w:tc>
          <w:tcPr>
            <w:tcW w:w="28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(amounts in thousands)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2"/>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612,270</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356,139</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2,109,293</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985,335</w:t>
            </w: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18,766</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69,098</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636,098</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374,905</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2,178,391</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1,035,973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285,506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113,346</w:t>
            </w:r>
          </w:p>
        </w:tc>
      </w:tr>
      <w:tr>
        <w:trPr>
          <w:trHeight w:val="229"/>
        </w:trPr>
        <w:tc>
          <w:tcPr>
            <w:tcW w:w="4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116,246</w:t>
            </w:r>
          </w:p>
        </w:tc>
      </w:tr>
      <w:tr>
        <w:trPr>
          <w:trHeight w:val="270"/>
        </w:trPr>
        <w:tc>
          <w:tcPr>
            <w:tcW w:w="46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40,326</w:t>
            </w:r>
          </w:p>
        </w:tc>
      </w:tr>
      <w:tr>
        <w:trPr>
          <w:trHeight w:val="230"/>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221,644</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63,342</w:t>
            </w:r>
          </w:p>
        </w:tc>
      </w:tr>
      <w:tr>
        <w:trPr>
          <w:trHeight w:val="21"/>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 to our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1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39.1 %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48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1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13,157</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70.2 %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48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our MD&amp;A.</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Segment Comparison - Three Months Ended September 30, 2022 and Three Months Ended September 30,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increased $256.2 million, or 71.9%, to $612.3 million for the three months ended September 30, 2022, compared to $356.1 million for the three months ended September 30, 2021, through strong performance driven by volume increases and higher bill rates.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Contribution income increased $37.2 million, or 91.5%, to $77.8 million for the three months ended September 30, 2022, compared to $40.6 million for the three months ended September 30, 2021, driven by increased revenue and lower costs. As a percentage of segment revenue, contribution income margin was 12.7% for the three months ended September 30, 2022, compared to 11.4% for the three months ended September 30, 2021.</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average number of FTEs on contract during the three months ended September 30, 2022 increased 39.1% from the three months ended September 30, 2021, primarily due to headcount growth in travel nurse and allied. The average revenue per FTE per day increased 23.8%, due to the increase in the average bill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Revenue increased $5.0 million, or 27.0%, to $23.8 million for the three months ended September 30, 2022, compared to $18.8 million for the three months ended September 30, 2021, primarily due to an increase in volume in both hospitalists and certified registered nurse anesthetists.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Contribution income was $0.8 million for the three months ended September 30, 2022, compared to $0.9 million for the three months ended September 30, 2021. As a percentage of segment revenue, contribution income was 3.5% for the three months ended September 30, 2022, compared to 4.8% for the three months ended September 30, 2021, driven by higher indirect costs.</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Total days filled for the three months ended September 30, 2022 were 13,219, as compared with 12,187 in the prior year. Revenue per day filled was $1,803 as compared with $1,540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$16.4 million for the three months ended September 30, 2022, from $12.0 million for the three months ended September 30, 2021, primarily due to increases in compensation and benefit expense, as well as legal and computer expense. As a percentage of consolidated revenue, corporate overhead was 2.6% for the three months ended September 30, 2022 and 3.2% for the three months ended September 30,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Nine Months Ended September 30, 2022 and Nine Months Ended September 30, 2021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Revenue increased $1.1 billion, or 114.1%, to $2.1 billion for the nine months ended September 30, 2022, compared to $1.0 billion for the nine months ended September 30, 2021, through strong performance driven by volume increases and higher bill rates.</w:t>
      </w:r>
    </w:p>
    <w:p>
      <w:pPr>
        <w:spacing w:after="0" w:line="14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Contribution income increased $172.2 million, or 151.9%, to $285.5 million for the nine months ended September 30, 2022, compared to $113.3 million for the nine months ended September 30, 2021, driven by increased revenue and lower costs. As a percentage of segment revenue, contribution income margin was 13.5% for the nine months ended September 30, 2022, compared to 11.5% for the nine months ended September 30, 2021.</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average number of FTEs on contract during the nine months ended September 30, 2022 increased 70.2% from the nine months ended September 30, 2021, primarily due to headcount growth in travel nurse and allied, as well as additional headcount resulting from the WSG acquisition. The average revenue per FTE per day increased 26.0%, due to the increase in the average bill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increased $18.5 million, or 36.5%, to $69.1 million for the nine months ended September 30, 2022, compared to $50.6 million for the nine months ended September 30, 2021, primarily due to an increase in volume in primary care physicians, hospitalists, and certified registered nurse anesthetists.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Contribution income was $3.8 million for the nine months ended September 30, 2022, compared to $2.9 million for the nine months ended September 30, 2021. As a percentage of segment revenue, contribution income was 5.5% for the nine months ended September 30, 2022, compared to 5.7% for the nine months ended September 30, 2021, driven by higher revenue, partially offset by higher direct and indirect costs.</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days filled for the nine months ended September 30, 2022 were 38,703, as compared with 31,430 in the prior year. Revenue per day filled was $1,785 as compared with $1,611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Corporate overhead increased to $50.3 million for the nine months ended September 30, 2022, from $40.3 million for the nine months ended September 30, 2021, primarily due to increases in compensation and benefit expense, as well as legal, consulting, and computer expense. As a percentage of consolidated revenue, corporate overhead was 2.3% for the nine months ended September 30, 2022 and 3.9% for the nine months ended September 30,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September 30, 2022, we reported $30.3 million in cash and cash equivalents, $123.9 million of term loan outstanding, at par, and $9.2 million of borrowings drawn under our ABL. Working capital increased by $74.7 million to $383.2 million as of September 30, 2022, compared to $308.5 million as of December 31, 2021, primarily due to an increase in accounts receivable, partially offset by the timing of disbursements. As of September 30, 2022, our days' sales outstanding, net of amounts owed to subcontractors, was 67 days, up 6 days year-over-year and up 1 day sequentially, primarily due to the timing of revenue recognized throughout the year. As of September 30, 2022, we do not have any off-balance sheet arrangements.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debt and operating lease commitments, and future principal payments on our term loan and our ABL credit facility. We expect to meet our future needs from a combination of cash on hand, operating cash flows, and funds available through the ABL. See debt discussion which follows.</w:t>
      </w:r>
    </w:p>
    <w:p>
      <w:pPr>
        <w:spacing w:after="0" w:line="207"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have an effective “shelf” registration statement on Form S-3 on file with the Securities and Exchange Commission (SEC) that enables us, in one or more offerings, to sell up to an aggregate of 5,000,000 shares of common stock. Although we do not have any current plans to use the shelf registration statement, the proceeds from any offering could be used for working capital and other general corporate purposes, or to fund acquisitions of businesses, products, and technologies.</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$129.7 million in the nine months ended September 30, 2022, compared to $12.3 million used in operating activities in the nine months ended September 30, 2021, primarily due to the strength of collections of accounts receivable.</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$6.8 million in the nine months ended September 30, 2022, compared to $29.4 million in the nine months ended September 30, 2021. Net cash used in the nine months ended September 30, 2022 was for capital expenditures, primarily related to multiple IT projects. Net cash used in the nine months ended September 30, 2021 included $24.5 million related to the acquisition of WSG, as well as capital expenditures and the build-out of our corporate office.</w:t>
      </w:r>
    </w:p>
    <w:p>
      <w:pPr>
        <w:spacing w:after="0" w:line="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2022 was $93.7 million, compared to $40.9 million provided by financing activities during the nine months ended September 30, 2021. During the nine months ended September 30, 2022, we used cash to repay borrowings of $50.4 million on our term loan, $2.4 million on our note payable, $5.3 million for income taxes on share-based compensation, $3.2 million in debt issuance costs, $24.3 million for share repurchases, $7.5 million for contingent consideration, and an immaterial amount for other financing activities. During the nine months ended September 30, 2021, we reported net borrowings of $100.0 million on our term loan, and used cash to repay borrowing on our ABL of $49.4 million, $0.3 million principal payment on our term loan, $2.4 million on our note payable, $4.6 million of debt issuance costs, $2.2 million for income taxes on share-based compensation, and an immaterial amount for other financing activities.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Credit Agreement</w:t>
      </w:r>
    </w:p>
    <w:p>
      <w:pPr>
        <w:spacing w:after="0" w:line="3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8 - Debt to our condensed consolidated financial statements, on June 8, 2021, we entered into a Term Loan Credit Agreement (Term Loan Agreement), which provides for a six-year second lien subordinated term loan in the amount of $100.0 million (term loan). The term loan has an interest rate of one-month London Inter-Bank Offered Rate (LIBOR) plus 5.75% per annum, subject to a 0.75% LIBOR floor. The term loan was used to pay the cash consideration, as well as any costs, fees, and expenses in connection with the WSG acquisition (see Note 4 - Acquisitions to our condensed consolidated financial statements), with the remainder used to pay down a portion of the asset-based credit facility.</w:t>
      </w:r>
    </w:p>
    <w:p>
      <w:pPr>
        <w:spacing w:after="0" w:line="2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September 30, 2022. Obligations under the Term Loan Agreement are secured by substantially all the assets of the borrowers and guarantors under the Term Loan Agreement, subject to customary exceptions.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18, 2021, we amended the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Aside from our scheduled payments, on June 23, 2022, we made an optional prepayment of $50.0 million, and paid a prepayment premium of $0.5 million pursuant to the Term Loan Agreement. As a result of the early prepayment, debt issuance costs of $1.4 million were written off in the nine months ended September 30, 2022. The prepayment premium and the write-off of debt issuance costs are included as loss on early extinguishment of debt in the condensed consolidated statements of operations. We were entitled to determine the application of the prepayment, which was applied to all future amortization payments, with the balance applied to the remaining balloon payment in 2027.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Loan Agreement</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October 25, 2019, our prior senior credit facility entered into in August 2017 was replaced by a $120.0 million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at the election of the borrowers, plus an applicable margin.</w:t>
      </w:r>
    </w:p>
    <w:p>
      <w:pPr>
        <w:spacing w:after="0" w:line="7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2022,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18"/>
          <w:szCs w:val="18"/>
          <w:color w:val="auto"/>
        </w:rPr>
        <w:t>matrix based on the Company’s excess availability under the revolving credit facility. In addition, the facility is subject to an unused line fee, letter of credit fees, and an administrative fee. The Loan Agreement contains various restrictions and covenants, including a covenant to maintain a minimum fixed charge coverage ratio. We were in compliance with the fixed charge coverage ratio covenant as of September 30, 2022. Borrowing base availability under the ABL was $300.0 million at September 30, 2022, with $9.2 million of borrowings drawn as well as $17.5 million of letters of credit outstanding, leaving $273.3 million of excess availability.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 Stockholders' Equity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remain consistent with those reported in our 2021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Related Party Transactions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Term Loan Agreement entered into on June 8, 2021 and our Loan Agreement entered into on October 25, 2019. These agreements charge interest at a rate based on either SOFR, LIBOR, or Base Rate (as defined in the agreements) plus an applicable margin.</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1% change in interest rates would have resulted in interest expense fluctuating approximately $1.2 million and $0.7 million for the nine months ended September 30, 2022 and 2021, respectively. See Note 8 - Debt to our condensed consolidated financial statements.</w:t>
      </w:r>
    </w:p>
    <w:p>
      <w:pPr>
        <w:spacing w:after="0" w:line="1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Refer to our 2021 Form 10-K Item 1A. Risk Factors under </w:t>
      </w:r>
      <w:r>
        <w:rPr>
          <w:rFonts w:ascii="Times New Roman" w:cs="Times New Roman" w:eastAsia="Times New Roman" w:hAnsi="Times New Roman"/>
          <w:sz w:val="18"/>
          <w:szCs w:val="18"/>
          <w:i w:val="1"/>
          <w:iCs w:val="1"/>
          <w:color w:val="auto"/>
        </w:rPr>
        <w:t>"The interest rates under our Term Loan Agreement and our ABL Credit Agreement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impacted by the phase-out of LIBOR" </w:t>
      </w:r>
      <w:r>
        <w:rPr>
          <w:rFonts w:ascii="Times New Roman" w:cs="Times New Roman" w:eastAsia="Times New Roman" w:hAnsi="Times New Roman"/>
          <w:sz w:val="18"/>
          <w:szCs w:val="18"/>
          <w:color w:val="auto"/>
        </w:rPr>
        <w:t>for discussion of the interest rate risk related to the continued phase-out of LIBOR.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other exposures as disclosed in our 2021 Form 10-K.</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w:t>
      </w:r>
      <w:r>
        <w:rPr>
          <w:rFonts w:ascii="Times New Roman" w:cs="Times New Roman" w:eastAsia="Times New Roman" w:hAnsi="Times New Roman"/>
          <w:sz w:val="18"/>
          <w:szCs w:val="18"/>
          <w:color w:val="212529"/>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not experienced any material impact to our internal controls over financial reporting despite the fact that most of our employees are working remotely due to the COVID pandemic.</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Part I, Item 1, Note 13 - Contingencies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this Quarterly Report on Form 10-Q, and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our Risk Factors as previously disclosed in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40" w:name="page41"/>
    <w:bookmarkEnd w:id="4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by John A. Martins, President, Chief Executive Officer, Director</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(Principal Executive Officer)</w:t>
            </w:r>
          </w:p>
        </w:tc>
        <w:tc>
          <w:tcPr>
            <w:tcW w:w="6920" w:type="dxa"/>
            <w:vAlign w:val="bottom"/>
            <w:tcBorders>
              <w:top w:val="single" w:sz="8" w:color="0000FF"/>
            </w:tcBorders>
            <w:gridSpan w:val="4"/>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by William J. Burns, Executive Vice President, Chief Financial Officer</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(Principal Accounting and Financial Officer)</w:t>
            </w:r>
          </w:p>
        </w:tc>
        <w:tc>
          <w:tcPr>
            <w:tcW w:w="624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John A. Martins, President, Chief Executive Officer, Director (Principal</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Executive Officer)</w:t>
            </w:r>
          </w:p>
        </w:tc>
        <w:tc>
          <w:tcPr>
            <w:tcW w:w="46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9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William J. Burns, Executive Vice President, Chief Financial Officer (Principal</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Accounting and Financial Officer)</w:t>
            </w:r>
          </w:p>
        </w:tc>
        <w:tc>
          <w:tcPr>
            <w:tcW w:w="220" w:type="dxa"/>
            <w:vAlign w:val="bottom"/>
            <w:gridSpan w:val="2"/>
          </w:tcPr>
          <w:p>
            <w:pPr>
              <w:spacing w:after="0"/>
              <w:rPr>
                <w:sz w:val="13"/>
                <w:szCs w:val="13"/>
                <w:color w:val="auto"/>
              </w:rPr>
            </w:pPr>
          </w:p>
        </w:tc>
      </w:tr>
      <w:tr>
        <w:trPr>
          <w:trHeight w:val="31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2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160" w:type="dxa"/>
            <w:vAlign w:val="bottom"/>
            <w:gridSpan w:val="6"/>
          </w:tcPr>
          <w:p>
            <w:pPr>
              <w:spacing w:after="0"/>
              <w:rPr>
                <w:sz w:val="24"/>
                <w:szCs w:val="24"/>
                <w:color w:val="auto"/>
              </w:rPr>
            </w:pP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Represents a management contract or compensatory plan or arrangement</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1" w:name="page42"/>
    <w:bookmarkEnd w:id="4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J. Burns</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 (Principal</w:t>
      </w:r>
    </w:p>
    <w:p>
      <w:pPr>
        <w:ind w:left="6200"/>
        <w:spacing w:after="0"/>
        <w:rPr>
          <w:sz w:val="20"/>
          <w:szCs w:val="20"/>
          <w:color w:val="auto"/>
        </w:rPr>
      </w:pPr>
      <w:r>
        <w:rPr>
          <w:rFonts w:ascii="Times New Roman" w:cs="Times New Roman" w:eastAsia="Times New Roman" w:hAnsi="Times New Roman"/>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320" w:top="887" w:right="5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Martins,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John A. Martins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Accounting and Financial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September 30, 2022, (the "Periodic Report"), I, John A. Martins, President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John A. Martins</w:t>
      </w:r>
    </w:p>
    <w:p>
      <w:pPr>
        <w:ind w:left="304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September 30, 2022,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Accounting and Financial Officer)</w:t>
      </w:r>
    </w:p>
    <w:p>
      <w:pPr>
        <w:spacing w:after="0" w:line="3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2022-11-03T10:20:07Z</dcterms:created>
  <dcterms:modified xsi:type="dcterms:W3CDTF">2022-11-03T10:20:07Z</dcterms:modified>
</cp:coreProperties>
</file>