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3960" w:right="2100" w:hanging="1481"/>
        <w:spacing w:after="0" w:line="351" w:lineRule="auto"/>
        <w:tabs>
          <w:tab w:leader="none" w:pos="267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-317500</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ind w:left="3680" w:right="2080" w:hanging="1212"/>
        <w:spacing w:after="0" w:line="390" w:lineRule="auto"/>
        <w:tabs>
          <w:tab w:leader="none" w:pos="2662"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For the Transition Period From </w:t>
      </w:r>
      <w:r>
        <w:rPr>
          <w:rFonts w:ascii="Arial" w:cs="Arial" w:eastAsia="Arial" w:hAnsi="Arial"/>
          <w:sz w:val="15"/>
          <w:szCs w:val="15"/>
          <w:color w:val="auto"/>
        </w:rPr>
        <w:t>_________</w:t>
      </w:r>
      <w:r>
        <w:rPr>
          <w:rFonts w:ascii="Arial" w:cs="Arial" w:eastAsia="Arial" w:hAnsi="Arial"/>
          <w:sz w:val="15"/>
          <w:szCs w:val="15"/>
          <w:b w:val="1"/>
          <w:bCs w:val="1"/>
          <w:color w:val="auto"/>
        </w:rPr>
        <w:t xml:space="preserve"> to </w:t>
      </w:r>
      <w:r>
        <w:rPr>
          <w:rFonts w:ascii="Arial" w:cs="Arial" w:eastAsia="Arial" w:hAnsi="Arial"/>
          <w:sz w:val="15"/>
          <w:szCs w:val="15"/>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1576705</wp:posOffset>
            </wp:positionH>
            <wp:positionV relativeFrom="paragraph">
              <wp:posOffset>-331470</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-72390</wp:posOffset>
            </wp:positionV>
            <wp:extent cx="2134235" cy="857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CROSS COUNTRY HEALTHCARE, INC.</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860"/>
          </w:cols>
          <w:pgMar w:left="320" w:top="1440" w:right="719" w:bottom="1440" w:gutter="0" w:footer="0" w:header="0"/>
        </w:sectPr>
      </w:pPr>
    </w:p>
    <w:p>
      <w:pPr>
        <w:spacing w:after="0" w:line="48"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2380"/>
        <w:spacing w:after="0"/>
        <w:rPr>
          <w:sz w:val="20"/>
          <w:szCs w:val="20"/>
          <w:color w:val="auto"/>
        </w:rPr>
      </w:pPr>
      <w:r>
        <w:rPr>
          <w:rFonts w:ascii="Arial" w:cs="Arial" w:eastAsia="Arial" w:hAnsi="Arial"/>
          <w:sz w:val="14"/>
          <w:szCs w:val="14"/>
          <w:b w:val="1"/>
          <w:bCs w:val="1"/>
          <w:color w:val="auto"/>
        </w:rPr>
        <w:t>0-33169</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13-4066229</w:t>
      </w:r>
    </w:p>
    <w:p>
      <w:pPr>
        <w:spacing w:after="0" w:line="100" w:lineRule="exact"/>
        <w:rPr>
          <w:sz w:val="24"/>
          <w:szCs w:val="24"/>
          <w:color w:val="auto"/>
        </w:rPr>
      </w:pPr>
    </w:p>
    <w:p>
      <w:pPr>
        <w:sectPr>
          <w:pgSz w:w="11900" w:h="16838" w:orient="portrait"/>
          <w:cols w:equalWidth="0" w:num="3">
            <w:col w:w="4640" w:space="720"/>
            <w:col w:w="2920" w:space="720"/>
            <w:col w:w="1860"/>
          </w:cols>
          <w:pgMar w:left="320" w:top="1440" w:right="719" w:bottom="1440" w:gutter="0" w:footer="0" w:header="0"/>
          <w:type w:val="continuous"/>
        </w:sectPr>
      </w:pPr>
    </w:p>
    <w:p>
      <w:pPr>
        <w:jc w:val="center"/>
        <w:ind w:right="760"/>
        <w:spacing w:after="0"/>
        <w:rPr>
          <w:sz w:val="20"/>
          <w:szCs w:val="20"/>
          <w:color w:val="auto"/>
        </w:rPr>
      </w:pPr>
      <w:r>
        <w:rPr>
          <w:rFonts w:ascii="Arial" w:cs="Arial" w:eastAsia="Arial" w:hAnsi="Arial"/>
          <w:sz w:val="15"/>
          <w:szCs w:val="15"/>
          <w:i w:val="1"/>
          <w:iCs w:val="1"/>
          <w:color w:val="auto"/>
        </w:rPr>
        <w:t>(State or other jurisdiction of</w:t>
      </w:r>
    </w:p>
    <w:p>
      <w:pPr>
        <w:spacing w:after="0" w:line="34" w:lineRule="exact"/>
        <w:rPr>
          <w:sz w:val="24"/>
          <w:szCs w:val="24"/>
          <w:color w:val="auto"/>
        </w:rPr>
      </w:pPr>
    </w:p>
    <w:p>
      <w:pPr>
        <w:jc w:val="center"/>
        <w:ind w:right="76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Commission</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15"/>
          <w:szCs w:val="15"/>
          <w:i w:val="1"/>
          <w:iCs w:val="1"/>
          <w:color w:val="auto"/>
        </w:rPr>
        <w:t>file number</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6"/>
          <w:szCs w:val="16"/>
          <w:i w:val="1"/>
          <w:iCs w:val="1"/>
          <w:color w:val="auto"/>
        </w:rPr>
        <w:t>(I.R.S. Employer</w:t>
      </w:r>
    </w:p>
    <w:p>
      <w:pPr>
        <w:spacing w:after="0" w:line="22" w:lineRule="exact"/>
        <w:rPr>
          <w:sz w:val="24"/>
          <w:szCs w:val="24"/>
          <w:color w:val="auto"/>
        </w:rPr>
      </w:pPr>
    </w:p>
    <w:p>
      <w:pPr>
        <w:jc w:val="center"/>
        <w:ind w:right="740"/>
        <w:spacing w:after="0"/>
        <w:rPr>
          <w:sz w:val="20"/>
          <w:szCs w:val="20"/>
          <w:color w:val="auto"/>
        </w:rPr>
      </w:pPr>
      <w:r>
        <w:rPr>
          <w:rFonts w:ascii="Arial" w:cs="Arial" w:eastAsia="Arial" w:hAnsi="Arial"/>
          <w:sz w:val="15"/>
          <w:szCs w:val="15"/>
          <w:i w:val="1"/>
          <w:iCs w:val="1"/>
          <w:color w:val="auto"/>
        </w:rPr>
        <w:t>Identification Number)</w:t>
      </w:r>
    </w:p>
    <w:p>
      <w:pPr>
        <w:spacing w:after="0" w:line="157" w:lineRule="exact"/>
        <w:rPr>
          <w:sz w:val="24"/>
          <w:szCs w:val="24"/>
          <w:color w:val="auto"/>
        </w:rPr>
      </w:pPr>
    </w:p>
    <w:p>
      <w:pPr>
        <w:sectPr>
          <w:pgSz w:w="11900" w:h="16838" w:orient="portrait"/>
          <w:cols w:equalWidth="0" w:num="3">
            <w:col w:w="4520" w:space="720"/>
            <w:col w:w="2680" w:space="720"/>
            <w:col w:w="2220"/>
          </w:cols>
          <w:pgMar w:left="320" w:top="1440" w:right="719" w:bottom="1440" w:gutter="0" w:footer="0" w:header="0"/>
          <w:type w:val="continuous"/>
        </w:sectPr>
      </w:pPr>
    </w:p>
    <w:p>
      <w:pPr>
        <w:jc w:val="center"/>
        <w:ind w:right="-379"/>
        <w:spacing w:after="0"/>
        <w:rPr>
          <w:sz w:val="20"/>
          <w:szCs w:val="20"/>
          <w:color w:val="auto"/>
        </w:rPr>
      </w:pPr>
      <w:r>
        <w:rPr>
          <w:rFonts w:ascii="Arial" w:cs="Arial" w:eastAsia="Arial" w:hAnsi="Arial"/>
          <w:sz w:val="16"/>
          <w:szCs w:val="16"/>
          <w:b w:val="1"/>
          <w:bCs w:val="1"/>
          <w:color w:val="auto"/>
        </w:rPr>
        <w:t>5201 Congress Avenue, Suite 100B</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Boca Raton, Florida 33487</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(Address of principal executive offices)(Zip Code)</w:t>
      </w:r>
    </w:p>
    <w:p>
      <w:pPr>
        <w:spacing w:after="0" w:line="95"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(561) 998-2232</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30"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6"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860"/>
          </w:cols>
          <w:pgMar w:left="320" w:top="1440" w:right="719" w:bottom="1440" w:gutter="0" w:footer="0" w:header="0"/>
          <w:type w:val="continuous"/>
        </w:sectPr>
      </w:pPr>
    </w:p>
    <w:p>
      <w:pPr>
        <w:spacing w:after="0" w:line="176" w:lineRule="exact"/>
        <w:rPr>
          <w:sz w:val="24"/>
          <w:szCs w:val="24"/>
          <w:color w:val="auto"/>
        </w:rPr>
      </w:pPr>
    </w:p>
    <w:p>
      <w:pPr>
        <w:ind w:left="13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4080" w:space="720"/>
            <w:col w:w="1960" w:space="720"/>
            <w:col w:w="3380"/>
          </w:cols>
          <w:pgMar w:left="320" w:top="1440" w:right="719" w:bottom="1440" w:gutter="0" w:footer="0" w:header="0"/>
          <w:type w:val="continuous"/>
        </w:sectPr>
      </w:pPr>
    </w:p>
    <w:p>
      <w:pPr>
        <w:ind w:left="56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165" w:lineRule="exact"/>
        <w:rPr>
          <w:sz w:val="24"/>
          <w:szCs w:val="24"/>
          <w:color w:val="auto"/>
        </w:rPr>
      </w:pPr>
    </w:p>
    <w:p>
      <w:pPr>
        <w:sectPr>
          <w:pgSz w:w="11900" w:h="16838" w:orient="portrait"/>
          <w:cols w:equalWidth="0" w:num="3">
            <w:col w:w="4420" w:space="720"/>
            <w:col w:w="2180" w:space="720"/>
            <w:col w:w="2820"/>
          </w:cols>
          <w:pgMar w:left="320" w:top="1440" w:right="719" w:bottom="1440" w:gutter="0" w:footer="0" w:header="0"/>
          <w:type w:val="continuous"/>
        </w:sect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4"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43"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640"/>
        <w:spacing w:after="0" w:line="267" w:lineRule="exact"/>
        <w:rPr>
          <w:sz w:val="20"/>
          <w:szCs w:val="20"/>
          <w:color w:val="auto"/>
        </w:rPr>
      </w:pPr>
      <w:r>
        <w:rPr>
          <w:rFonts w:ascii="Arial" w:cs="Arial" w:eastAsia="Arial" w:hAnsi="Arial"/>
          <w:sz w:val="15"/>
          <w:szCs w:val="15"/>
          <w:color w:val="auto"/>
        </w:rPr>
        <w:t xml:space="preserve">Indicate by checkmark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registrant had outstanding 37,460,546 shares of Common Stock, par value $0.0001 per share, as of April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potential impacts of the COVID-19 pandemic on our business, financial condition, and results of operations,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2019, as filed and updated in our Quarterly Reports on Form 10-Q and other filings with the Securities and Exchange Commission.</w:t>
      </w:r>
    </w:p>
    <w:p>
      <w:pPr>
        <w:spacing w:after="0" w:line="17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4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4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CROSS COUNTRY HEALTHCARE, INC.</w:t>
            </w:r>
          </w:p>
        </w:tc>
        <w:tc>
          <w:tcPr>
            <w:tcW w:w="200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jc w:val="center"/>
              <w:ind w:left="1410"/>
              <w:spacing w:after="0"/>
              <w:rPr>
                <w:sz w:val="20"/>
                <w:szCs w:val="20"/>
                <w:color w:val="auto"/>
              </w:rPr>
            </w:pPr>
            <w:r>
              <w:rPr>
                <w:rFonts w:ascii="Arial" w:cs="Arial" w:eastAsia="Arial" w:hAnsi="Arial"/>
                <w:sz w:val="18"/>
                <w:szCs w:val="18"/>
                <w:b w:val="1"/>
                <w:bCs w:val="1"/>
                <w:color w:val="auto"/>
              </w:rPr>
              <w:t>INDEX</w:t>
            </w:r>
          </w:p>
        </w:tc>
        <w:tc>
          <w:tcPr>
            <w:tcW w:w="200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jc w:val="center"/>
              <w:ind w:left="1410"/>
              <w:spacing w:after="0"/>
              <w:rPr>
                <w:sz w:val="20"/>
                <w:szCs w:val="20"/>
                <w:color w:val="auto"/>
              </w:rPr>
            </w:pPr>
            <w:r>
              <w:rPr>
                <w:rFonts w:ascii="Arial" w:cs="Arial" w:eastAsia="Arial" w:hAnsi="Arial"/>
                <w:sz w:val="18"/>
                <w:szCs w:val="18"/>
                <w:b w:val="1"/>
                <w:bCs w:val="1"/>
                <w:color w:val="auto"/>
                <w:w w:val="99"/>
              </w:rPr>
              <w:t>FORM 10-Q</w:t>
            </w:r>
          </w:p>
        </w:tc>
        <w:tc>
          <w:tcPr>
            <w:tcW w:w="200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jc w:val="center"/>
              <w:ind w:left="1390"/>
              <w:spacing w:after="0"/>
              <w:rPr>
                <w:sz w:val="20"/>
                <w:szCs w:val="20"/>
                <w:color w:val="auto"/>
              </w:rPr>
            </w:pPr>
            <w:r>
              <w:rPr>
                <w:rFonts w:ascii="Arial" w:cs="Arial" w:eastAsia="Arial" w:hAnsi="Arial"/>
                <w:sz w:val="18"/>
                <w:szCs w:val="18"/>
                <w:b w:val="1"/>
                <w:bCs w:val="1"/>
                <w:color w:val="auto"/>
                <w:w w:val="93"/>
              </w:rPr>
              <w:t>March 31, 2020</w:t>
            </w:r>
          </w:p>
        </w:tc>
        <w:tc>
          <w:tcPr>
            <w:tcW w:w="2000" w:type="dxa"/>
            <w:vAlign w:val="bottom"/>
          </w:tcPr>
          <w:p>
            <w:pPr>
              <w:spacing w:after="0"/>
              <w:rPr>
                <w:sz w:val="24"/>
                <w:szCs w:val="24"/>
                <w:color w:val="auto"/>
              </w:rPr>
            </w:pPr>
          </w:p>
        </w:tc>
      </w:tr>
      <w:tr>
        <w:trPr>
          <w:trHeight w:val="270"/>
        </w:trPr>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40" w:type="dxa"/>
            <w:vAlign w:val="bottom"/>
          </w:tcPr>
          <w:p>
            <w:pPr>
              <w:spacing w:after="0"/>
              <w:rPr>
                <w:sz w:val="23"/>
                <w:szCs w:val="23"/>
                <w:color w:val="auto"/>
              </w:rPr>
            </w:pPr>
          </w:p>
        </w:tc>
        <w:tc>
          <w:tcPr>
            <w:tcW w:w="2000" w:type="dxa"/>
            <w:vAlign w:val="bottom"/>
          </w:tcPr>
          <w:p>
            <w:pPr>
              <w:ind w:left="1520"/>
              <w:spacing w:after="0"/>
              <w:rPr>
                <w:sz w:val="20"/>
                <w:szCs w:val="20"/>
                <w:color w:val="auto"/>
              </w:rPr>
            </w:pPr>
            <w:r>
              <w:rPr>
                <w:rFonts w:ascii="Arial" w:cs="Arial" w:eastAsia="Arial" w:hAnsi="Arial"/>
                <w:sz w:val="18"/>
                <w:szCs w:val="18"/>
                <w:color w:val="auto"/>
                <w:w w:val="91"/>
              </w:rPr>
              <w:t>PAGE</w:t>
            </w:r>
          </w:p>
        </w:tc>
      </w:tr>
      <w:tr>
        <w:trPr>
          <w:trHeight w:val="527"/>
        </w:trPr>
        <w:tc>
          <w:tcPr>
            <w:tcW w:w="888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 – FINANCIAL INFORMATION</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1</w:t>
              </w:r>
            </w:hyperlink>
          </w:p>
        </w:tc>
      </w:tr>
      <w:tr>
        <w:trPr>
          <w:trHeight w:val="499"/>
        </w:trPr>
        <w:tc>
          <w:tcPr>
            <w:tcW w:w="84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04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Financial Statements</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1</w:t>
              </w:r>
            </w:hyperlink>
          </w:p>
        </w:tc>
      </w:tr>
      <w:tr>
        <w:trPr>
          <w:trHeight w:val="540"/>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1</w:t>
              </w:r>
            </w:hyperlink>
          </w:p>
        </w:tc>
      </w:tr>
      <w:tr>
        <w:trPr>
          <w:trHeight w:val="540"/>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Operations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2</w:t>
              </w:r>
            </w:hyperlink>
          </w:p>
        </w:tc>
      </w:tr>
      <w:tr>
        <w:trPr>
          <w:trHeight w:val="540"/>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Loss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3</w:t>
              </w:r>
            </w:hyperlink>
          </w:p>
        </w:tc>
      </w:tr>
      <w:tr>
        <w:trPr>
          <w:trHeight w:val="500"/>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4</w:t>
              </w:r>
            </w:hyperlink>
          </w:p>
        </w:tc>
      </w:tr>
      <w:tr>
        <w:trPr>
          <w:trHeight w:val="324"/>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5</w:t>
              </w:r>
            </w:hyperlink>
          </w:p>
        </w:tc>
      </w:tr>
      <w:tr>
        <w:trPr>
          <w:trHeight w:val="540"/>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6</w:t>
              </w:r>
            </w:hyperlink>
          </w:p>
        </w:tc>
      </w:tr>
      <w:tr>
        <w:trPr>
          <w:trHeight w:val="500"/>
        </w:trPr>
        <w:tc>
          <w:tcPr>
            <w:tcW w:w="840" w:type="dxa"/>
            <w:vAlign w:val="bottom"/>
            <w:gridSpan w:val="2"/>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w:t>
              </w:r>
            </w:hyperlink>
          </w:p>
        </w:tc>
        <w:tc>
          <w:tcPr>
            <w:tcW w:w="8040" w:type="dxa"/>
            <w:vAlign w:val="bottom"/>
          </w:tcPr>
          <w:p>
            <w:pPr>
              <w:ind w:left="8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Management’s Discussion and Analysis of Financial Condition and Results of Operations</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19</w:t>
              </w:r>
            </w:hyperlink>
          </w:p>
        </w:tc>
      </w:tr>
      <w:tr>
        <w:trPr>
          <w:trHeight w:val="500"/>
        </w:trPr>
        <w:tc>
          <w:tcPr>
            <w:tcW w:w="840" w:type="dxa"/>
            <w:vAlign w:val="bottom"/>
            <w:gridSpan w:val="2"/>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3.</w:t>
              </w:r>
            </w:hyperlink>
          </w:p>
        </w:tc>
        <w:tc>
          <w:tcPr>
            <w:tcW w:w="8040" w:type="dxa"/>
            <w:vAlign w:val="bottom"/>
          </w:tcPr>
          <w:p>
            <w:pPr>
              <w:ind w:left="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Quantitative and Qualitative Disclosures About Market Risk</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29</w:t>
              </w:r>
            </w:hyperlink>
          </w:p>
        </w:tc>
      </w:tr>
      <w:tr>
        <w:trPr>
          <w:trHeight w:val="500"/>
        </w:trPr>
        <w:tc>
          <w:tcPr>
            <w:tcW w:w="840" w:type="dxa"/>
            <w:vAlign w:val="bottom"/>
            <w:gridSpan w:val="2"/>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4.</w:t>
              </w:r>
            </w:hyperlink>
          </w:p>
        </w:tc>
        <w:tc>
          <w:tcPr>
            <w:tcW w:w="8040" w:type="dxa"/>
            <w:vAlign w:val="bottom"/>
          </w:tcPr>
          <w:p>
            <w:pPr>
              <w:ind w:left="8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Controls and Procedures</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29</w:t>
              </w:r>
            </w:hyperlink>
          </w:p>
        </w:tc>
      </w:tr>
      <w:tr>
        <w:trPr>
          <w:trHeight w:val="499"/>
        </w:trPr>
        <w:tc>
          <w:tcPr>
            <w:tcW w:w="8880" w:type="dxa"/>
            <w:vAlign w:val="bottom"/>
            <w:gridSpan w:val="3"/>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PART II. – OTHER INFORMATION</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30</w:t>
              </w:r>
            </w:hyperlink>
          </w:p>
        </w:tc>
      </w:tr>
      <w:tr>
        <w:trPr>
          <w:trHeight w:val="500"/>
        </w:trPr>
        <w:tc>
          <w:tcPr>
            <w:tcW w:w="840" w:type="dxa"/>
            <w:vAlign w:val="bottom"/>
            <w:gridSpan w:val="2"/>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1.</w:t>
              </w:r>
            </w:hyperlink>
          </w:p>
        </w:tc>
        <w:tc>
          <w:tcPr>
            <w:tcW w:w="8040" w:type="dxa"/>
            <w:vAlign w:val="bottom"/>
          </w:tcPr>
          <w:p>
            <w:pPr>
              <w:ind w:left="8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Legal Proceedings</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30</w:t>
              </w:r>
            </w:hyperlink>
          </w:p>
        </w:tc>
      </w:tr>
      <w:tr>
        <w:trPr>
          <w:trHeight w:val="500"/>
        </w:trPr>
        <w:tc>
          <w:tcPr>
            <w:tcW w:w="840" w:type="dxa"/>
            <w:vAlign w:val="bottom"/>
            <w:gridSpan w:val="2"/>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1A.</w:t>
              </w:r>
            </w:hyperlink>
          </w:p>
        </w:tc>
        <w:tc>
          <w:tcPr>
            <w:tcW w:w="8040" w:type="dxa"/>
            <w:vAlign w:val="bottom"/>
          </w:tcPr>
          <w:p>
            <w:pPr>
              <w:ind w:left="8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Risk Factors</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30</w:t>
              </w:r>
            </w:hyperlink>
          </w:p>
        </w:tc>
      </w:tr>
      <w:tr>
        <w:trPr>
          <w:trHeight w:val="459"/>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Exhibits</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32</w:t>
              </w:r>
            </w:hyperlink>
          </w:p>
        </w:tc>
      </w:tr>
      <w:tr>
        <w:trPr>
          <w:trHeight w:val="304"/>
        </w:trPr>
        <w:tc>
          <w:tcPr>
            <w:tcW w:w="840" w:type="dxa"/>
            <w:vAlign w:val="bottom"/>
            <w:gridSpan w:val="2"/>
          </w:tcPr>
          <w:p>
            <w:pPr>
              <w:spacing w:after="0"/>
              <w:rPr>
                <w:rFonts w:ascii="Arial" w:cs="Arial" w:eastAsia="Arial" w:hAnsi="Arial"/>
                <w:sz w:val="18"/>
                <w:szCs w:val="18"/>
                <w:u w:val="single" w:color="auto"/>
                <w:color w:val="0000FF"/>
                <w:w w:val="95"/>
              </w:rPr>
            </w:pPr>
            <w:hyperlink w:anchor="page35">
              <w:r>
                <w:rPr>
                  <w:rFonts w:ascii="Arial" w:cs="Arial" w:eastAsia="Arial" w:hAnsi="Arial"/>
                  <w:sz w:val="18"/>
                  <w:szCs w:val="18"/>
                  <w:u w:val="single" w:color="auto"/>
                  <w:color w:val="0000FF"/>
                  <w:w w:val="95"/>
                </w:rPr>
                <w:t>Signatures</w:t>
              </w:r>
            </w:hyperlink>
          </w:p>
        </w:tc>
        <w:tc>
          <w:tcPr>
            <w:tcW w:w="8040" w:type="dxa"/>
            <w:vAlign w:val="bottom"/>
          </w:tcPr>
          <w:p>
            <w:pPr>
              <w:spacing w:after="0"/>
              <w:rPr>
                <w:sz w:val="24"/>
                <w:szCs w:val="24"/>
                <w:color w:val="auto"/>
              </w:rPr>
            </w:pPr>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40" w:top="891" w:right="6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1,032</w:t>
            </w:r>
          </w:p>
        </w:tc>
      </w:tr>
      <w:tr>
        <w:trPr>
          <w:trHeight w:val="224"/>
        </w:trPr>
        <w:tc>
          <w:tcPr>
            <w:tcW w:w="8240" w:type="dxa"/>
            <w:vAlign w:val="bottom"/>
          </w:tcPr>
          <w:p>
            <w:pPr>
              <w:ind w:left="120"/>
              <w:spacing w:after="0"/>
              <w:rPr>
                <w:sz w:val="20"/>
                <w:szCs w:val="20"/>
                <w:color w:val="auto"/>
              </w:rPr>
            </w:pPr>
            <w:r>
              <w:rPr>
                <w:rFonts w:ascii="Arial" w:cs="Arial" w:eastAsia="Arial" w:hAnsi="Arial"/>
                <w:sz w:val="16"/>
                <w:szCs w:val="16"/>
                <w:color w:val="auto"/>
              </w:rPr>
              <w:t>Accounts receivable, net of allowances of $3,298 in 2020 and $3,219 in 2019</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164,801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169,528</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6,097</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Insurance recovery receivable</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5,011</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1,689</w:t>
            </w:r>
          </w:p>
        </w:tc>
      </w:tr>
      <w:tr>
        <w:trPr>
          <w:trHeight w:val="217"/>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190,630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183,357</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$24,078 in 2020 and $23,276 in 2019</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11,832</w:t>
            </w:r>
          </w:p>
        </w:tc>
      </w:tr>
      <w:tr>
        <w:trPr>
          <w:trHeight w:val="224"/>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16,964</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101,066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101,066</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Trade names, indefinite-lived</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5,900</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42,483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44,957</w:t>
            </w:r>
          </w:p>
        </w:tc>
      </w:tr>
      <w:tr>
        <w:trPr>
          <w:trHeight w:val="224"/>
        </w:trPr>
        <w:tc>
          <w:tcPr>
            <w:tcW w:w="824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18,672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18,298</w:t>
            </w:r>
          </w:p>
        </w:tc>
      </w:tr>
      <w:tr>
        <w:trPr>
          <w:trHeight w:val="33"/>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386,979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382,374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45,726</w:t>
            </w:r>
          </w:p>
        </w:tc>
      </w:tr>
      <w:tr>
        <w:trPr>
          <w:trHeight w:val="224"/>
        </w:trPr>
        <w:tc>
          <w:tcPr>
            <w:tcW w:w="8240" w:type="dxa"/>
            <w:vAlign w:val="bottom"/>
          </w:tcPr>
          <w:p>
            <w:pPr>
              <w:ind w:left="12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37,199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31,307</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lease liabilities - current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4,878</w:t>
            </w:r>
          </w:p>
        </w:tc>
      </w:tr>
      <w:tr>
        <w:trPr>
          <w:trHeight w:val="224"/>
        </w:trPr>
        <w:tc>
          <w:tcPr>
            <w:tcW w:w="82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3,554</w:t>
            </w:r>
          </w:p>
        </w:tc>
      </w:tr>
      <w:tr>
        <w:trPr>
          <w:trHeight w:val="33"/>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99,002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85,465</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67,648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70,974</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17,992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19,070</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7,555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7,523</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accrued claims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27,392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26,938</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2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4,867</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4,037</w:t>
            </w:r>
          </w:p>
        </w:tc>
      </w:tr>
      <w:tr>
        <w:trPr>
          <w:trHeight w:val="217"/>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225,577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218,874</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305,935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305,643</w:t>
            </w: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(143,864)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(141,775)</w:t>
            </w:r>
          </w:p>
        </w:tc>
      </w:tr>
      <w:tr>
        <w:trPr>
          <w:trHeight w:val="33"/>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Cross Country Healthcare, Inc.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160,757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162,632</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Noncontrolling interest in subsidiary</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868</w:t>
            </w:r>
          </w:p>
        </w:tc>
      </w:tr>
      <w:tr>
        <w:trPr>
          <w:trHeight w:val="33"/>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163,500</w:t>
            </w:r>
          </w:p>
        </w:tc>
      </w:tr>
      <w:tr>
        <w:trPr>
          <w:trHeight w:val="247"/>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386,979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382,374</w:t>
            </w:r>
          </w:p>
        </w:tc>
      </w:tr>
      <w:tr>
        <w:trPr>
          <w:trHeight w:val="2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3"/>
                <w:szCs w:val="23"/>
                <w:color w:val="auto"/>
              </w:rPr>
            </w:pPr>
          </w:p>
        </w:tc>
      </w:tr>
      <w:tr>
        <w:trPr>
          <w:trHeight w:val="27"/>
        </w:trPr>
        <w:tc>
          <w:tcPr>
            <w:tcW w:w="8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195,171</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160,461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146,917</w:t>
            </w:r>
          </w:p>
        </w:tc>
      </w:tr>
      <w:tr>
        <w:trPr>
          <w:trHeight w:val="243"/>
        </w:trPr>
        <w:tc>
          <w:tcPr>
            <w:tcW w:w="854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45,881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46,036</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w:t>
            </w:r>
          </w:p>
        </w:tc>
      </w:tr>
      <w:tr>
        <w:trPr>
          <w:trHeight w:val="243"/>
        </w:trPr>
        <w:tc>
          <w:tcPr>
            <w:tcW w:w="85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2,984</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512</w:t>
            </w:r>
          </w:p>
        </w:tc>
      </w:tr>
      <w:tr>
        <w:trPr>
          <w:trHeight w:val="243"/>
        </w:trPr>
        <w:tc>
          <w:tcPr>
            <w:tcW w:w="854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1,140</w:t>
            </w: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8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210,818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197,859</w:t>
            </w:r>
          </w:p>
        </w:tc>
      </w:tr>
      <w:tr>
        <w:trPr>
          <w:trHeight w:val="237"/>
        </w:trPr>
        <w:tc>
          <w:tcPr>
            <w:tcW w:w="85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(2,688)</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1,422</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w:t>
            </w:r>
          </w:p>
        </w:tc>
      </w:tr>
      <w:tr>
        <w:trPr>
          <w:trHeight w:val="243"/>
        </w:trPr>
        <w:tc>
          <w:tcPr>
            <w:tcW w:w="854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(3,012)</w:t>
            </w: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r>
      <w:tr>
        <w:trPr>
          <w:trHeight w:val="27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391</w:t>
            </w:r>
          </w:p>
        </w:tc>
      </w:tr>
      <w:tr>
        <w:trPr>
          <w:trHeight w:val="28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(1,767)</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8"/>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854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35,873</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35,700</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CROSS COUNTRY HEALTHCARE, INC. CONDENSED CONSOLIDATED STATEMENTS OF COMPREHENSIVE LOSS (Unaudited,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23"/>
                <w:szCs w:val="23"/>
                <w:color w:val="auto"/>
              </w:rPr>
            </w:pPr>
          </w:p>
        </w:tc>
      </w:tr>
      <w:tr>
        <w:trPr>
          <w:trHeight w:val="27"/>
        </w:trPr>
        <w:tc>
          <w:tcPr>
            <w:tcW w:w="8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r>
      <w:tr>
        <w:trPr>
          <w:trHeight w:val="257"/>
        </w:trPr>
        <w:tc>
          <w:tcPr>
            <w:tcW w:w="8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Unrealized foreign currency translation (loss) gain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72</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Unrealized loss on interest rate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Reclassification adjustment to statement of operations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Taxes on other comprehensive loss: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effect related to unrealized foreign currency translation gain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Income tax effect related to unrealized loss on interest rate contracts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effect related to reclassification adjustment to statement of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37"/>
        </w:trPr>
        <w:tc>
          <w:tcPr>
            <w:tcW w:w="86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37"/>
        </w:trPr>
        <w:tc>
          <w:tcPr>
            <w:tcW w:w="86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391</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20"/>
        <w:spacing w:after="0" w:line="249" w:lineRule="auto"/>
        <w:rPr>
          <w:sz w:val="20"/>
          <w:szCs w:val="20"/>
          <w:color w:val="auto"/>
        </w:rPr>
      </w:pPr>
      <w:r>
        <w:rPr>
          <w:rFonts w:ascii="Arial" w:cs="Arial" w:eastAsia="Arial" w:hAnsi="Arial"/>
          <w:sz w:val="20"/>
          <w:szCs w:val="20"/>
          <w:b w:val="1"/>
          <w:bCs w:val="1"/>
          <w:color w:val="auto"/>
        </w:rPr>
        <w:t>CROSS COUNTRY HEALTHCARE, INC. CONDENSED CONSOLIDATED STATEMENTS OF STOCKHOLDERS' EQUITY Three Months Ended March 31, 2020 and 2019 (Unaudited, 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20" w:type="dxa"/>
            <w:vAlign w:val="bottom"/>
          </w:tcPr>
          <w:p>
            <w:pPr>
              <w:spacing w:after="0"/>
              <w:rPr>
                <w:sz w:val="15"/>
                <w:szCs w:val="15"/>
                <w:color w:val="auto"/>
              </w:rPr>
            </w:pPr>
          </w:p>
        </w:tc>
        <w:tc>
          <w:tcPr>
            <w:tcW w:w="1680" w:type="dxa"/>
            <w:vAlign w:val="bottom"/>
            <w:gridSpan w:val="3"/>
          </w:tcPr>
          <w:p>
            <w:pPr>
              <w:jc w:val="right"/>
              <w:ind w:right="26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ind w:left="120"/>
              <w:spacing w:after="0"/>
              <w:rPr>
                <w:sz w:val="20"/>
                <w:szCs w:val="20"/>
                <w:color w:val="auto"/>
              </w:rPr>
            </w:pPr>
            <w:r>
              <w:rPr>
                <w:rFonts w:ascii="Arial" w:cs="Arial" w:eastAsia="Arial" w:hAnsi="Arial"/>
                <w:sz w:val="15"/>
                <w:szCs w:val="15"/>
                <w:b w:val="1"/>
                <w:bCs w:val="1"/>
                <w:color w:val="auto"/>
                <w:w w:val="98"/>
              </w:rPr>
              <w:t>Accumulated Other</w:t>
            </w:r>
          </w:p>
        </w:tc>
        <w:tc>
          <w:tcPr>
            <w:tcW w:w="20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5"/>
                <w:szCs w:val="15"/>
                <w:color w:val="auto"/>
              </w:rPr>
            </w:pPr>
          </w:p>
        </w:tc>
        <w:tc>
          <w:tcPr>
            <w:tcW w:w="1200" w:type="dxa"/>
            <w:vAlign w:val="bottom"/>
          </w:tcPr>
          <w:p>
            <w:pPr>
              <w:jc w:val="center"/>
              <w:ind w:right="64"/>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ind w:right="184"/>
              <w:spacing w:after="0" w:line="146" w:lineRule="exact"/>
              <w:rPr>
                <w:sz w:val="20"/>
                <w:szCs w:val="20"/>
                <w:color w:val="auto"/>
              </w:rPr>
            </w:pPr>
            <w:r>
              <w:rPr>
                <w:rFonts w:ascii="Arial" w:cs="Arial" w:eastAsia="Arial" w:hAnsi="Arial"/>
                <w:sz w:val="15"/>
                <w:szCs w:val="15"/>
                <w:b w:val="1"/>
                <w:bCs w:val="1"/>
                <w:color w:val="auto"/>
              </w:rPr>
              <w:t>Paid-In</w:t>
            </w:r>
          </w:p>
        </w:tc>
        <w:tc>
          <w:tcPr>
            <w:tcW w:w="220" w:type="dxa"/>
            <w:vAlign w:val="bottom"/>
          </w:tcPr>
          <w:p>
            <w:pPr>
              <w:spacing w:after="0"/>
              <w:rPr>
                <w:sz w:val="5"/>
                <w:szCs w:val="5"/>
                <w:color w:val="auto"/>
              </w:rPr>
            </w:pPr>
          </w:p>
        </w:tc>
        <w:tc>
          <w:tcPr>
            <w:tcW w:w="1280" w:type="dxa"/>
            <w:vAlign w:val="bottom"/>
            <w:vMerge w:val="restart"/>
          </w:tcPr>
          <w:p>
            <w:pPr>
              <w:jc w:val="right"/>
              <w:ind w:right="144"/>
              <w:spacing w:after="0" w:line="146"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vMerge w:val="restart"/>
          </w:tcPr>
          <w:p>
            <w:pPr>
              <w:jc w:val="center"/>
              <w:spacing w:after="0" w:line="146"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5"/>
                <w:szCs w:val="5"/>
                <w:color w:val="auto"/>
              </w:rPr>
            </w:pPr>
          </w:p>
        </w:tc>
        <w:tc>
          <w:tcPr>
            <w:tcW w:w="1200" w:type="dxa"/>
            <w:vAlign w:val="bottom"/>
            <w:vMerge w:val="restart"/>
          </w:tcPr>
          <w:p>
            <w:pPr>
              <w:jc w:val="center"/>
              <w:ind w:right="44"/>
              <w:spacing w:after="0" w:line="146"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5"/>
                <w:szCs w:val="5"/>
                <w:color w:val="auto"/>
              </w:rPr>
            </w:pPr>
          </w:p>
        </w:tc>
        <w:tc>
          <w:tcPr>
            <w:tcW w:w="1100" w:type="dxa"/>
            <w:vAlign w:val="bottom"/>
            <w:vMerge w:val="restart"/>
          </w:tcPr>
          <w:p>
            <w:pPr>
              <w:jc w:val="right"/>
              <w:ind w:right="84"/>
              <w:spacing w:after="0" w:line="146"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57"/>
        </w:trPr>
        <w:tc>
          <w:tcPr>
            <w:tcW w:w="2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8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Loss, net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2019</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35,871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305,643</w:t>
            </w:r>
          </w:p>
        </w:tc>
        <w:tc>
          <w:tcPr>
            <w:tcW w:w="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(1,240)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(141,775)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868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163,500</w:t>
            </w:r>
          </w:p>
        </w:tc>
        <w:tc>
          <w:tcPr>
            <w:tcW w:w="0" w:type="dxa"/>
            <w:vAlign w:val="bottom"/>
          </w:tcPr>
          <w:p>
            <w:pPr>
              <w:spacing w:after="0"/>
              <w:rPr>
                <w:sz w:val="1"/>
                <w:szCs w:val="1"/>
                <w:color w:val="auto"/>
              </w:rPr>
            </w:pPr>
          </w:p>
        </w:tc>
      </w:tr>
      <w:tr>
        <w:trPr>
          <w:trHeight w:val="212"/>
        </w:trPr>
        <w:tc>
          <w:tcPr>
            <w:tcW w:w="2820" w:type="dxa"/>
            <w:vAlign w:val="bottom"/>
          </w:tcPr>
          <w:p>
            <w:pPr>
              <w:ind w:left="120"/>
              <w:spacing w:after="0"/>
              <w:rPr>
                <w:sz w:val="20"/>
                <w:szCs w:val="20"/>
                <w:color w:val="auto"/>
              </w:rPr>
            </w:pPr>
            <w:r>
              <w:rPr>
                <w:rFonts w:ascii="Arial" w:cs="Arial" w:eastAsia="Arial" w:hAnsi="Arial"/>
                <w:sz w:val="15"/>
                <w:szCs w:val="15"/>
                <w:color w:val="auto"/>
              </w:rPr>
              <w:t>Vesting of restricted stock</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221</w:t>
            </w:r>
          </w:p>
        </w:tc>
        <w:tc>
          <w:tcPr>
            <w:tcW w:w="22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(635)</w:t>
            </w:r>
          </w:p>
        </w:tc>
        <w:tc>
          <w:tcPr>
            <w:tcW w:w="220" w:type="dxa"/>
            <w:vAlign w:val="bottom"/>
          </w:tcPr>
          <w:p>
            <w:pPr>
              <w:spacing w:after="0"/>
              <w:rPr>
                <w:sz w:val="18"/>
                <w:szCs w:val="18"/>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(635)</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Equity compensation</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927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176"/>
        </w:trPr>
        <w:tc>
          <w:tcPr>
            <w:tcW w:w="2820" w:type="dxa"/>
            <w:vAlign w:val="bottom"/>
          </w:tcPr>
          <w:p>
            <w:pPr>
              <w:ind w:left="120"/>
              <w:spacing w:after="0"/>
              <w:rPr>
                <w:sz w:val="20"/>
                <w:szCs w:val="20"/>
                <w:color w:val="auto"/>
              </w:rPr>
            </w:pPr>
            <w:r>
              <w:rPr>
                <w:rFonts w:ascii="Arial" w:cs="Arial" w:eastAsia="Arial" w:hAnsi="Arial"/>
                <w:sz w:val="15"/>
                <w:szCs w:val="15"/>
                <w:color w:val="auto"/>
              </w:rPr>
              <w:t>Foreign currency translation adjustment,</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120"/>
              <w:spacing w:after="0"/>
              <w:rPr>
                <w:sz w:val="20"/>
                <w:szCs w:val="20"/>
                <w:color w:val="auto"/>
              </w:rPr>
            </w:pPr>
            <w:r>
              <w:rPr>
                <w:rFonts w:ascii="Arial" w:cs="Arial" w:eastAsia="Arial" w:hAnsi="Arial"/>
                <w:sz w:val="15"/>
                <w:szCs w:val="15"/>
                <w:color w:val="auto"/>
              </w:rPr>
              <w:t>net of taxes</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80" w:type="dxa"/>
            <w:vAlign w:val="bottom"/>
          </w:tcPr>
          <w:p>
            <w:pPr>
              <w:jc w:val="right"/>
              <w:ind w:right="64"/>
              <w:spacing w:after="0"/>
              <w:rPr>
                <w:sz w:val="20"/>
                <w:szCs w:val="20"/>
                <w:color w:val="auto"/>
              </w:rPr>
            </w:pPr>
            <w:r>
              <w:rPr>
                <w:rFonts w:ascii="Arial" w:cs="Arial" w:eastAsia="Arial" w:hAnsi="Arial"/>
                <w:sz w:val="15"/>
                <w:szCs w:val="15"/>
                <w:color w:val="auto"/>
              </w:rPr>
              <w:t>(78)</w:t>
            </w:r>
          </w:p>
        </w:tc>
        <w:tc>
          <w:tcPr>
            <w:tcW w:w="200" w:type="dxa"/>
            <w:vAlign w:val="bottom"/>
          </w:tcPr>
          <w:p>
            <w:pPr>
              <w:spacing w:after="0"/>
              <w:rPr>
                <w:sz w:val="17"/>
                <w:szCs w:val="17"/>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8"/>
              </w:rPr>
              <w:t>Distribution to noncontrolling shareholder</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(544)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(544)</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(loss) income</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(2,089)</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321</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(1,768)</w:t>
            </w:r>
          </w:p>
        </w:tc>
        <w:tc>
          <w:tcPr>
            <w:tcW w:w="0" w:type="dxa"/>
            <w:vAlign w:val="bottom"/>
          </w:tcPr>
          <w:p>
            <w:pPr>
              <w:spacing w:after="0"/>
              <w:rPr>
                <w:sz w:val="1"/>
                <w:szCs w:val="1"/>
                <w:color w:val="auto"/>
              </w:rPr>
            </w:pPr>
          </w:p>
        </w:tc>
      </w:tr>
      <w:tr>
        <w:trPr>
          <w:trHeight w:val="23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March 31, 2020</w:t>
            </w: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36,092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305,935</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(1,318)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(143,864)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645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161,402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20" w:type="dxa"/>
            <w:vAlign w:val="bottom"/>
          </w:tcPr>
          <w:p>
            <w:pPr>
              <w:spacing w:after="0"/>
              <w:rPr>
                <w:sz w:val="15"/>
                <w:szCs w:val="15"/>
                <w:color w:val="auto"/>
              </w:rPr>
            </w:pPr>
          </w:p>
        </w:tc>
        <w:tc>
          <w:tcPr>
            <w:tcW w:w="1680" w:type="dxa"/>
            <w:vAlign w:val="bottom"/>
            <w:gridSpan w:val="3"/>
          </w:tcPr>
          <w:p>
            <w:pPr>
              <w:jc w:val="right"/>
              <w:ind w:right="26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ind w:left="120"/>
              <w:spacing w:after="0"/>
              <w:rPr>
                <w:sz w:val="20"/>
                <w:szCs w:val="20"/>
                <w:color w:val="auto"/>
              </w:rPr>
            </w:pPr>
            <w:r>
              <w:rPr>
                <w:rFonts w:ascii="Arial" w:cs="Arial" w:eastAsia="Arial" w:hAnsi="Arial"/>
                <w:sz w:val="15"/>
                <w:szCs w:val="15"/>
                <w:b w:val="1"/>
                <w:bCs w:val="1"/>
                <w:color w:val="auto"/>
                <w:w w:val="98"/>
              </w:rPr>
              <w:t>Accumulated Other</w:t>
            </w:r>
          </w:p>
        </w:tc>
        <w:tc>
          <w:tcPr>
            <w:tcW w:w="20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5"/>
                <w:szCs w:val="15"/>
                <w:color w:val="auto"/>
              </w:rPr>
            </w:pPr>
          </w:p>
        </w:tc>
        <w:tc>
          <w:tcPr>
            <w:tcW w:w="1200" w:type="dxa"/>
            <w:vAlign w:val="bottom"/>
          </w:tcPr>
          <w:p>
            <w:pPr>
              <w:jc w:val="center"/>
              <w:ind w:right="64"/>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ind w:right="184"/>
              <w:spacing w:after="0" w:line="146" w:lineRule="exact"/>
              <w:rPr>
                <w:sz w:val="20"/>
                <w:szCs w:val="20"/>
                <w:color w:val="auto"/>
              </w:rPr>
            </w:pPr>
            <w:r>
              <w:rPr>
                <w:rFonts w:ascii="Arial" w:cs="Arial" w:eastAsia="Arial" w:hAnsi="Arial"/>
                <w:sz w:val="15"/>
                <w:szCs w:val="15"/>
                <w:b w:val="1"/>
                <w:bCs w:val="1"/>
                <w:color w:val="auto"/>
              </w:rPr>
              <w:t>Paid-In</w:t>
            </w:r>
          </w:p>
        </w:tc>
        <w:tc>
          <w:tcPr>
            <w:tcW w:w="220" w:type="dxa"/>
            <w:vAlign w:val="bottom"/>
          </w:tcPr>
          <w:p>
            <w:pPr>
              <w:spacing w:after="0"/>
              <w:rPr>
                <w:sz w:val="5"/>
                <w:szCs w:val="5"/>
                <w:color w:val="auto"/>
              </w:rPr>
            </w:pPr>
          </w:p>
        </w:tc>
        <w:tc>
          <w:tcPr>
            <w:tcW w:w="1280" w:type="dxa"/>
            <w:vAlign w:val="bottom"/>
            <w:vMerge w:val="restart"/>
          </w:tcPr>
          <w:p>
            <w:pPr>
              <w:jc w:val="right"/>
              <w:ind w:right="144"/>
              <w:spacing w:after="0" w:line="146"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vMerge w:val="restart"/>
          </w:tcPr>
          <w:p>
            <w:pPr>
              <w:jc w:val="center"/>
              <w:spacing w:after="0" w:line="146"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5"/>
                <w:szCs w:val="5"/>
                <w:color w:val="auto"/>
              </w:rPr>
            </w:pPr>
          </w:p>
        </w:tc>
        <w:tc>
          <w:tcPr>
            <w:tcW w:w="1200" w:type="dxa"/>
            <w:vAlign w:val="bottom"/>
            <w:vMerge w:val="restart"/>
          </w:tcPr>
          <w:p>
            <w:pPr>
              <w:jc w:val="center"/>
              <w:ind w:right="44"/>
              <w:spacing w:after="0" w:line="146"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5"/>
                <w:szCs w:val="5"/>
                <w:color w:val="auto"/>
              </w:rPr>
            </w:pPr>
          </w:p>
        </w:tc>
        <w:tc>
          <w:tcPr>
            <w:tcW w:w="1100" w:type="dxa"/>
            <w:vAlign w:val="bottom"/>
            <w:vMerge w:val="restart"/>
          </w:tcPr>
          <w:p>
            <w:pPr>
              <w:jc w:val="right"/>
              <w:ind w:right="84"/>
              <w:spacing w:after="0" w:line="146"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57"/>
        </w:trPr>
        <w:tc>
          <w:tcPr>
            <w:tcW w:w="2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8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Loss, net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2018</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35,626</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303,048</w:t>
            </w:r>
          </w:p>
        </w:tc>
        <w:tc>
          <w:tcPr>
            <w:tcW w:w="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(1,462)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(84,062)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670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218,198</w:t>
            </w:r>
          </w:p>
        </w:tc>
        <w:tc>
          <w:tcPr>
            <w:tcW w:w="0" w:type="dxa"/>
            <w:vAlign w:val="bottom"/>
          </w:tcPr>
          <w:p>
            <w:pPr>
              <w:spacing w:after="0"/>
              <w:rPr>
                <w:sz w:val="1"/>
                <w:szCs w:val="1"/>
                <w:color w:val="auto"/>
              </w:rPr>
            </w:pPr>
          </w:p>
        </w:tc>
      </w:tr>
      <w:tr>
        <w:trPr>
          <w:trHeight w:val="212"/>
        </w:trPr>
        <w:tc>
          <w:tcPr>
            <w:tcW w:w="2820" w:type="dxa"/>
            <w:vAlign w:val="bottom"/>
          </w:tcPr>
          <w:p>
            <w:pPr>
              <w:ind w:left="120"/>
              <w:spacing w:after="0"/>
              <w:rPr>
                <w:sz w:val="20"/>
                <w:szCs w:val="20"/>
                <w:color w:val="auto"/>
              </w:rPr>
            </w:pPr>
            <w:r>
              <w:rPr>
                <w:rFonts w:ascii="Arial" w:cs="Arial" w:eastAsia="Arial" w:hAnsi="Arial"/>
                <w:sz w:val="15"/>
                <w:szCs w:val="15"/>
                <w:color w:val="auto"/>
              </w:rPr>
              <w:t>Exercise of share options</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Vesting of restricted stock</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176</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(777)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(777)</w:t>
            </w:r>
          </w:p>
        </w:tc>
        <w:tc>
          <w:tcPr>
            <w:tcW w:w="0" w:type="dxa"/>
            <w:vAlign w:val="bottom"/>
          </w:tcPr>
          <w:p>
            <w:pPr>
              <w:spacing w:after="0"/>
              <w:rPr>
                <w:sz w:val="1"/>
                <w:szCs w:val="1"/>
                <w:color w:val="auto"/>
              </w:rPr>
            </w:pPr>
          </w:p>
        </w:tc>
      </w:tr>
      <w:tr>
        <w:trPr>
          <w:trHeight w:val="212"/>
        </w:trPr>
        <w:tc>
          <w:tcPr>
            <w:tcW w:w="2820" w:type="dxa"/>
            <w:vAlign w:val="bottom"/>
          </w:tcPr>
          <w:p>
            <w:pPr>
              <w:ind w:left="120"/>
              <w:spacing w:after="0"/>
              <w:rPr>
                <w:sz w:val="20"/>
                <w:szCs w:val="20"/>
                <w:color w:val="auto"/>
              </w:rPr>
            </w:pPr>
            <w:r>
              <w:rPr>
                <w:rFonts w:ascii="Arial" w:cs="Arial" w:eastAsia="Arial" w:hAnsi="Arial"/>
                <w:sz w:val="15"/>
                <w:szCs w:val="15"/>
                <w:color w:val="auto"/>
              </w:rPr>
              <w:t>Equity compensation</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531</w:t>
            </w:r>
          </w:p>
        </w:tc>
        <w:tc>
          <w:tcPr>
            <w:tcW w:w="220" w:type="dxa"/>
            <w:vAlign w:val="bottom"/>
          </w:tcPr>
          <w:p>
            <w:pPr>
              <w:spacing w:after="0"/>
              <w:rPr>
                <w:sz w:val="18"/>
                <w:szCs w:val="18"/>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531</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Foreign currency translation adjustment,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of taxes</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76"/>
        </w:trPr>
        <w:tc>
          <w:tcPr>
            <w:tcW w:w="2820" w:type="dxa"/>
            <w:vAlign w:val="bottom"/>
          </w:tcPr>
          <w:p>
            <w:pPr>
              <w:ind w:left="120"/>
              <w:spacing w:after="0"/>
              <w:rPr>
                <w:sz w:val="20"/>
                <w:szCs w:val="20"/>
                <w:color w:val="auto"/>
              </w:rPr>
            </w:pPr>
            <w:r>
              <w:rPr>
                <w:rFonts w:ascii="Arial" w:cs="Arial" w:eastAsia="Arial" w:hAnsi="Arial"/>
                <w:sz w:val="15"/>
                <w:szCs w:val="15"/>
                <w:color w:val="auto"/>
                <w:w w:val="97"/>
              </w:rPr>
              <w:t>Net change in hedging transaction, net of</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120"/>
              <w:spacing w:after="0"/>
              <w:rPr>
                <w:sz w:val="20"/>
                <w:szCs w:val="20"/>
                <w:color w:val="auto"/>
              </w:rPr>
            </w:pPr>
            <w:r>
              <w:rPr>
                <w:rFonts w:ascii="Arial" w:cs="Arial" w:eastAsia="Arial" w:hAnsi="Arial"/>
                <w:sz w:val="15"/>
                <w:szCs w:val="15"/>
                <w:color w:val="auto"/>
              </w:rPr>
              <w:t>taxes</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80" w:type="dxa"/>
            <w:vAlign w:val="bottom"/>
          </w:tcPr>
          <w:p>
            <w:pPr>
              <w:jc w:val="right"/>
              <w:ind w:right="64"/>
              <w:spacing w:after="0"/>
              <w:rPr>
                <w:sz w:val="20"/>
                <w:szCs w:val="20"/>
                <w:color w:val="auto"/>
              </w:rPr>
            </w:pPr>
            <w:r>
              <w:rPr>
                <w:rFonts w:ascii="Arial" w:cs="Arial" w:eastAsia="Arial" w:hAnsi="Arial"/>
                <w:sz w:val="15"/>
                <w:szCs w:val="15"/>
                <w:color w:val="auto"/>
              </w:rPr>
              <w:t>(252)</w:t>
            </w:r>
          </w:p>
        </w:tc>
        <w:tc>
          <w:tcPr>
            <w:tcW w:w="200" w:type="dxa"/>
            <w:vAlign w:val="bottom"/>
          </w:tcPr>
          <w:p>
            <w:pPr>
              <w:spacing w:after="0"/>
              <w:rPr>
                <w:sz w:val="17"/>
                <w:szCs w:val="17"/>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8"/>
              </w:rPr>
              <w:t>Distribution to noncontrolling shareholder</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(367)</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(367)</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(loss) income</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(1,767)</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391</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(1,376)</w:t>
            </w:r>
          </w:p>
        </w:tc>
        <w:tc>
          <w:tcPr>
            <w:tcW w:w="0" w:type="dxa"/>
            <w:vAlign w:val="bottom"/>
          </w:tcPr>
          <w:p>
            <w:pPr>
              <w:spacing w:after="0"/>
              <w:rPr>
                <w:sz w:val="1"/>
                <w:szCs w:val="1"/>
                <w:color w:val="auto"/>
              </w:rPr>
            </w:pPr>
          </w:p>
        </w:tc>
      </w:tr>
      <w:tr>
        <w:trPr>
          <w:trHeight w:val="23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March 31, 2019</w:t>
            </w: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35,806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302,802</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(1,661)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(85,829)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694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216,010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6"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3"/>
                <w:szCs w:val="23"/>
                <w:color w:val="auto"/>
              </w:rPr>
            </w:pP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Consolidated 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(1,376)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2,984</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allowances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970</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(3,146)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Non-cash lease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1,254</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360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531</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Other non-cash costs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365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10,400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(1,477)</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11,066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2,841</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(1,399)</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480</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12,787</w:t>
            </w:r>
          </w:p>
        </w:tc>
      </w:tr>
      <w:tr>
        <w:trPr>
          <w:trHeight w:val="256"/>
        </w:trPr>
        <w:tc>
          <w:tcPr>
            <w:tcW w:w="8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Acquisition-related settlements</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(1,109)</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8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Principal payments on Term Loan</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(568)</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Borrowings under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107,274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Repayments on revolving credit facility</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(110,600)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payments to noncontrolling shareholder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(860)</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(9,295)</w:t>
            </w:r>
          </w:p>
        </w:tc>
      </w:tr>
      <w:tr>
        <w:trPr>
          <w:trHeight w:val="162"/>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2,267</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16,019</w:t>
            </w:r>
          </w:p>
        </w:tc>
      </w:tr>
      <w:tr>
        <w:trPr>
          <w:trHeight w:val="264"/>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12,599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18,286</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Cross Country Talent Acquisition Group,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20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United States generally accepted accounting principles (U.S. GAAP) for complete financial statements. These operating results are not necessarily indicative of the results that may be expected for the year ending December 31, 2020.</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2019 included in the Company’s Annual Report on Form 10-K as filed with the Securities and Exchange Commission. The December 31, 2019 condensed consolidated balance sheet included herein was derived from the December 31, 2019 audited consolidated balance sheet included in the Company’s Annual Report on Form 10-K.</w:t>
      </w: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on the condensed consolidated statements of operations and statements of cash flows, and as presented in Note 3 - Customer Contracts and Note 11 - Segment Data.</w:t>
      </w:r>
    </w:p>
    <w:p>
      <w:pPr>
        <w:spacing w:after="0" w:line="193" w:lineRule="exact"/>
        <w:rPr>
          <w:sz w:val="20"/>
          <w:szCs w:val="20"/>
          <w:color w:val="auto"/>
        </w:rPr>
      </w:pPr>
    </w:p>
    <w:p>
      <w:pPr>
        <w:ind w:right="636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in context of the unknown future impacts of the current global outbreak of Coronavirus (COVID-19) using information that is reasonably available to the Company at the time.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legal contingencies; (8) income taxes; and (9) sales and other non-income tax liabilities. Accrued insurance claims and reserves include estimated settlements from known claims and actuarial estimates for claims incurred but not reported. Based on current assessment of these estimates there was not a material impact to the Company's consolidated financial statements as of and for the quarter ended March 31, 2020. However,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5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primarily include employee termination costs and lease-related exit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Reconciliation of the employee termination costs and lease-related exit costs beginning and ending liability balance is presented below:</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9"/>
              </w:rPr>
              <w:t>Employee Termination Costs</w:t>
            </w:r>
          </w:p>
        </w:tc>
        <w:tc>
          <w:tcPr>
            <w:tcW w:w="200" w:type="dxa"/>
            <w:vAlign w:val="bottom"/>
          </w:tcPr>
          <w:p>
            <w:pPr>
              <w:spacing w:after="0"/>
              <w:rPr>
                <w:sz w:val="20"/>
                <w:szCs w:val="20"/>
                <w:color w:val="auto"/>
              </w:rPr>
            </w:pPr>
          </w:p>
        </w:tc>
        <w:tc>
          <w:tcPr>
            <w:tcW w:w="23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Lease-Related Exit Costs</w:t>
            </w:r>
          </w:p>
        </w:tc>
      </w:tr>
      <w:tr>
        <w:trPr>
          <w:trHeight w:val="27"/>
        </w:trPr>
        <w:tc>
          <w:tcPr>
            <w:tcW w:w="5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gridSpan w:val="4"/>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00" w:type="dxa"/>
            <w:vAlign w:val="bottom"/>
            <w:gridSpan w:val="4"/>
          </w:tcPr>
          <w:p>
            <w:pPr>
              <w:jc w:val="right"/>
              <w:ind w:right="1790"/>
              <w:spacing w:after="0"/>
              <w:rPr>
                <w:sz w:val="20"/>
                <w:szCs w:val="20"/>
                <w:color w:val="auto"/>
              </w:rPr>
            </w:pPr>
            <w:r>
              <w:rPr>
                <w:rFonts w:ascii="Arial" w:cs="Arial" w:eastAsia="Arial" w:hAnsi="Arial"/>
                <w:sz w:val="18"/>
                <w:szCs w:val="18"/>
                <w:color w:val="auto"/>
              </w:rPr>
              <w:t>(amounts in thousands)</w:t>
            </w:r>
          </w:p>
        </w:tc>
      </w:tr>
      <w:tr>
        <w:trPr>
          <w:trHeight w:val="27"/>
        </w:trPr>
        <w:tc>
          <w:tcPr>
            <w:tcW w:w="5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386</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1,223</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Charged to restructuring costs (a)</w:t>
            </w:r>
          </w:p>
        </w:tc>
        <w:tc>
          <w:tcPr>
            <w:tcW w:w="140" w:type="dxa"/>
            <w:vAlign w:val="bottom"/>
          </w:tcPr>
          <w:p>
            <w:pPr>
              <w:spacing w:after="0"/>
              <w:rPr>
                <w:sz w:val="21"/>
                <w:szCs w:val="21"/>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5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63"/>
        </w:trPr>
        <w:tc>
          <w:tcPr>
            <w:tcW w:w="576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306</w:t>
            </w:r>
          </w:p>
        </w:tc>
        <w:tc>
          <w:tcPr>
            <w:tcW w:w="3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1,167</w:t>
            </w:r>
          </w:p>
        </w:tc>
      </w:tr>
      <w:tr>
        <w:trPr>
          <w:trHeight w:val="21"/>
        </w:trPr>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56" w:lineRule="exact"/>
        <w:rPr>
          <w:sz w:val="20"/>
          <w:szCs w:val="20"/>
          <w:color w:val="auto"/>
        </w:rPr>
      </w:pPr>
    </w:p>
    <w:p>
      <w:pPr>
        <w:ind w:right="40" w:firstLine="8"/>
        <w:spacing w:after="0" w:line="311" w:lineRule="auto"/>
        <w:tabs>
          <w:tab w:leader="none" w:pos="245" w:val="left"/>
        </w:tabs>
        <w:numPr>
          <w:ilvl w:val="0"/>
          <w:numId w:val="5"/>
        </w:numPr>
        <w:rPr>
          <w:rFonts w:ascii="Arial" w:cs="Arial" w:eastAsia="Arial" w:hAnsi="Arial"/>
          <w:sz w:val="16"/>
          <w:szCs w:val="16"/>
          <w:color w:val="auto"/>
        </w:rPr>
      </w:pPr>
      <w:r>
        <w:rPr>
          <w:rFonts w:ascii="Arial" w:cs="Arial" w:eastAsia="Arial" w:hAnsi="Arial"/>
          <w:sz w:val="16"/>
          <w:szCs w:val="16"/>
          <w:color w:val="auto"/>
        </w:rPr>
        <w:t>Aside from what is presented in the table above, restructuring costs in the condensed consolidated statements of operations for the three months ended March 31, 2020 also include $0.2 million of legal entity reorganization costs and $0.2 million of ongoing lease costs related to the Company's strategic reduction in its real estate footprint which are included as operating lease liabilities - current and non-current in our condensed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Effective January 1, 2020, the Company adopted ASU No. 2018-13, </w:t>
      </w:r>
      <w:r>
        <w:rPr>
          <w:rFonts w:ascii="Arial" w:cs="Arial" w:eastAsia="Arial" w:hAnsi="Arial"/>
          <w:sz w:val="17"/>
          <w:szCs w:val="17"/>
          <w:i w:val="1"/>
          <w:iCs w:val="1"/>
          <w:color w:val="auto"/>
        </w:rPr>
        <w:t>Fair Value Measurement (Topic 820), Disclosure Framework - 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for Fair Value Measurement, </w:t>
      </w:r>
      <w:r>
        <w:rPr>
          <w:rFonts w:ascii="Arial" w:cs="Arial" w:eastAsia="Arial" w:hAnsi="Arial"/>
          <w:sz w:val="17"/>
          <w:szCs w:val="17"/>
          <w:color w:val="auto"/>
        </w:rPr>
        <w:t>which modifies the disclosure requirements on fair value measurements in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based on the concepts in the Concepts Statement, including the consideration of costs and benefits. The Company has adopted this guidance prospectively with no material impact on its condensed consolidated financial statements.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of the beginning of the first quarter of 2020, the Company adopted ASU No. 2016-13, </w:t>
      </w:r>
      <w:r>
        <w:rPr>
          <w:rFonts w:ascii="Arial" w:cs="Arial" w:eastAsia="Arial" w:hAnsi="Arial"/>
          <w:sz w:val="16"/>
          <w:szCs w:val="16"/>
          <w:i w:val="1"/>
          <w:iCs w:val="1"/>
          <w:color w:val="auto"/>
        </w:rPr>
        <w:t>Financial Instruments - Credit Losses (Topic 326),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Credit Losses on Financial Instruments, </w:t>
      </w:r>
      <w:r>
        <w:rPr>
          <w:rFonts w:ascii="Arial" w:cs="Arial" w:eastAsia="Arial" w:hAnsi="Arial"/>
          <w:sz w:val="16"/>
          <w:szCs w:val="16"/>
          <w:color w:val="auto"/>
        </w:rPr>
        <w:t>which replaces the incurred loss impairment methodology under current GAAP with a methodology that reflects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losses and requires the use of a forward-looking expected credit loss model for accounts receivable, loans, and other financial instruments.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guidance requires a modified retrospective approach through a cumulative-effect adjustment to retained earnings as of the beginning of the first reporting period in which it is effective. The Company has adopted this guidance using the modified retrospective approach related to its accounts receivable, resulting in no cumulative adjustment to retained earnings and no material impact on its condensed consolidated financial statements. See Note 3 -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CUSTOMER CONTRACTS</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Three Months ended March 31, 2020</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Nurse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And Allied</w:t>
            </w:r>
          </w:p>
        </w:tc>
        <w:tc>
          <w:tcPr>
            <w:tcW w:w="22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Staffing</w:t>
            </w:r>
          </w:p>
        </w:tc>
        <w:tc>
          <w:tcPr>
            <w:tcW w:w="22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Total Segments</w:t>
            </w:r>
          </w:p>
        </w:tc>
      </w:tr>
      <w:tr>
        <w:trPr>
          <w:trHeight w:val="27"/>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5"/>
          </w:tcPr>
          <w:p>
            <w:pPr>
              <w:jc w:val="center"/>
              <w:ind w:right="460"/>
              <w:spacing w:after="0"/>
              <w:rPr>
                <w:sz w:val="20"/>
                <w:szCs w:val="20"/>
                <w:color w:val="auto"/>
              </w:rPr>
            </w:pPr>
            <w:r>
              <w:rPr>
                <w:rFonts w:ascii="Arial" w:cs="Arial" w:eastAsia="Arial" w:hAnsi="Arial"/>
                <w:sz w:val="18"/>
                <w:szCs w:val="18"/>
                <w:color w:val="auto"/>
                <w:w w:val="89"/>
              </w:rPr>
              <w:t>(amounts 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184,949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17,160</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202,109</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3,284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3,650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7,955</w:t>
            </w: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188,233</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18,181</w:t>
            </w:r>
          </w:p>
        </w:tc>
        <w:tc>
          <w:tcPr>
            <w:tcW w:w="2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3,650</w:t>
            </w: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210,064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Three Months ended March 31, 2019</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Nurse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And Allied</w:t>
            </w:r>
          </w:p>
        </w:tc>
        <w:tc>
          <w:tcPr>
            <w:tcW w:w="22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Staffing</w:t>
            </w:r>
          </w:p>
        </w:tc>
        <w:tc>
          <w:tcPr>
            <w:tcW w:w="22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Total Segments</w:t>
            </w:r>
          </w:p>
        </w:tc>
      </w:tr>
      <w:tr>
        <w:trPr>
          <w:trHeight w:val="27"/>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5"/>
          </w:tcPr>
          <w:p>
            <w:pPr>
              <w:jc w:val="center"/>
              <w:ind w:right="460"/>
              <w:spacing w:after="0"/>
              <w:rPr>
                <w:sz w:val="20"/>
                <w:szCs w:val="20"/>
                <w:color w:val="auto"/>
              </w:rPr>
            </w:pPr>
            <w:r>
              <w:rPr>
                <w:rFonts w:ascii="Arial" w:cs="Arial" w:eastAsia="Arial" w:hAnsi="Arial"/>
                <w:sz w:val="18"/>
                <w:szCs w:val="18"/>
                <w:color w:val="auto"/>
                <w:w w:val="89"/>
              </w:rPr>
              <w:t>(amounts 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172,662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15,154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187,816</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2,975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1,005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3,375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7,355</w:t>
            </w: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175,637</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16,159</w:t>
            </w:r>
          </w:p>
        </w:tc>
        <w:tc>
          <w:tcPr>
            <w:tcW w:w="2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3,375</w:t>
            </w: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195,171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The timing of revenue recognition, billings, and collections results in billed and unbilled accounts receivable from our customers which are classified as accounts receivable on the condensed consolidated balance sheets and are presented net of allowances for doubtful accounts and sales allowances. Estimated revenue for the Company's employees', subcontracted employees', and independent contractors’ time worked but not yet billed at March 31, 2020 and December 31, 2019 totaled $44.7 million and $46.1 million, respectively.</w:t>
      </w:r>
    </w:p>
    <w:p>
      <w:pPr>
        <w:spacing w:after="0" w:line="21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COVID-19, when estimating its allowance for doubtful accounts.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the allowance for doubtful accounts is reconciled to the closing balance for expected credit losses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22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272"/>
              <w:spacing w:after="0"/>
              <w:rPr>
                <w:sz w:val="20"/>
                <w:szCs w:val="20"/>
                <w:color w:val="auto"/>
              </w:rPr>
            </w:pPr>
            <w:r>
              <w:rPr>
                <w:rFonts w:ascii="Arial" w:cs="Arial" w:eastAsia="Arial" w:hAnsi="Arial"/>
                <w:sz w:val="16"/>
                <w:szCs w:val="16"/>
                <w:color w:val="auto"/>
                <w:w w:val="96"/>
              </w:rPr>
              <w:t>(amounts in thousands)</w:t>
            </w: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Balance at January 1, 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2,406</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539</w:t>
            </w: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Write-Offs, net of Recoveries</w:t>
            </w:r>
          </w:p>
        </w:tc>
        <w:tc>
          <w:tcPr>
            <w:tcW w:w="22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(349)</w:t>
            </w: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2,596</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to the allowance for doubtful accounts, the Company maintains a sales allowance for billing-related adjustments which may arise in the ordinary course and adjustments to the reserve are recorded as contra-revenue. The balance of this allowance as of March 31, 2020 and December 31, 2019 was $0.7 million and $0.8 million, respectively.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Total comprehensive loss includes net income or loss, foreign currency translation adjustments, and net change in derivative transactions, net of any related deferred taxes and valuation allowance. Certain of the Company’s foreign subsidiaries use their respective local currency as their functional currency. In accordance with the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$1.3 million at March 31, 2020 and December 31, 2019.</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income tax impact related to components of other comprehensive loss for the three months ended March 31, 2020 and 2019 is reflected on the condensed consolidated statements of comprehensive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8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gridSpan w:val="3"/>
          </w:tcPr>
          <w:p>
            <w:pPr>
              <w:jc w:val="center"/>
              <w:ind w:left="752"/>
              <w:spacing w:after="0"/>
              <w:rPr>
                <w:sz w:val="20"/>
                <w:szCs w:val="20"/>
                <w:color w:val="auto"/>
              </w:rPr>
            </w:pPr>
            <w:r>
              <w:rPr>
                <w:rFonts w:ascii="Arial" w:cs="Arial" w:eastAsia="Arial" w:hAnsi="Arial"/>
                <w:sz w:val="18"/>
                <w:szCs w:val="18"/>
                <w:b w:val="1"/>
                <w:bCs w:val="1"/>
                <w:color w:val="auto"/>
                <w:w w:val="93"/>
              </w:rPr>
              <w:t>March 31,</w:t>
            </w:r>
          </w:p>
        </w:tc>
        <w:tc>
          <w:tcPr>
            <w:tcW w:w="980" w:type="dxa"/>
            <w:vAlign w:val="bottom"/>
          </w:tcPr>
          <w:p>
            <w:pPr>
              <w:spacing w:after="0"/>
              <w:rPr>
                <w:sz w:val="23"/>
                <w:szCs w:val="23"/>
                <w:color w:val="auto"/>
              </w:rPr>
            </w:pPr>
          </w:p>
        </w:tc>
      </w:tr>
      <w:tr>
        <w:trPr>
          <w:trHeight w:val="27"/>
        </w:trPr>
        <w:tc>
          <w:tcPr>
            <w:tcW w:w="8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8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jc w:val="center"/>
              <w:ind w:right="50"/>
              <w:spacing w:after="0"/>
              <w:rPr>
                <w:sz w:val="20"/>
                <w:szCs w:val="20"/>
                <w:color w:val="auto"/>
              </w:rPr>
            </w:pPr>
            <w:r>
              <w:rPr>
                <w:rFonts w:ascii="Arial" w:cs="Arial" w:eastAsia="Arial" w:hAnsi="Arial"/>
                <w:sz w:val="14"/>
                <w:szCs w:val="14"/>
                <w:color w:val="auto"/>
                <w:w w:val="90"/>
              </w:rPr>
              <w:t>(amounts in thousands, except per share data)</w:t>
            </w: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70"/>
        </w:trPr>
        <w:tc>
          <w:tcPr>
            <w:tcW w:w="8320" w:type="dxa"/>
            <w:vAlign w:val="bottom"/>
          </w:tcPr>
          <w:p>
            <w:pPr>
              <w:ind w:left="120"/>
              <w:spacing w:after="0"/>
              <w:rPr>
                <w:sz w:val="20"/>
                <w:szCs w:val="20"/>
                <w:color w:val="auto"/>
              </w:rPr>
            </w:pPr>
            <w:r>
              <w:rPr>
                <w:rFonts w:ascii="Arial" w:cs="Arial" w:eastAsia="Arial" w:hAnsi="Arial"/>
                <w:sz w:val="18"/>
                <w:szCs w:val="18"/>
                <w:color w:val="auto"/>
              </w:rPr>
              <w:t>Net loss attributable to common shareholders -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 Basic</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35,873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35,700</w:t>
            </w: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Effect of diluted shares: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Share-based awards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4"/>
        </w:trPr>
        <w:tc>
          <w:tcPr>
            <w:tcW w:w="8320" w:type="dxa"/>
            <w:vAlign w:val="bottom"/>
          </w:tcPr>
          <w:p>
            <w:pPr>
              <w:ind w:left="120"/>
              <w:spacing w:after="0"/>
              <w:rPr>
                <w:sz w:val="20"/>
                <w:szCs w:val="20"/>
                <w:color w:val="auto"/>
              </w:rPr>
            </w:pPr>
            <w:r>
              <w:rPr>
                <w:rFonts w:ascii="Arial" w:cs="Arial" w:eastAsia="Arial" w:hAnsi="Arial"/>
                <w:sz w:val="18"/>
                <w:szCs w:val="18"/>
                <w:color w:val="auto"/>
              </w:rPr>
              <w:t>Weighted average common shares - Diluted</w:t>
            </w:r>
          </w:p>
        </w:tc>
        <w:tc>
          <w:tcPr>
            <w:tcW w:w="1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35,873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35,700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r>
      <w:tr>
        <w:trPr>
          <w:trHeight w:val="21"/>
        </w:trPr>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three months ended March 31, 2020 and 2019, no tax benefits were assumed in the weighted average share calculation due to the Company's net operating loss position.</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Due to the net loss for the three months ended March 31, 2020 and 2019, 454,920 and 97,184 shares, respectively, were excluded from diluted weighted average shares.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880" w:type="dxa"/>
            <w:vAlign w:val="bottom"/>
            <w:gridSpan w:val="9"/>
          </w:tcPr>
          <w:p>
            <w:pPr>
              <w:spacing w:after="0"/>
              <w:rPr>
                <w:sz w:val="20"/>
                <w:szCs w:val="20"/>
                <w:color w:val="auto"/>
              </w:rPr>
            </w:pPr>
            <w:r>
              <w:rPr>
                <w:rFonts w:ascii="Arial" w:cs="Arial" w:eastAsia="Arial" w:hAnsi="Arial"/>
                <w:sz w:val="18"/>
                <w:szCs w:val="18"/>
                <w:b w:val="1"/>
                <w:bCs w:val="1"/>
                <w:color w:val="auto"/>
              </w:rPr>
              <w:t>6. GOODWILL, TRADE NAMES, AND OTHER INTANGIBLE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00" w:type="dxa"/>
            <w:vAlign w:val="bottom"/>
            <w:gridSpan w:val="6"/>
          </w:tcPr>
          <w:p>
            <w:pPr>
              <w:spacing w:after="0"/>
              <w:rPr>
                <w:sz w:val="20"/>
                <w:szCs w:val="20"/>
                <w:color w:val="auto"/>
              </w:rPr>
            </w:pPr>
            <w:r>
              <w:rPr>
                <w:rFonts w:ascii="Arial" w:cs="Arial" w:eastAsia="Arial" w:hAnsi="Arial"/>
                <w:sz w:val="18"/>
                <w:szCs w:val="18"/>
                <w:color w:val="auto"/>
                <w:w w:val="90"/>
              </w:rPr>
              <w:t>The Company had the following acquired intangible assets: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March 31, 2020</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(amounts in 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subject to</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Databases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30,530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13,032</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17,498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30,530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5"/>
              <w:spacing w:after="0"/>
              <w:rPr>
                <w:sz w:val="20"/>
                <w:szCs w:val="20"/>
                <w:color w:val="auto"/>
              </w:rPr>
            </w:pPr>
            <w:r>
              <w:rPr>
                <w:rFonts w:ascii="Arial" w:cs="Arial" w:eastAsia="Arial" w:hAnsi="Arial"/>
                <w:sz w:val="18"/>
                <w:szCs w:val="18"/>
                <w:color w:val="auto"/>
              </w:rPr>
              <w:t>12,269</w:t>
            </w:r>
          </w:p>
        </w:tc>
        <w:tc>
          <w:tcPr>
            <w:tcW w:w="2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18,261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49,758</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27,447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49,758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26,596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Trade names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4,500</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1,969</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1,125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3,375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85,108</w:t>
            </w: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42,625</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42,483</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85,108</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2"/>
          </w:tcPr>
          <w:p>
            <w:pPr>
              <w:jc w:val="right"/>
              <w:ind w:right="75"/>
              <w:spacing w:after="0"/>
              <w:rPr>
                <w:sz w:val="20"/>
                <w:szCs w:val="20"/>
                <w:color w:val="auto"/>
              </w:rPr>
            </w:pPr>
            <w:r>
              <w:rPr>
                <w:rFonts w:ascii="Arial" w:cs="Arial" w:eastAsia="Arial" w:hAnsi="Arial"/>
                <w:sz w:val="18"/>
                <w:szCs w:val="18"/>
                <w:color w:val="auto"/>
              </w:rPr>
              <w:t>40,151</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44,957</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Intangible assets not subject to</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Trade names, indefinite-lived</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5,900</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5,900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880" w:type="dxa"/>
            <w:vAlign w:val="bottom"/>
            <w:gridSpan w:val="9"/>
            <w:vMerge w:val="restart"/>
          </w:tcPr>
          <w:p>
            <w:pPr>
              <w:spacing w:after="0"/>
              <w:rPr>
                <w:sz w:val="20"/>
                <w:szCs w:val="20"/>
                <w:color w:val="auto"/>
              </w:rPr>
            </w:pPr>
            <w:r>
              <w:rPr>
                <w:rFonts w:ascii="Arial" w:cs="Arial" w:eastAsia="Arial" w:hAnsi="Arial"/>
                <w:sz w:val="18"/>
                <w:szCs w:val="18"/>
                <w:color w:val="auto"/>
                <w:w w:val="97"/>
              </w:rPr>
              <w:t>As of March 31, 2020, estimated annual amortization expense is as follows: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5880" w:type="dxa"/>
            <w:vAlign w:val="bottom"/>
            <w:gridSpan w:val="9"/>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6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6"/>
                <w:szCs w:val="16"/>
                <w:color w:val="auto"/>
                <w:w w:val="89"/>
              </w:rPr>
              <w:t>(amounts in thousands)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ind w:right="35"/>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7,214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6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6,028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6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5,289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Borders>
              <w:top w:val="single" w:sz="8" w:color="auto"/>
            </w:tcBorders>
          </w:tcPr>
          <w:p>
            <w:pPr>
              <w:jc w:val="center"/>
              <w:ind w:right="53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42,483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COVID-19,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its fourth quarter 2019 testing, the Company determined that the estimated fair value of its reporting units and its indefinite-lived trade name exceeded their respective values for Nurse and Allied Staffing and Physician Staffing with significant cushions. The Company’s Search reporting unit, however, had less than 20% excess fair value over its carrying amount.</w:t>
      </w:r>
    </w:p>
    <w:p>
      <w:pPr>
        <w:spacing w:after="0" w:line="21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March 31, 2020, the Company performed a qualitative assessment of each of its reporting units and determined it was not more likely than not that the fair value of its reporting units dropped below their carrying value. Although management believes that the Company's current estimates and assumptions are reasonable and supportable, including its assumptions on the impact and timing related to COVID-19, there can be no assurance that the estimates and assumptions management used for purposes of its qualitative assessment as of March 31, 2020 will prove to be accurate predictions of future performance, leaving the Search reporting unit, in particular, at risk for future impairments.</w:t>
      </w:r>
    </w:p>
    <w:p>
      <w:pPr>
        <w:spacing w:after="0" w:line="2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March 31, 2020, goodwill by reporting segment was: $86.4 million for Nurse and Allied Staffing, $2.8 million for Physician Staffing, and $11.9 million for Search, totaling $101.1 million.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 w:name="page14"/>
    <w:bookmarkEnd w:id="13"/>
    <w:p>
      <w:pPr>
        <w:ind w:right="180"/>
        <w:spacing w:after="0" w:line="286" w:lineRule="auto"/>
        <w:rPr>
          <w:sz w:val="20"/>
          <w:szCs w:val="20"/>
          <w:color w:val="auto"/>
        </w:rPr>
      </w:pPr>
      <w:r>
        <w:rPr>
          <w:rFonts w:ascii="Arial" w:cs="Arial" w:eastAsia="Arial" w:hAnsi="Arial"/>
          <w:sz w:val="17"/>
          <w:szCs w:val="17"/>
          <w:color w:val="auto"/>
        </w:rPr>
        <w:t>For its long-lived assets and definite-lived intangible assets, the Company reviews for impairment whenever events or changes in circumstances indicate the carrying amount may not be recoverable. As of March 31, 2020, the Company performed a qualitative assessment of its trade names and other intangible assets and determined it was not more likely than not that their carrying value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ABL Credit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October 25, 2019, the Company terminated its commitments under its prior senior credit facility entered into in August 2017 (defined below) and entered into an ABL Credit Agreement (Loan Agreement). The Loan Agreement provides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7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Availability of the ABL commitments is subject to a borrowing base of up to 85% of secured eligible accounts receivable, subject to adjustment at certain quality levels, plus an amount of supplemental availability, and reducing over time in accordance with the terms of the Loan Agreement, minus customary reserves, and subject to customary adjustments. Revolving loans and letters of credit issued under the Loan Agreement reduce availability under the ABL on a dollar-for-dollar basis. Availability under the ABL will be used for general corporate purposes. Additionally, the facility contains an uncommitted accordion provision to increase the amount of the facility by an additional $30.0 million. At March 31, 2020, availability under the ABL was</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$119.0 million and the Company had $67.6 million of borrowings drawn, as well as $19.6 million of letters of credit outstanding related to workers' compensation and professional liability policies, leaving $31.8 million available for borrowing. The balances drawn are presented as revolving credit facility on the condensed consolidated balance sheets and as of March 31, 2020 and December 31, 2019 had a weighted average interest rate of 3.49% and 4.23%, respectively.</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March 31, 2020, the interest rate spreads and fees under the Loan Agreement were based on LIBOR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Loan Agreement contains various restrictions and covenants applicable to the Company and its subsidiaries, including a covenant to maintain a minimum fixed charge coverage ratio. The Company was in compliance with this covenant as of March 31, 2020. Obligations under the ABL are secured by substantially all the assets of the borrowers and guarantors, subject to customary exceptions.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Senior Credit Facility</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had a prior senior credit facility that included a revolver and term loan. The term loan was payable in quarterly installments and the Company had the right at any time to prepay borrowings in whole or in part, without premium or penalty. In the first quarter of 2019, the Company made an optional prepayment on the term loan of $7.5 million.</w:t>
      </w:r>
    </w:p>
    <w:p>
      <w:pPr>
        <w:spacing w:after="0" w:line="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Also in the first quarter of 2019, the Company amended its prior senior credit facility to reduce the commitment under the revolving credit facility, among other changes. The amendment was treated as a modification and the fees of $0.6 million paid to its lenders were classified as debt issuance costs.</w:t>
      </w:r>
    </w:p>
    <w:p>
      <w:pPr>
        <w:spacing w:after="0" w:line="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a result of the reduction in borrowing capacity under the revolving credit facility, as well as the reduction in the term loan due to the prepayment in the three months ended March 31, 2019, $0.4 million of debt issuance costs were written off. The amount of the write-off is reflected as loss on early extinguishment of debt on the condensed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In connection with the Mediscan acquisition, the Company assumed contingent purchase price liabilities for a previously acquired business that were payable annually based on certain performance criteria for the years 2016 through 2019, and a second performance criteria related to 2019 payable in three equal installments. Pursuant to the asset purchase agreement, once the earnout amount related to the second performance criteria for 2019 was determined, a note payable documenting the remaining principal and interest was specified as part of the settlement. In the first quarter of 2020, the total earnout amount related to both 2019 performance criterion of $7.4 million was determined, and $0.1 million was paid by the Company. Pursuant to the note payable, the first</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4" w:name="page15"/>
    <w:bookmarkEnd w:id="14"/>
    <w:p>
      <w:pPr>
        <w:ind w:right="180"/>
        <w:spacing w:after="0" w:line="259" w:lineRule="auto"/>
        <w:rPr>
          <w:sz w:val="20"/>
          <w:szCs w:val="20"/>
          <w:color w:val="auto"/>
        </w:rPr>
      </w:pPr>
      <w:r>
        <w:rPr>
          <w:rFonts w:ascii="Arial" w:cs="Arial" w:eastAsia="Arial" w:hAnsi="Arial"/>
          <w:sz w:val="18"/>
          <w:szCs w:val="18"/>
          <w:color w:val="auto"/>
        </w:rPr>
        <w:t>installment of $2.4 million will be paid in the second quarter of 2020, the second installment of $2.4 million is payable on January 31, 2021, and the third installment of $2.5 million is to be paid, together with interest at a rate of 2% per annum, accruing from April 1, 2020, on January 31, 2022. As of March 31, 2020, the current portion of the note payable in the amount of $4.9 million is included in other current liabilities and the long-term portion of $2.4 million is included in other long-term liabilities on the condensed consolidated balance sheets.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Company's lease population of its right-of-use asset and lease liabilities under the Leases Topic of the FASB ASC is substantially related to the rental of office space. The Company enters into lease agreements as lessee for the rental of office space for both its corporate and branch locations that may include options to extend or terminate early. Many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included on the 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Condensed Consolidated Balance Sheets:</w:t>
            </w:r>
          </w:p>
        </w:tc>
        <w:tc>
          <w:tcPr>
            <w:tcW w:w="400" w:type="dxa"/>
            <w:vAlign w:val="bottom"/>
          </w:tcPr>
          <w:p>
            <w:pPr>
              <w:spacing w:after="0"/>
              <w:rPr>
                <w:sz w:val="20"/>
                <w:szCs w:val="20"/>
                <w:color w:val="auto"/>
              </w:rPr>
            </w:pPr>
          </w:p>
        </w:tc>
        <w:tc>
          <w:tcPr>
            <w:tcW w:w="2260" w:type="dxa"/>
            <w:vAlign w:val="bottom"/>
          </w:tcPr>
          <w:p>
            <w:pPr>
              <w:jc w:val="right"/>
              <w:ind w:right="690"/>
              <w:spacing w:after="0"/>
              <w:rPr>
                <w:sz w:val="20"/>
                <w:szCs w:val="20"/>
                <w:color w:val="auto"/>
              </w:rPr>
            </w:pPr>
            <w:r>
              <w:rPr>
                <w:rFonts w:ascii="Arial" w:cs="Arial" w:eastAsia="Arial" w:hAnsi="Arial"/>
                <w:sz w:val="18"/>
                <w:szCs w:val="18"/>
                <w:b w:val="1"/>
                <w:bCs w:val="1"/>
                <w:color w:val="auto"/>
              </w:rPr>
              <w:t>March 31, 2020</w:t>
            </w:r>
          </w:p>
        </w:tc>
        <w:tc>
          <w:tcPr>
            <w:tcW w:w="460" w:type="dxa"/>
            <w:vAlign w:val="bottom"/>
          </w:tcPr>
          <w:p>
            <w:pPr>
              <w:spacing w:after="0"/>
              <w:rPr>
                <w:sz w:val="20"/>
                <w:szCs w:val="20"/>
                <w:color w:val="auto"/>
              </w:rPr>
            </w:pPr>
          </w:p>
        </w:tc>
        <w:tc>
          <w:tcPr>
            <w:tcW w:w="224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5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3"/>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960" w:type="dxa"/>
            <w:vAlign w:val="bottom"/>
            <w:gridSpan w:val="3"/>
          </w:tcPr>
          <w:p>
            <w:pPr>
              <w:jc w:val="right"/>
              <w:ind w:right="1750"/>
              <w:spacing w:after="0"/>
              <w:rPr>
                <w:sz w:val="20"/>
                <w:szCs w:val="20"/>
                <w:color w:val="auto"/>
              </w:rPr>
            </w:pPr>
            <w:r>
              <w:rPr>
                <w:rFonts w:ascii="Arial" w:cs="Arial" w:eastAsia="Arial" w:hAnsi="Arial"/>
                <w:sz w:val="18"/>
                <w:szCs w:val="18"/>
                <w:color w:val="auto"/>
              </w:rPr>
              <w:t>(amounts in thousands)</w:t>
            </w:r>
          </w:p>
        </w:tc>
      </w:tr>
      <w:tr>
        <w:trPr>
          <w:trHeight w:val="27"/>
        </w:trPr>
        <w:tc>
          <w:tcPr>
            <w:tcW w:w="5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16,263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16,964</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4,965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4,878</w:t>
            </w:r>
          </w:p>
        </w:tc>
      </w:tr>
      <w:tr>
        <w:trPr>
          <w:trHeight w:val="27"/>
        </w:trPr>
        <w:tc>
          <w:tcPr>
            <w:tcW w:w="5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17,992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19,070</w:t>
            </w:r>
          </w:p>
        </w:tc>
      </w:tr>
      <w:tr>
        <w:trPr>
          <w:trHeight w:val="378"/>
        </w:trPr>
        <w:tc>
          <w:tcPr>
            <w:tcW w:w="5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4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 years</w:t>
            </w:r>
          </w:p>
        </w:tc>
        <w:tc>
          <w:tcPr>
            <w:tcW w:w="4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years</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00" w:type="dxa"/>
            <w:vAlign w:val="bottom"/>
          </w:tcPr>
          <w:p>
            <w:pPr>
              <w:spacing w:after="0"/>
              <w:rPr>
                <w:sz w:val="21"/>
                <w:szCs w:val="21"/>
                <w:color w:val="auto"/>
              </w:rPr>
            </w:pPr>
          </w:p>
        </w:tc>
        <w:tc>
          <w:tcPr>
            <w:tcW w:w="2260" w:type="dxa"/>
            <w:vAlign w:val="bottom"/>
          </w:tcPr>
          <w:p>
            <w:pPr>
              <w:jc w:val="right"/>
              <w:ind w:right="50"/>
              <w:spacing w:after="0"/>
              <w:rPr>
                <w:sz w:val="20"/>
                <w:szCs w:val="20"/>
                <w:color w:val="auto"/>
              </w:rPr>
            </w:pPr>
            <w:r>
              <w:rPr>
                <w:rFonts w:ascii="Arial" w:cs="Arial" w:eastAsia="Arial" w:hAnsi="Arial"/>
                <w:sz w:val="18"/>
                <w:szCs w:val="18"/>
                <w:color w:val="auto"/>
              </w:rPr>
              <w:t>6.23 %</w:t>
            </w:r>
          </w:p>
        </w:tc>
        <w:tc>
          <w:tcPr>
            <w:tcW w:w="4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6.26 %</w:t>
            </w:r>
          </w:p>
        </w:tc>
      </w:tr>
    </w:tbl>
    <w:p>
      <w:pPr>
        <w:spacing w:after="0" w:line="3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(which do not include short-term leases) recorded on the condensed consolidated balance sheets as of March 31, 2020:</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60" w:type="dxa"/>
            <w:vAlign w:val="bottom"/>
          </w:tcPr>
          <w:p>
            <w:pPr>
              <w:spacing w:after="0"/>
              <w:rPr>
                <w:sz w:val="20"/>
                <w:szCs w:val="20"/>
                <w:color w:val="auto"/>
              </w:rPr>
            </w:pPr>
          </w:p>
        </w:tc>
        <w:tc>
          <w:tcPr>
            <w:tcW w:w="2320" w:type="dxa"/>
            <w:vAlign w:val="bottom"/>
          </w:tcPr>
          <w:p>
            <w:pPr>
              <w:jc w:val="right"/>
              <w:ind w:right="370"/>
              <w:spacing w:after="0"/>
              <w:rPr>
                <w:sz w:val="20"/>
                <w:szCs w:val="20"/>
                <w:color w:val="auto"/>
              </w:rPr>
            </w:pPr>
            <w:r>
              <w:rPr>
                <w:rFonts w:ascii="Arial" w:cs="Arial" w:eastAsia="Arial" w:hAnsi="Arial"/>
                <w:sz w:val="18"/>
                <w:szCs w:val="18"/>
                <w:color w:val="auto"/>
                <w:w w:val="97"/>
              </w:rPr>
              <w:t>(amounts in thousands)</w:t>
            </w:r>
          </w:p>
        </w:tc>
      </w:tr>
      <w:tr>
        <w:trPr>
          <w:trHeight w:val="27"/>
        </w:trPr>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4,582</w:t>
            </w:r>
          </w:p>
        </w:tc>
      </w:tr>
      <w:tr>
        <w:trPr>
          <w:trHeight w:val="243"/>
        </w:trPr>
        <w:tc>
          <w:tcPr>
            <w:tcW w:w="8600" w:type="dxa"/>
            <w:vAlign w:val="bottom"/>
          </w:tcPr>
          <w:p>
            <w:pPr>
              <w:ind w:left="20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6,121</w:t>
            </w:r>
          </w:p>
        </w:tc>
      </w:tr>
      <w:tr>
        <w:trPr>
          <w:trHeight w:val="27"/>
        </w:trPr>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5,205</w:t>
            </w:r>
          </w:p>
        </w:tc>
      </w:tr>
      <w:tr>
        <w:trPr>
          <w:trHeight w:val="243"/>
        </w:trPr>
        <w:tc>
          <w:tcPr>
            <w:tcW w:w="8600" w:type="dxa"/>
            <w:vAlign w:val="bottom"/>
          </w:tcPr>
          <w:p>
            <w:pPr>
              <w:ind w:left="20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4,757</w:t>
            </w:r>
          </w:p>
        </w:tc>
      </w:tr>
      <w:tr>
        <w:trPr>
          <w:trHeight w:val="27"/>
        </w:trPr>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3,382</w:t>
            </w:r>
          </w:p>
        </w:tc>
      </w:tr>
      <w:tr>
        <w:trPr>
          <w:trHeight w:val="243"/>
        </w:trPr>
        <w:tc>
          <w:tcPr>
            <w:tcW w:w="860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2,487</w:t>
            </w:r>
          </w:p>
        </w:tc>
      </w:tr>
      <w:tr>
        <w:trPr>
          <w:trHeight w:val="27"/>
        </w:trPr>
        <w:tc>
          <w:tcPr>
            <w:tcW w:w="8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26,534</w:t>
            </w:r>
          </w:p>
        </w:tc>
      </w:tr>
      <w:tr>
        <w:trPr>
          <w:trHeight w:val="243"/>
        </w:trPr>
        <w:tc>
          <w:tcPr>
            <w:tcW w:w="8600" w:type="dxa"/>
            <w:vAlign w:val="bottom"/>
          </w:tcPr>
          <w:p>
            <w:pPr>
              <w:ind w:left="200"/>
              <w:spacing w:after="0"/>
              <w:rPr>
                <w:sz w:val="20"/>
                <w:szCs w:val="20"/>
                <w:color w:val="auto"/>
              </w:rPr>
            </w:pPr>
            <w:r>
              <w:rPr>
                <w:rFonts w:ascii="Arial" w:cs="Arial" w:eastAsia="Arial" w:hAnsi="Arial"/>
                <w:sz w:val="18"/>
                <w:szCs w:val="18"/>
                <w:color w:val="auto"/>
              </w:rPr>
              <w:t>Less: amount of lease payments representing interest</w:t>
            </w:r>
          </w:p>
        </w:tc>
        <w:tc>
          <w:tcPr>
            <w:tcW w:w="26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(3,577)</w:t>
            </w:r>
          </w:p>
        </w:tc>
      </w:tr>
      <w:tr>
        <w:trPr>
          <w:trHeight w:val="27"/>
        </w:trPr>
        <w:tc>
          <w:tcPr>
            <w:tcW w:w="8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future minimum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22,957</w:t>
            </w:r>
          </w:p>
        </w:tc>
      </w:tr>
      <w:tr>
        <w:trPr>
          <w:trHeight w:val="243"/>
        </w:trPr>
        <w:tc>
          <w:tcPr>
            <w:tcW w:w="8600" w:type="dxa"/>
            <w:vAlign w:val="bottom"/>
          </w:tcPr>
          <w:p>
            <w:pPr>
              <w:ind w:left="200"/>
              <w:spacing w:after="0"/>
              <w:rPr>
                <w:sz w:val="20"/>
                <w:szCs w:val="20"/>
                <w:color w:val="auto"/>
              </w:rPr>
            </w:pPr>
            <w:r>
              <w:rPr>
                <w:rFonts w:ascii="Arial" w:cs="Arial" w:eastAsia="Arial" w:hAnsi="Arial"/>
                <w:sz w:val="18"/>
                <w:szCs w:val="18"/>
                <w:color w:val="auto"/>
              </w:rPr>
              <w:t>Less: current lease obligations</w:t>
            </w:r>
          </w:p>
        </w:tc>
        <w:tc>
          <w:tcPr>
            <w:tcW w:w="26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(4,965)</w:t>
            </w:r>
          </w:p>
        </w:tc>
      </w:tr>
      <w:tr>
        <w:trPr>
          <w:trHeight w:val="27"/>
        </w:trPr>
        <w:tc>
          <w:tcPr>
            <w:tcW w:w="8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lease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17,992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13"/>
        </w:trPr>
        <w:tc>
          <w:tcPr>
            <w:tcW w:w="5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660" w:type="dxa"/>
            <w:vAlign w:val="bottom"/>
          </w:tcPr>
          <w:p>
            <w:pPr>
              <w:spacing w:after="0"/>
              <w:rPr>
                <w:sz w:val="24"/>
                <w:szCs w:val="24"/>
                <w:color w:val="auto"/>
              </w:rPr>
            </w:pPr>
          </w:p>
        </w:tc>
      </w:tr>
      <w:tr>
        <w:trPr>
          <w:trHeight w:val="270"/>
        </w:trPr>
        <w:tc>
          <w:tcPr>
            <w:tcW w:w="58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660" w:type="dxa"/>
            <w:vAlign w:val="bottom"/>
          </w:tcPr>
          <w:p>
            <w:pPr>
              <w:spacing w:after="0"/>
              <w:rPr>
                <w:sz w:val="23"/>
                <w:szCs w:val="23"/>
                <w:color w:val="auto"/>
              </w:rPr>
            </w:pPr>
          </w:p>
        </w:tc>
      </w:tr>
      <w:tr>
        <w:trPr>
          <w:trHeight w:val="27"/>
        </w:trPr>
        <w:tc>
          <w:tcPr>
            <w:tcW w:w="5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jc w:val="right"/>
              <w:ind w:right="1010"/>
              <w:spacing w:after="0"/>
              <w:rPr>
                <w:sz w:val="20"/>
                <w:szCs w:val="20"/>
                <w:color w:val="auto"/>
              </w:rPr>
            </w:pPr>
            <w:r>
              <w:rPr>
                <w:rFonts w:ascii="Arial" w:cs="Arial" w:eastAsia="Arial" w:hAnsi="Arial"/>
                <w:sz w:val="18"/>
                <w:szCs w:val="18"/>
                <w:b w:val="1"/>
                <w:bCs w:val="1"/>
                <w:color w:val="auto"/>
              </w:rPr>
              <w:t>2019</w:t>
            </w:r>
          </w:p>
        </w:tc>
      </w:tr>
      <w:tr>
        <w:trPr>
          <w:trHeight w:val="27"/>
        </w:trPr>
        <w:tc>
          <w:tcPr>
            <w:tcW w:w="5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66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29"/>
        </w:trPr>
        <w:tc>
          <w:tcPr>
            <w:tcW w:w="5840" w:type="dxa"/>
            <w:vAlign w:val="bottom"/>
          </w:tcPr>
          <w:p>
            <w:pPr>
              <w:ind w:left="120"/>
              <w:spacing w:after="0"/>
              <w:rPr>
                <w:sz w:val="20"/>
                <w:szCs w:val="20"/>
                <w:color w:val="auto"/>
              </w:rPr>
            </w:pPr>
            <w:r>
              <w:rPr>
                <w:rFonts w:ascii="Arial" w:cs="Arial" w:eastAsia="Arial" w:hAnsi="Arial"/>
                <w:sz w:val="18"/>
                <w:szCs w:val="18"/>
                <w:color w:val="auto"/>
              </w:rPr>
              <w:t>Cash paid for amounts included in the measurement of operating lease</w:t>
            </w:r>
          </w:p>
        </w:tc>
        <w:tc>
          <w:tcPr>
            <w:tcW w:w="1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liabilities</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1,835</w:t>
            </w: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1,845</w:t>
            </w:r>
          </w:p>
        </w:tc>
      </w:tr>
      <w:tr>
        <w:trPr>
          <w:trHeight w:val="27"/>
        </w:trPr>
        <w:tc>
          <w:tcPr>
            <w:tcW w:w="5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5"/>
              </w:rPr>
              <w:t>Right-of-use assets obtained in exchange for new operating lease liabilities</w:t>
            </w:r>
          </w:p>
        </w:tc>
        <w:tc>
          <w:tcPr>
            <w:tcW w:w="166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c>
          <w:tcPr>
            <w:tcW w:w="11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w:t>
            </w:r>
          </w:p>
        </w:tc>
      </w:tr>
      <w:tr>
        <w:trPr>
          <w:trHeight w:val="567"/>
        </w:trPr>
        <w:tc>
          <w:tcPr>
            <w:tcW w:w="584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13"/>
        </w:trPr>
        <w:tc>
          <w:tcPr>
            <w:tcW w:w="5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660" w:type="dxa"/>
            <w:vAlign w:val="bottom"/>
          </w:tcPr>
          <w:p>
            <w:pPr>
              <w:spacing w:after="0"/>
              <w:rPr>
                <w:sz w:val="24"/>
                <w:szCs w:val="24"/>
                <w:color w:val="auto"/>
              </w:rPr>
            </w:pPr>
          </w:p>
        </w:tc>
      </w:tr>
      <w:tr>
        <w:trPr>
          <w:trHeight w:val="270"/>
        </w:trPr>
        <w:tc>
          <w:tcPr>
            <w:tcW w:w="58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660" w:type="dxa"/>
            <w:vAlign w:val="bottom"/>
          </w:tcPr>
          <w:p>
            <w:pPr>
              <w:spacing w:after="0"/>
              <w:rPr>
                <w:sz w:val="23"/>
                <w:szCs w:val="23"/>
                <w:color w:val="auto"/>
              </w:rPr>
            </w:pPr>
          </w:p>
        </w:tc>
      </w:tr>
      <w:tr>
        <w:trPr>
          <w:trHeight w:val="27"/>
        </w:trPr>
        <w:tc>
          <w:tcPr>
            <w:tcW w:w="5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jc w:val="right"/>
              <w:ind w:right="1010"/>
              <w:spacing w:after="0"/>
              <w:rPr>
                <w:sz w:val="20"/>
                <w:szCs w:val="20"/>
                <w:color w:val="auto"/>
              </w:rPr>
            </w:pPr>
            <w:r>
              <w:rPr>
                <w:rFonts w:ascii="Arial" w:cs="Arial" w:eastAsia="Arial" w:hAnsi="Arial"/>
                <w:sz w:val="18"/>
                <w:szCs w:val="18"/>
                <w:b w:val="1"/>
                <w:bCs w:val="1"/>
                <w:color w:val="auto"/>
              </w:rPr>
              <w:t>2019</w:t>
            </w:r>
          </w:p>
        </w:tc>
      </w:tr>
      <w:tr>
        <w:trPr>
          <w:trHeight w:val="27"/>
        </w:trPr>
        <w:tc>
          <w:tcPr>
            <w:tcW w:w="5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66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Amounts Included in Condensed Consolidated Statements of Operations:</w:t>
            </w:r>
          </w:p>
        </w:tc>
        <w:tc>
          <w:tcPr>
            <w:tcW w:w="1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Operating lease expense</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1,523</w:t>
            </w: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1,694</w:t>
            </w:r>
          </w:p>
        </w:tc>
      </w:tr>
      <w:tr>
        <w:trPr>
          <w:trHeight w:val="27"/>
        </w:trPr>
        <w:tc>
          <w:tcPr>
            <w:tcW w:w="5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lease expense</w:t>
            </w:r>
          </w:p>
        </w:tc>
        <w:tc>
          <w:tcPr>
            <w:tcW w:w="166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1,845</w:t>
            </w:r>
          </w:p>
        </w:tc>
        <w:tc>
          <w:tcPr>
            <w:tcW w:w="11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2,159</w:t>
            </w: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Variable and other lease costs</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574</w:t>
            </w: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718</w:t>
            </w:r>
          </w:p>
        </w:tc>
      </w:tr>
    </w:tbl>
    <w:p>
      <w:pPr>
        <w:spacing w:after="0" w:line="36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Operating lease expense, short-term lease expense, and variable and other lease costs are included in selling, general and administrative expenses, direct operating expenses, and restructuring costs in the condensed consolidated statements of operations, depending on the nature of the leased asset.</w:t>
      </w:r>
    </w:p>
    <w:p>
      <w:pPr>
        <w:spacing w:after="0" w:line="1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2020, the Company does not have any material operating leases which have not yet commenced. The Company has an immaterial amount of finance lease contracts related to other equipment rentals which are not included in the above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financial assets/liabilities required to be measured on a recurring basis were its: (1) deferred compensation asset included in other non-current assets; (2) deferred compensation liability included in other long-term liabilities; and (3) contingent consideration liabilities included as other current liabilities and contingent consideration on its condensed consolidated balance sheets.</w:t>
      </w:r>
    </w:p>
    <w:p>
      <w:pPr>
        <w:spacing w:after="0" w:line="2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9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Contingent consideration liabilities</w:t>
      </w:r>
      <w:r>
        <w:rPr>
          <w:rFonts w:ascii="Arial" w:cs="Arial" w:eastAsia="Arial" w:hAnsi="Arial"/>
          <w:sz w:val="17"/>
          <w:szCs w:val="17"/>
          <w:color w:val="auto"/>
        </w:rPr>
        <w:t>—Potential earnout payments related to the acquisition of Mediscan were contingent upon meeting certain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through 2019. The long-term portion of these liabilities has been included in contingent consideration,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As of December 31, 2019, due to the end of the earnout period, the Company measured the fair value of the liability based on the expected payout related to its Mediscan acquisition. In the first quarter of 2020, the total earnout amounts related to 2019 of $7.4 million was determined, and $0.1 million was paid by the Company. The remaining $7.3 million was documented as a subordinated promissory note payable and is included in other current and other long-term liabilities on the condensed consolidated balance sheets which is not measured at fair value on a recurring basis. See Note 7 - Debt.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w:t>
      </w:r>
    </w:p>
    <w:p>
      <w:pPr>
        <w:spacing w:after="0" w:line="63" w:lineRule="exact"/>
        <w:rPr>
          <w:sz w:val="20"/>
          <w:szCs w:val="20"/>
          <w:color w:val="auto"/>
        </w:rPr>
      </w:pPr>
    </w:p>
    <w:p>
      <w:pPr>
        <w:ind w:left="7140"/>
        <w:spacing w:after="0"/>
        <w:tabs>
          <w:tab w:leader="none" w:pos="9380" w:val="left"/>
        </w:tabs>
        <w:rPr>
          <w:sz w:val="20"/>
          <w:szCs w:val="20"/>
          <w:color w:val="auto"/>
        </w:rPr>
      </w:pPr>
      <w:r>
        <w:rPr>
          <w:rFonts w:ascii="Arial" w:cs="Arial" w:eastAsia="Arial" w:hAnsi="Arial"/>
          <w:sz w:val="18"/>
          <w:szCs w:val="18"/>
          <w:b w:val="1"/>
          <w:bCs w:val="1"/>
          <w:color w:val="auto"/>
        </w:rPr>
        <w:t>March 31, 2020</w:t>
      </w:r>
      <w:r>
        <w:rPr>
          <w:sz w:val="20"/>
          <w:szCs w:val="20"/>
          <w:color w:val="auto"/>
        </w:rPr>
        <w:tab/>
      </w: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057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65"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71062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Assets: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710628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52" w:lineRule="exact"/>
        <w:rPr>
          <w:sz w:val="20"/>
          <w:szCs w:val="20"/>
          <w:color w:val="auto"/>
        </w:rPr>
      </w:pPr>
    </w:p>
    <w:p>
      <w:pPr>
        <w:ind w:left="240"/>
        <w:spacing w:after="0"/>
        <w:tabs>
          <w:tab w:leader="none" w:pos="6640" w:val="left"/>
          <w:tab w:leader="none" w:pos="8380" w:val="left"/>
          <w:tab w:leader="none" w:pos="9040" w:val="left"/>
          <w:tab w:leader="none" w:pos="10780" w:val="left"/>
        </w:tabs>
        <w:rPr>
          <w:sz w:val="20"/>
          <w:szCs w:val="20"/>
          <w:color w:val="auto"/>
        </w:rPr>
      </w:pPr>
      <w:r>
        <w:rPr>
          <w:rFonts w:ascii="Arial" w:cs="Arial" w:eastAsia="Arial" w:hAnsi="Arial"/>
          <w:sz w:val="18"/>
          <w:szCs w:val="18"/>
          <w:color w:val="auto"/>
        </w:rPr>
        <w:t>Deferred compensation asset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830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1062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-127635</wp:posOffset>
            </wp:positionV>
            <wp:extent cx="2905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72" w:lineRule="exact"/>
        <w:rPr>
          <w:sz w:val="20"/>
          <w:szCs w:val="20"/>
          <w:color w:val="auto"/>
        </w:rPr>
      </w:pPr>
    </w:p>
    <w:p>
      <w:pPr>
        <w:ind w:left="240"/>
        <w:spacing w:after="0"/>
        <w:tabs>
          <w:tab w:leader="none" w:pos="6640" w:val="left"/>
          <w:tab w:leader="none" w:pos="8260" w:val="left"/>
          <w:tab w:leader="none" w:pos="9040" w:val="left"/>
          <w:tab w:leader="none" w:pos="10640" w:val="left"/>
        </w:tabs>
        <w:rPr>
          <w:sz w:val="20"/>
          <w:szCs w:val="20"/>
          <w:color w:val="auto"/>
        </w:rPr>
      </w:pPr>
      <w:r>
        <w:rPr>
          <w:rFonts w:ascii="Arial" w:cs="Arial" w:eastAsia="Arial" w:hAnsi="Arial"/>
          <w:sz w:val="18"/>
          <w:szCs w:val="18"/>
          <w:color w:val="auto"/>
        </w:rPr>
        <w:t>Deferred compensation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1,768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3)</w:t>
      </w:r>
    </w:p>
    <w:p>
      <w:pPr>
        <w:spacing w:after="0" w:line="72" w:lineRule="exact"/>
        <w:rPr>
          <w:sz w:val="20"/>
          <w:szCs w:val="20"/>
          <w:color w:val="auto"/>
        </w:rPr>
      </w:pPr>
    </w:p>
    <w:p>
      <w:pPr>
        <w:ind w:left="240"/>
        <w:spacing w:after="0"/>
        <w:tabs>
          <w:tab w:leader="none" w:pos="6640" w:val="left"/>
          <w:tab w:leader="none" w:pos="8480" w:val="left"/>
          <w:tab w:leader="none" w:pos="9040" w:val="left"/>
          <w:tab w:leader="none" w:pos="10640" w:val="left"/>
        </w:tabs>
        <w:rPr>
          <w:sz w:val="20"/>
          <w:szCs w:val="20"/>
          <w:color w:val="auto"/>
        </w:rPr>
      </w:pPr>
      <w:r>
        <w:rPr>
          <w:rFonts w:ascii="Arial" w:cs="Arial" w:eastAsia="Arial" w:hAnsi="Arial"/>
          <w:sz w:val="18"/>
          <w:szCs w:val="18"/>
          <w:color w:val="auto"/>
        </w:rPr>
        <w:t>Contingent consideration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0576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opening balances of contingent consideration liabilities are reconciled to the closing balances for fair value measurements of these liabilities categorized within Level 3 of the fair value hierarchy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680" w:type="dxa"/>
            <w:vAlign w:val="bottom"/>
          </w:tcPr>
          <w:p>
            <w:pPr>
              <w:spacing w:after="0"/>
              <w:rPr>
                <w:sz w:val="20"/>
                <w:szCs w:val="20"/>
                <w:color w:val="auto"/>
              </w:rPr>
            </w:pPr>
          </w:p>
        </w:tc>
      </w:tr>
      <w:tr>
        <w:trPr>
          <w:trHeight w:val="270"/>
        </w:trPr>
        <w:tc>
          <w:tcPr>
            <w:tcW w:w="58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680" w:type="dxa"/>
            <w:vAlign w:val="bottom"/>
          </w:tcPr>
          <w:p>
            <w:pPr>
              <w:spacing w:after="0"/>
              <w:rPr>
                <w:sz w:val="23"/>
                <w:szCs w:val="23"/>
                <w:color w:val="auto"/>
              </w:rPr>
            </w:pPr>
          </w:p>
        </w:tc>
      </w:tr>
      <w:tr>
        <w:trPr>
          <w:trHeight w:val="27"/>
        </w:trPr>
        <w:tc>
          <w:tcPr>
            <w:tcW w:w="58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6"/>
        </w:trPr>
        <w:tc>
          <w:tcPr>
            <w:tcW w:w="584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jc w:val="right"/>
              <w:ind w:right="1010"/>
              <w:spacing w:after="0"/>
              <w:rPr>
                <w:sz w:val="20"/>
                <w:szCs w:val="20"/>
                <w:color w:val="auto"/>
              </w:rPr>
            </w:pPr>
            <w:r>
              <w:rPr>
                <w:rFonts w:ascii="Arial" w:cs="Arial" w:eastAsia="Arial" w:hAnsi="Arial"/>
                <w:sz w:val="18"/>
                <w:szCs w:val="18"/>
                <w:b w:val="1"/>
                <w:bCs w:val="1"/>
                <w:color w:val="auto"/>
              </w:rPr>
              <w:t>2019</w:t>
            </w:r>
          </w:p>
        </w:tc>
      </w:tr>
      <w:tr>
        <w:trPr>
          <w:trHeight w:val="27"/>
        </w:trPr>
        <w:tc>
          <w:tcPr>
            <w:tcW w:w="58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5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6"/>
                <w:szCs w:val="16"/>
                <w:color w:val="auto"/>
                <w:w w:val="90"/>
              </w:rPr>
              <w:t>(amounts in thousands)</w:t>
            </w:r>
          </w:p>
        </w:tc>
        <w:tc>
          <w:tcPr>
            <w:tcW w:w="168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680" w:type="dxa"/>
            <w:vAlign w:val="bottom"/>
            <w:tcBorders>
              <w:bottom w:val="single" w:sz="8" w:color="CCEEFF"/>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7,300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7,689</w:t>
            </w: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Payments</w:t>
            </w:r>
          </w:p>
        </w:tc>
        <w:tc>
          <w:tcPr>
            <w:tcW w:w="16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5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Accretion expense</w:t>
            </w:r>
          </w:p>
        </w:tc>
        <w:tc>
          <w:tcPr>
            <w:tcW w:w="1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w:t>
            </w: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Valuation adjustment</w:t>
            </w:r>
          </w:p>
        </w:tc>
        <w:tc>
          <w:tcPr>
            <w:tcW w:w="16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Reclassification to other current and long-term liabilities</w:t>
            </w:r>
          </w:p>
        </w:tc>
        <w:tc>
          <w:tcPr>
            <w:tcW w:w="16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(7,277)</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4"/>
        </w:trPr>
        <w:tc>
          <w:tcPr>
            <w:tcW w:w="58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68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7,836</w:t>
            </w:r>
          </w:p>
        </w:tc>
      </w:tr>
      <w:tr>
        <w:trPr>
          <w:trHeight w:val="20"/>
        </w:trPr>
        <w:tc>
          <w:tcPr>
            <w:tcW w:w="58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5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 See Note 6 - Goodwill, Trade Names, and Other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The Company’s note payable is included in other current and long-term liabilities on the condensed consolidated balance sheets. Due to its relatively short-term nature, the carrying value of the note payable approximates its fair value. The carrying amount of the Company's Senior Secured Asset-Based Loan approximates fair value because the interest rates are variable and reflective of market rates.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 2020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 2019</w:t>
            </w:r>
          </w:p>
        </w:tc>
        <w:tc>
          <w:tcPr>
            <w:tcW w:w="108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Carrying</w:t>
            </w:r>
          </w:p>
        </w:tc>
        <w:tc>
          <w:tcPr>
            <w:tcW w:w="560" w:type="dxa"/>
            <w:vAlign w:val="bottom"/>
          </w:tcPr>
          <w:p>
            <w:pPr>
              <w:spacing w:after="0"/>
              <w:rPr>
                <w:sz w:val="18"/>
                <w:szCs w:val="18"/>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6"/>
              </w:rPr>
              <w:t>Fair</w:t>
            </w:r>
          </w:p>
        </w:tc>
        <w:tc>
          <w:tcPr>
            <w:tcW w:w="30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Carrying</w:t>
            </w:r>
          </w:p>
        </w:tc>
        <w:tc>
          <w:tcPr>
            <w:tcW w:w="620" w:type="dxa"/>
            <w:vAlign w:val="bottom"/>
          </w:tcPr>
          <w:p>
            <w:pPr>
              <w:spacing w:after="0"/>
              <w:rPr>
                <w:sz w:val="18"/>
                <w:szCs w:val="18"/>
                <w:color w:val="auto"/>
              </w:rPr>
            </w:pPr>
          </w:p>
        </w:tc>
        <w:tc>
          <w:tcPr>
            <w:tcW w:w="1080" w:type="dxa"/>
            <w:vAlign w:val="bottom"/>
          </w:tcPr>
          <w:p>
            <w:pPr>
              <w:jc w:val="right"/>
              <w:ind w:right="590"/>
              <w:spacing w:after="0"/>
              <w:rPr>
                <w:sz w:val="20"/>
                <w:szCs w:val="20"/>
                <w:color w:val="auto"/>
              </w:rPr>
            </w:pPr>
            <w:r>
              <w:rPr>
                <w:rFonts w:ascii="Arial" w:cs="Arial" w:eastAsia="Arial" w:hAnsi="Arial"/>
                <w:sz w:val="18"/>
                <w:szCs w:val="18"/>
                <w:b w:val="1"/>
                <w:bCs w:val="1"/>
                <w:color w:val="auto"/>
              </w:rPr>
              <w:t>Fair</w:t>
            </w:r>
          </w:p>
        </w:tc>
      </w:tr>
      <w:tr>
        <w:trPr>
          <w:trHeight w:val="234"/>
        </w:trPr>
        <w:tc>
          <w:tcPr>
            <w:tcW w:w="3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560" w:type="dxa"/>
            <w:vAlign w:val="bottom"/>
          </w:tcPr>
          <w:p>
            <w:pPr>
              <w:spacing w:after="0"/>
              <w:rPr>
                <w:sz w:val="20"/>
                <w:szCs w:val="20"/>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62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3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5"/>
            <w:shd w:val="clear" w:color="auto" w:fill="CCEEFF"/>
          </w:tcPr>
          <w:p>
            <w:pPr>
              <w:ind w:left="480"/>
              <w:spacing w:after="0"/>
              <w:rPr>
                <w:sz w:val="20"/>
                <w:szCs w:val="20"/>
                <w:color w:val="auto"/>
              </w:rPr>
            </w:pPr>
            <w:r>
              <w:rPr>
                <w:rFonts w:ascii="Arial" w:cs="Arial" w:eastAsia="Arial" w:hAnsi="Arial"/>
                <w:sz w:val="16"/>
                <w:szCs w:val="16"/>
                <w:color w:val="auto"/>
              </w:rPr>
              <w:t>(amounts in thousands)</w:t>
            </w: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7,277</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7,277</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3820" w:type="dxa"/>
            <w:vAlign w:val="bottom"/>
          </w:tcPr>
          <w:p>
            <w:pPr>
              <w:ind w:left="220"/>
              <w:spacing w:after="0"/>
              <w:rPr>
                <w:sz w:val="20"/>
                <w:szCs w:val="20"/>
                <w:color w:val="auto"/>
              </w:rPr>
            </w:pPr>
            <w:r>
              <w:rPr>
                <w:rFonts w:ascii="Arial" w:cs="Arial" w:eastAsia="Arial" w:hAnsi="Arial"/>
                <w:sz w:val="18"/>
                <w:szCs w:val="18"/>
                <w:color w:val="auto"/>
              </w:rPr>
              <w:t>Senior Secured Asset-Based Loan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67,648</w:t>
            </w:r>
          </w:p>
        </w:tc>
        <w:tc>
          <w:tcPr>
            <w:tcW w:w="22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67,648</w:t>
            </w:r>
          </w:p>
        </w:tc>
        <w:tc>
          <w:tcPr>
            <w:tcW w:w="2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70,974</w:t>
            </w:r>
          </w:p>
        </w:tc>
        <w:tc>
          <w:tcPr>
            <w:tcW w:w="200" w:type="dxa"/>
            <w:vAlign w:val="bottom"/>
          </w:tcPr>
          <w:p>
            <w:pPr>
              <w:spacing w:after="0"/>
              <w:rPr>
                <w:sz w:val="21"/>
                <w:szCs w:val="21"/>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70,974</w:t>
            </w:r>
          </w:p>
        </w:tc>
      </w:tr>
      <w:tr>
        <w:trPr>
          <w:trHeight w:val="20"/>
        </w:trPr>
        <w:tc>
          <w:tcPr>
            <w:tcW w:w="3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historical collection experience. See Note 2 - Summary of Significant Accounting Policies. The Company writes off specific accounts based on an ongoing review of collectability as well as past experience with the customer. The Company’s contract terms typically require payment between 15 to 60 days from the date of invoice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60" w:lineRule="exact"/>
        <w:rPr>
          <w:sz w:val="20"/>
          <w:szCs w:val="20"/>
          <w:color w:val="auto"/>
        </w:rPr>
      </w:pPr>
    </w:p>
    <w:p>
      <w:pPr>
        <w:ind w:right="8640" w:firstLine="8"/>
        <w:spacing w:after="0" w:line="503"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jc w:val="both"/>
        <w:ind w:right="300"/>
        <w:spacing w:after="0" w:line="263" w:lineRule="auto"/>
        <w:rPr>
          <w:sz w:val="20"/>
          <w:szCs w:val="20"/>
          <w:color w:val="auto"/>
        </w:rPr>
      </w:pPr>
      <w:r>
        <w:rPr>
          <w:rFonts w:ascii="Arial" w:cs="Arial" w:eastAsia="Arial" w:hAnsi="Arial"/>
          <w:sz w:val="18"/>
          <w:szCs w:val="18"/>
          <w:color w:val="auto"/>
        </w:rPr>
        <w:t>During the three months ended March 31, 2020 and 2019, the Company did not repurchase any shares of its Common Stock. As of March 31, 2020, the Company had 510,004 shares of Common Stock under the current share repurchase program available to repurchase, subject to certain conditions in the Company's Amended and Restated Credit Agreement.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restricted stock awards and performance stock awards activity issued under the 2017 Plan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220" w:type="dxa"/>
            <w:vAlign w:val="bottom"/>
            <w:gridSpan w:val="5"/>
          </w:tcPr>
          <w:p>
            <w:pPr>
              <w:ind w:left="600"/>
              <w:spacing w:after="0"/>
              <w:rPr>
                <w:sz w:val="20"/>
                <w:szCs w:val="20"/>
                <w:color w:val="auto"/>
              </w:rPr>
            </w:pPr>
            <w:r>
              <w:rPr>
                <w:rFonts w:ascii="Arial" w:cs="Arial" w:eastAsia="Arial" w:hAnsi="Arial"/>
                <w:sz w:val="18"/>
                <w:szCs w:val="18"/>
                <w:b w:val="1"/>
                <w:bCs w:val="1"/>
                <w:color w:val="auto"/>
              </w:rPr>
              <w:t>Restricted Stock Awards</w:t>
            </w:r>
          </w:p>
        </w:tc>
        <w:tc>
          <w:tcPr>
            <w:tcW w:w="31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48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8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3"/>
              </w:rPr>
              <w:t>Number of Target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8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awards, January 1, 2020</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996,794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364,557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9.66</w:t>
            </w: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703,611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286,415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6.74</w:t>
            </w:r>
          </w:p>
        </w:tc>
      </w:tr>
      <w:tr>
        <w:trPr>
          <w:trHeight w:val="27"/>
        </w:trPr>
        <w:tc>
          <w:tcPr>
            <w:tcW w:w="4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(315,809)</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(7,685)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(63,235)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14.36</w:t>
            </w:r>
          </w:p>
        </w:tc>
      </w:tr>
      <w:tr>
        <w:trPr>
          <w:trHeight w:val="27"/>
        </w:trPr>
        <w:tc>
          <w:tcPr>
            <w:tcW w:w="4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awards, March 31, 2020</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1,376,911</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587,737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Restricted stock awards granted under the Company’s 2017 Plan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2017 Plan, the number of target shares that are issued for performance-based stock awards are determined based on the level of attainment of the targets. In the first quarter of 2020, it was determined that the performance stock awards that were granted in 2017 were not earned and, accordingly, those shares were forfeited.</w:t>
      </w:r>
    </w:p>
    <w:p>
      <w:pPr>
        <w:spacing w:after="0" w:line="20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three months ended March 31, 2020, $0.9 million was included in selling, general and administrative expenses related to share-based payments, and a net of 221,492 shares of Common Stock were issued upon the vesting of restricted stock.</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March 31, 2019, $0.5 million was included in selling, general and administrative expenses related to share-based payments, and a net of 176,436 shares of Common Stock were issued upon the vesting of restricted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DATA</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the Company reports three business segments – Nurse and Allied Staffing, Physician Staffing, and Search. The Company manages and segments its business based on the services it offers to its customers as described below:</w:t>
      </w:r>
    </w:p>
    <w:p>
      <w:pPr>
        <w:spacing w:after="0" w:line="151" w:lineRule="exact"/>
        <w:rPr>
          <w:sz w:val="20"/>
          <w:szCs w:val="20"/>
          <w:color w:val="auto"/>
        </w:rPr>
      </w:pPr>
    </w:p>
    <w:p>
      <w:pPr>
        <w:jc w:val="both"/>
        <w:ind w:left="660" w:right="100" w:hanging="328"/>
        <w:spacing w:after="0" w:line="257" w:lineRule="auto"/>
        <w:tabs>
          <w:tab w:leader="none" w:pos="49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total talent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United States.</w:t>
      </w:r>
    </w:p>
    <w:p>
      <w:pPr>
        <w:spacing w:after="0" w:line="214" w:lineRule="exact"/>
        <w:rPr>
          <w:rFonts w:ascii="Arial" w:cs="Arial" w:eastAsia="Arial" w:hAnsi="Arial"/>
          <w:sz w:val="18"/>
          <w:szCs w:val="18"/>
          <w:color w:val="auto"/>
        </w:rPr>
      </w:pPr>
    </w:p>
    <w:p>
      <w:pPr>
        <w:ind w:left="660" w:right="40" w:hanging="328"/>
        <w:spacing w:after="0" w:line="311" w:lineRule="auto"/>
        <w:tabs>
          <w:tab w:leader="none" w:pos="49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75" w:lineRule="exact"/>
        <w:rPr>
          <w:rFonts w:ascii="Arial" w:cs="Arial" w:eastAsia="Arial" w:hAnsi="Arial"/>
          <w:sz w:val="16"/>
          <w:szCs w:val="16"/>
          <w:color w:val="auto"/>
        </w:rPr>
      </w:pPr>
    </w:p>
    <w:p>
      <w:pPr>
        <w:ind w:left="660" w:right="60" w:hanging="328"/>
        <w:spacing w:after="0" w:line="277" w:lineRule="auto"/>
        <w:tabs>
          <w:tab w:leader="none" w:pos="49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Search includes retained and contingent search services for physicians, healthcare executives, and other healthcare professionals,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recruitment process outsourcing.</w:t>
      </w:r>
    </w:p>
    <w:p>
      <w:pPr>
        <w:spacing w:after="0" w:line="19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 xml:space="preserve">The Company evaluates performance of each segment primarily based on revenue and contribution income. The Company defines contribution income as income or loss from operations before depreciation and amortization, acquisition and integration-related costs, restructuring costs, legal settlement charges, impairment charges, and corporate overhead. Contribution income is a financial measure used by the Company when assessing segment performance and is provided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The Company does not evaluate, manage, or measure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9" w:name="page20"/>
    <w:bookmarkEnd w:id="19"/>
    <w:p>
      <w:pPr>
        <w:ind w:right="20"/>
        <w:spacing w:after="0" w:line="263" w:lineRule="auto"/>
        <w:rPr>
          <w:sz w:val="20"/>
          <w:szCs w:val="20"/>
          <w:color w:val="auto"/>
        </w:rPr>
      </w:pPr>
      <w:r>
        <w:rPr>
          <w:rFonts w:ascii="Arial" w:cs="Arial" w:eastAsia="Arial" w:hAnsi="Arial"/>
          <w:sz w:val="18"/>
          <w:szCs w:val="18"/>
          <w:color w:val="auto"/>
        </w:rPr>
        <w:t>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from operations for the periods indicated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7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711"/>
              <w:spacing w:after="0"/>
              <w:rPr>
                <w:sz w:val="20"/>
                <w:szCs w:val="20"/>
                <w:color w:val="auto"/>
              </w:rPr>
            </w:pPr>
            <w:r>
              <w:rPr>
                <w:rFonts w:ascii="Arial" w:cs="Arial" w:eastAsia="Arial" w:hAnsi="Arial"/>
                <w:sz w:val="18"/>
                <w:szCs w:val="18"/>
                <w:b w:val="1"/>
                <w:bCs w:val="1"/>
                <w:color w:val="auto"/>
                <w:w w:val="93"/>
              </w:rPr>
              <w:t>March 31,</w:t>
            </w:r>
          </w:p>
        </w:tc>
        <w:tc>
          <w:tcPr>
            <w:tcW w:w="1160" w:type="dxa"/>
            <w:vAlign w:val="bottom"/>
          </w:tcPr>
          <w:p>
            <w:pPr>
              <w:spacing w:after="0"/>
              <w:rPr>
                <w:sz w:val="23"/>
                <w:szCs w:val="23"/>
                <w:color w:val="auto"/>
              </w:rPr>
            </w:pP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217"/>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4"/>
          </w:tcPr>
          <w:p>
            <w:pPr>
              <w:jc w:val="center"/>
              <w:ind w:right="290"/>
              <w:spacing w:after="0"/>
              <w:rPr>
                <w:sz w:val="20"/>
                <w:szCs w:val="20"/>
                <w:color w:val="auto"/>
              </w:rPr>
            </w:pPr>
            <w:r>
              <w:rPr>
                <w:rFonts w:ascii="Arial" w:cs="Arial" w:eastAsia="Arial" w:hAnsi="Arial"/>
                <w:sz w:val="16"/>
                <w:szCs w:val="16"/>
                <w:color w:val="auto"/>
                <w:w w:val="90"/>
              </w:rPr>
              <w:t>(amounts in thousands)</w:t>
            </w:r>
          </w:p>
        </w:tc>
      </w:tr>
      <w:tr>
        <w:trPr>
          <w:trHeight w:val="3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2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188,233</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175,637</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18,181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16,159</w:t>
            </w:r>
          </w:p>
        </w:tc>
      </w:tr>
      <w:tr>
        <w:trPr>
          <w:trHeight w:val="243"/>
        </w:trPr>
        <w:tc>
          <w:tcPr>
            <w:tcW w:w="7860" w:type="dxa"/>
            <w:vAlign w:val="bottom"/>
          </w:tcPr>
          <w:p>
            <w:pPr>
              <w:ind w:left="120"/>
              <w:spacing w:after="0"/>
              <w:rPr>
                <w:sz w:val="20"/>
                <w:szCs w:val="20"/>
                <w:color w:val="auto"/>
              </w:rPr>
            </w:pPr>
            <w:r>
              <w:rPr>
                <w:rFonts w:ascii="Arial" w:cs="Arial" w:eastAsia="Arial" w:hAnsi="Arial"/>
                <w:sz w:val="18"/>
                <w:szCs w:val="18"/>
                <w:color w:val="auto"/>
              </w:rPr>
              <w:t>Search</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3,375</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210,064</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195,171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2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14,157</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14,296</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w:t>
            </w:r>
          </w:p>
        </w:tc>
      </w:tr>
      <w:tr>
        <w:trPr>
          <w:trHeight w:val="243"/>
        </w:trPr>
        <w:tc>
          <w:tcPr>
            <w:tcW w:w="7860" w:type="dxa"/>
            <w:vAlign w:val="bottom"/>
          </w:tcPr>
          <w:p>
            <w:pPr>
              <w:ind w:left="120"/>
              <w:spacing w:after="0"/>
              <w:rPr>
                <w:sz w:val="20"/>
                <w:szCs w:val="20"/>
                <w:color w:val="auto"/>
              </w:rPr>
            </w:pPr>
            <w:r>
              <w:rPr>
                <w:rFonts w:ascii="Arial" w:cs="Arial" w:eastAsia="Arial" w:hAnsi="Arial"/>
                <w:sz w:val="18"/>
                <w:szCs w:val="18"/>
                <w:color w:val="auto"/>
              </w:rPr>
              <w:t>Search</w:t>
            </w:r>
          </w:p>
        </w:tc>
        <w:tc>
          <w:tcPr>
            <w:tcW w:w="3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14,278</w:t>
            </w:r>
          </w:p>
        </w:tc>
      </w:tr>
      <w:tr>
        <w:trPr>
          <w:trHeight w:val="256"/>
        </w:trPr>
        <w:tc>
          <w:tcPr>
            <w:tcW w:w="7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overhead (a)</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12,330</w:t>
            </w:r>
          </w:p>
        </w:tc>
      </w:tr>
      <w:tr>
        <w:trPr>
          <w:trHeight w:val="243"/>
        </w:trPr>
        <w:tc>
          <w:tcPr>
            <w:tcW w:w="78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2,984</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512</w:t>
            </w:r>
          </w:p>
        </w:tc>
      </w:tr>
      <w:tr>
        <w:trPr>
          <w:trHeight w:val="243"/>
        </w:trPr>
        <w:tc>
          <w:tcPr>
            <w:tcW w:w="786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1,140</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right="80" w:firstLine="8"/>
        <w:spacing w:after="0" w:line="277"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second quarter of 2019, the Company merged its permanent search recruitment brands. As a result, for the three months ended March 31, 2019, $0.4 million of revenue and $0.1 million of contribution income were reclassified from Nurse and Allied Staffing to Search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The Company believes the outcome of any outstanding loss contingencies as of March 31, 2020 will not have a material adverse effect on its business, financial condition, results of operations or cash flows. In October 2019, the Company received a grand jury subpoena directed to Advantage On Call whose assets were purchased by Cross Country Healthcare, Inc. in 2017. The subpoena appears to relate to an investigation of home healthcare services and healthcare staffing services. The Company is cooperating with the investigation.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the liability is reflected in sales tax payable within other current liabilities as of March 31, 2020 and December 31, 2019, in its condensed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For the three months ended March 31, 2020, the Company calculated its effective tax rate based on year-to-date results as opposed to the three months ended March 31, 2019, whereby the Company calculated its effective tax rate estimating its annual effective tax rate. The Company’s effective tax rate for the three months ended March 31, 2020 was negative 11.2% which included immaterial discrete items. The Company's effective tax rate for the three months ended March 31, 2019 was 68.6% including the impact of discrete items and 73.8% excluding discrete items. As a result of the Company's valuation allowance on substantially all of its domestic deferred tax assets, income tax expense for the three months ended March 31, 2020 was primarily impacted by international and state taxes. The Company did not maintain a material valuation allowance during the three months ended March 31, 2019 and, as a result, income tax expense for the three months ended March 31, 2019 was primarily impacted by the non-deductibility of certain per diem expenses, the officers' compensation limitation, and international and state taxes.</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Coronavirus Aid, Relief and Economic Security Act, also known as the CARES Act, was signed into law on March 27, 2020. Among other things, the CARES Act provided for an immediate refund of Alternative Minimum Tax credits as compared to the 2017 Tax Act’s scheduled refunds through 2021. Accordingly, an additional $0.3 million is presented as a current income tax receivable within other current assets in the condensed consolidated balance sheets as of March 31, 2020.</w:t>
      </w:r>
    </w:p>
    <w:p>
      <w:pPr>
        <w:spacing w:after="0" w:line="2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March 31, 2020 and December 31, 2019, the Company had a valuation allowance of $37.3 million. The valuation allowance was recorded against all domestic deferred tax assets not more likely than not to be realized. The Company intends to maintain a valuation allowance until sufficient positive evidence exists to support its reversal.</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2020, the Company had approximately $0.7 million of unrecognized tax benefits included in other current liabilities and other long-term liabilities, $6.3 million, net of deferred taxes, which would affect the effective tax rate if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1" w:name="page22"/>
    <w:bookmarkEnd w:id="21"/>
    <w:p>
      <w:pPr>
        <w:ind w:right="120"/>
        <w:spacing w:after="0" w:line="277" w:lineRule="auto"/>
        <w:rPr>
          <w:sz w:val="20"/>
          <w:szCs w:val="20"/>
          <w:color w:val="auto"/>
        </w:rPr>
      </w:pPr>
      <w:r>
        <w:rPr>
          <w:rFonts w:ascii="Arial" w:cs="Arial" w:eastAsia="Arial" w:hAnsi="Arial"/>
          <w:sz w:val="18"/>
          <w:szCs w:val="18"/>
          <w:color w:val="auto"/>
        </w:rPr>
        <w:t>recognized. During the three months ended March 31, 2020, the Company had gross increases of $0.3 million to its current year unrecognized tax benefits related to federal and state tax issues.</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tax years 2012 through 2019 remain open to examination by certain taxing jurisdictions to which the Company is subject to tax, other than certain states in which the statute of limitations has been extended.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68% ownership interest in Cross Country Talent Acquisition Group, LLC, a joint venture between the Company and a hospital system. The Company generated revenue providing staffing services to the hospital system of $5.6 million for both the three months ended March 31, 2020 and 2019. At March 31, 2020 and December 31, 2019, the Company had a receivable balance of $2.2 million and $1.7 million, respectively, and a payable balance of $0.3 million and $0.5 million, respectively.</w:t>
      </w:r>
    </w:p>
    <w:p>
      <w:pPr>
        <w:spacing w:after="0" w:line="21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has entered into an arrangement for digital marketing services provided by a firm that is related to Mr. Clark, the Company's Co-Founder and Chief Executive Officer. Mr. Clark is a minority shareholder in the firm's parent company and is a member of the parent company's Board of Directors.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months ended March 31, 2020, the Company incurred less than $0.1 million in expenses related to these fees.</w:t>
      </w:r>
    </w:p>
    <w:p>
      <w:pPr>
        <w:spacing w:after="0" w:line="18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the first quarter of 2020, the Company entered into a note payable related to contingent consideration assumed as part of a prior period acquisition. The payees of the note are controlled by an employee of the sellers who remained with the Company. The note payable has a balance of $7.3 million at March 31, 2020. See Note 7 -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 ACCOUNTING PRONOUNCEMENTS</w:t>
      </w:r>
    </w:p>
    <w:p>
      <w:pPr>
        <w:spacing w:after="0" w:line="256"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On March 12, 2020, the FASB issued ASU No.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which provides optional expedients and exceptions for applying GAAP to contracts,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meeting certain criteria, that reference LIBOR or another reference rate expected to be discontinued. When elected, the optional expedients for contract modifications must be applied consistently for all eligible contracts or transactions. The amendments in this update are effective as of March 12, 2020 through December 31, 2022. As of March 31, 2020, the Company is not impacted by this guidance; however, it will continue to assess the potential impact on its debt contracts and future hedging relationships, if applicable, through the effective period.</w:t>
      </w:r>
    </w:p>
    <w:p>
      <w:pPr>
        <w:spacing w:after="0" w:line="2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The amendments in this update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update are effective for fiscal years, and interim periods within those fiscal years, beginning after December 15, 2020, and should be applied either on a prospective, retrospective, or modified retrospective basis depending on the amendment. Early adoption of the amendments is permitted. The Company is currently in the process of evaluating this standard and expects to adopt the standard in its first quarter of 2021.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the MD&amp;A also conveys our expectations of the potential impact of known trends, events, or uncertainties that may impact future results. MD&amp;A is provided as a supplement to, and should be read in conjunction with, our Annual Report on Form 10-K for the year ended December 31, 2019, our financial statements and the accompanying notes to our financial statements, as well as the Item 1A. Risk Factors contained herein.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provide total talent management services, including strategic workforce solutions, contingent staffing, permanent placement and other consultative services for healthcare clients. We recruit and place highly qualified healthcare professionals in virtually every specialty and area of expertise. Our diverse client base includes both clinical and nonclinical settings, servicing acute care hospitals, physician practice groups, outpatient and ambulatory-care centers, nursing facilities, both public schools and charter schools, rehabilitation and sports medicine clinics, government facilities, and homecare. Through our national staffing teams and network of office locations, we offer our workforce solutions and we are able to place clinicians on travel and per diem assignments, local short-term contracts and permanent positions. Our workforce solutions include managed service programs (MSPs), electronic medical record (EMR) transition staffing, recruitment process outsourcing (RPO), internal resource pool (IRP), and other outsourcing and consultative services as described in Item 1. Business in our Annual Report on Form 10-K for the year ended December 31, 2019. By utilizing our various solutions, clients are able to better plan their personnel needs, talent acquisition and management processes, strategically flex and balance their workforce, access quality healthcare personnel, and provide continuity of care for improved patient outcomes.</w:t>
      </w:r>
    </w:p>
    <w:p>
      <w:pPr>
        <w:spacing w:after="0" w:line="21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We manage and segment our business based on the nature of the services we offer to our customers. As a result,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we report three business segments – Nurse and Allied Staffing, Physician Staffing, and Search.</w:t>
      </w:r>
    </w:p>
    <w:p>
      <w:pPr>
        <w:spacing w:after="0" w:line="173" w:lineRule="exact"/>
        <w:rPr>
          <w:sz w:val="20"/>
          <w:szCs w:val="20"/>
          <w:color w:val="auto"/>
        </w:rPr>
      </w:pPr>
    </w:p>
    <w:p>
      <w:pPr>
        <w:ind w:left="660" w:right="20" w:hanging="328"/>
        <w:spacing w:after="0" w:line="275" w:lineRule="auto"/>
        <w:tabs>
          <w:tab w:leader="none" w:pos="49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represented approximately 89% of our total revenue in the first quarter of 2020. The Nurse and</w:t>
      </w:r>
      <w:r>
        <w:rPr>
          <w:rFonts w:ascii="Arial" w:cs="Arial" w:eastAsia="Arial" w:hAnsi="Arial"/>
          <w:sz w:val="17"/>
          <w:szCs w:val="17"/>
          <w:i w:val="1"/>
          <w:iCs w:val="1"/>
          <w:color w:val="auto"/>
        </w:rPr>
        <w:t xml:space="preserve"> </w:t>
      </w:r>
      <w:r>
        <w:rPr>
          <w:rFonts w:ascii="Arial" w:cs="Arial" w:eastAsia="Arial" w:hAnsi="Arial"/>
          <w:sz w:val="17"/>
          <w:szCs w:val="17"/>
          <w:color w:val="auto"/>
        </w:rPr>
        <w:t>Allied Staffing segment provides workforce solutions and traditional staffing, including temporary and permanent placement of travel nurses and allied professionals, as well as per diem and contract nurses and allied personnel. We also staff healthcare personnel and substitute teachers in public and charter schools. We provide flexible workforce solutions to our healthcare clients through diversified offerings designed to meet their unique needs, including: MSP, optimal workforce solutions (OWS), EMR, IRP and consulting services.</w:t>
      </w:r>
    </w:p>
    <w:p>
      <w:pPr>
        <w:spacing w:after="0" w:line="203" w:lineRule="exact"/>
        <w:rPr>
          <w:rFonts w:ascii="Arial" w:cs="Arial" w:eastAsia="Arial" w:hAnsi="Arial"/>
          <w:sz w:val="17"/>
          <w:szCs w:val="17"/>
          <w:color w:val="auto"/>
        </w:rPr>
      </w:pPr>
    </w:p>
    <w:p>
      <w:pPr>
        <w:ind w:left="660" w:right="220" w:hanging="328"/>
        <w:spacing w:after="0" w:line="263" w:lineRule="auto"/>
        <w:tabs>
          <w:tab w:leader="none" w:pos="49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9% of our total revenue in the first quarter of 2020.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210" w:lineRule="exact"/>
        <w:rPr>
          <w:rFonts w:ascii="Arial" w:cs="Arial" w:eastAsia="Arial" w:hAnsi="Arial"/>
          <w:sz w:val="18"/>
          <w:szCs w:val="18"/>
          <w:color w:val="auto"/>
        </w:rPr>
      </w:pPr>
    </w:p>
    <w:p>
      <w:pPr>
        <w:ind w:left="660" w:right="480" w:hanging="328"/>
        <w:spacing w:after="0" w:line="277" w:lineRule="auto"/>
        <w:tabs>
          <w:tab w:leader="none" w:pos="49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Search represented approximately 2% of our total revenue in the first quarter of 2020. Search includes retained and contingent search</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physicians, healthcare executives, and other healthcare professionals, as well as RPO.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56"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For the quarter ended March 31, 2020, revenue from services increased 8% year-over-year to $210.1 million, primarily due to a higher volume of travel nurse staffing, and higher average bill rates. The increase in revenue was partially offset by revenue declines in our local staffing and education healthcare services primarily driven by the changing landscape in March from the COVID-19 pandemic. Profitability in the first quarter was impacted by $0.6 million of restructuring costs, $0.7 million of accelerated amortization expense in connection with our rebranding initiative, and $0.5 million of costs incurred related to our applicant tracking system replacement. Net loss attributable to common shareholders was $2.1 million, or a loss of $0.06 per share.</w:t>
      </w:r>
    </w:p>
    <w:p>
      <w:pPr>
        <w:spacing w:after="0" w:line="186"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For the three months ended March 31, 2020, we generated cash flow from operating activities of $17.2 million and repaid a net of $3.3 million on our senior-secured asset-based credit facility (ABL). Due to the uncertainty from COVID-19, as a precautionary measure we opted to hold more cash than we might have otherwise. As of March 31, 2020, we had $12.6 million of cash and cash equivalents, and availability under the ABL of $119.0 million, with $67.6 million of borrowings drawn under our ABL, and $19.6 million of undrawn letters of credit outstanding, leaving $31.8 million available for borrowing.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 Response</w:t>
      </w:r>
    </w:p>
    <w:p>
      <w:pPr>
        <w:spacing w:after="0" w:line="23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Early in March, we experienced an increase in demand for crisis assignments from our customers as a result of the COVID-19 pandemic impacting the U.S. Beginning in March and continuing into the second quarter, we have placed more than a thousand nurses on COVID-19 assignments with the majority going to our MSP partners in hot spots such as New York and Washington. As these assignments typically require higher compensation to the healthcare professionals, we have seen higher than normal average bill rates. Since late in the first quarter, the Company has experienced both positive and negative impacts on its business including a significant number of crisis assignments as well as the cancellation of non-COVID-19 assignments by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ind w:right="40"/>
        <w:spacing w:after="0" w:line="259" w:lineRule="auto"/>
        <w:rPr>
          <w:sz w:val="20"/>
          <w:szCs w:val="20"/>
          <w:color w:val="auto"/>
        </w:rPr>
      </w:pPr>
      <w:r>
        <w:rPr>
          <w:rFonts w:ascii="Arial" w:cs="Arial" w:eastAsia="Arial" w:hAnsi="Arial"/>
          <w:sz w:val="18"/>
          <w:szCs w:val="18"/>
          <w:color w:val="auto"/>
        </w:rPr>
        <w:t>certain facilities due to low census and deferred elective procedures. Additionally, since mid-March 2020, schools have remained closed and as a result we are seeing a sharp decline in revenue from our education business that is being partially offset by teletherapy services for the same clients. Overall, demand remains volatile, as orders initially surged due to the crisis needs, and have since trended downward as clients have reduced their contingent labor based on their unique situations.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part of our COVID-19 response, we established a cross-functional crisis team with representation from all parts of our business to ensure rapid response to our customers’ needs. As a result of the mandated shelter in place orders, our more than 1,600 employees were successfully able to work from home with minimal disruption. Generally, travel has been suspended and we have altered the way we communicate through the increased use of videoconferencing. Our response to this pandemic has helped us identify better ways to execute our client-facing and back-office operations which we expect to benefit from as we move forward.</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While the impact on the first quarter was not considered significant for us, indications are that our second quarter’s results will be subject to more volatility. Due to the uncertainty across the healthcare industry, we are unable to predict the overall impact on our business for the second quarter. As the country resumes normal operations as part of the phased in recovery, however, we expect demand for these services to rebound in the second quarter. We are proactively working with our customers to address their crisis needs, as well as to plan for the recovery of their normal operations.</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our liquidity remains high as we have taken steps to preserve cash, ending the quarter with cash of $12.6 million and $31.8 million available for borrowing. In addition, we do not expect the future impacts of COVID-19 to have a significant impact on our ability to maintain compliance with our financial covenants under our revolving credit facility.</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had a very successful experience with our employees working remotely while the shelter in place orders remain in effect with minimal disruption. We believe the combination of the successful first quarter launch of Cross Country Marketplace, our proprietary on-demand staffing platform, and the ability of our employees to efficiently work remotely will allow us to greatly reduce our office footprint throughout the country. We also remain on target for full implementation of our applicant tracking system in the third quarter of 2020, which we believe will create further efficiencies. Finally, we continue to evaluate our cost structure and have taken steps in the second quarter to realize additional cost savings through further centralization and automation efforts.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1A. Risk Factors for further discussion about potential additional risks and uncertainties.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Some of the segment financial results analyzed include revenue, operating expenses, and contribution income. In addition, we monitor cash flow as well as operating and leverage ratios to help us assess our liquidity needs.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Business Segment</w:t>
            </w:r>
          </w:p>
        </w:tc>
        <w:tc>
          <w:tcPr>
            <w:tcW w:w="7680" w:type="dxa"/>
            <w:vAlign w:val="bottom"/>
          </w:tcPr>
          <w:p>
            <w:pPr>
              <w:ind w:left="154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2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Nurse and Allied Staffing</w:t>
            </w:r>
          </w:p>
        </w:tc>
        <w:tc>
          <w:tcPr>
            <w:tcW w:w="7680" w:type="dxa"/>
            <w:vAlign w:val="bottom"/>
          </w:tcPr>
          <w:p>
            <w:pPr>
              <w:ind w:left="1540"/>
              <w:spacing w:after="0"/>
              <w:rPr>
                <w:sz w:val="20"/>
                <w:szCs w:val="20"/>
                <w:color w:val="auto"/>
              </w:rPr>
            </w:pPr>
            <w:r>
              <w:rPr>
                <w:rFonts w:ascii="Arial" w:cs="Arial" w:eastAsia="Arial" w:hAnsi="Arial"/>
                <w:sz w:val="18"/>
                <w:szCs w:val="18"/>
                <w:color w:val="auto"/>
                <w:w w:val="91"/>
              </w:rPr>
              <w:t>FTEs represent the average number of Nurse and Allied Staffing contract personnel</w:t>
            </w: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20" w:type="dxa"/>
            <w:vAlign w:val="bottom"/>
          </w:tcPr>
          <w:p>
            <w:pPr>
              <w:spacing w:after="0"/>
              <w:rPr>
                <w:sz w:val="22"/>
                <w:szCs w:val="22"/>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w w:val="96"/>
              </w:rPr>
              <w:t>Average revenue per FTE per day is calculated by dividing the Nurse and Allied</w:t>
            </w:r>
          </w:p>
        </w:tc>
      </w:tr>
      <w:tr>
        <w:trPr>
          <w:trHeight w:val="216"/>
        </w:trPr>
        <w:tc>
          <w:tcPr>
            <w:tcW w:w="3520" w:type="dxa"/>
            <w:vAlign w:val="bottom"/>
          </w:tcPr>
          <w:p>
            <w:pPr>
              <w:spacing w:after="0"/>
              <w:rPr>
                <w:sz w:val="18"/>
                <w:szCs w:val="18"/>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w w:val="93"/>
              </w:rPr>
              <w:t>Staffing revenue per FTE by the number of days worked in the respective periods.</w:t>
            </w:r>
          </w:p>
        </w:tc>
      </w:tr>
      <w:tr>
        <w:trPr>
          <w:trHeight w:val="216"/>
        </w:trPr>
        <w:tc>
          <w:tcPr>
            <w:tcW w:w="3520" w:type="dxa"/>
            <w:vAlign w:val="bottom"/>
          </w:tcPr>
          <w:p>
            <w:pPr>
              <w:spacing w:after="0"/>
              <w:rPr>
                <w:sz w:val="18"/>
                <w:szCs w:val="18"/>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Nurse and Allied Staffing revenue also includes revenue from the permanent</w:t>
            </w: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placement of nurses.</w:t>
            </w:r>
          </w:p>
        </w:tc>
      </w:tr>
      <w:tr>
        <w:trPr>
          <w:trHeight w:val="256"/>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Physician Staffing</w:t>
            </w:r>
          </w:p>
        </w:tc>
        <w:tc>
          <w:tcPr>
            <w:tcW w:w="7680" w:type="dxa"/>
            <w:vAlign w:val="bottom"/>
          </w:tcPr>
          <w:p>
            <w:pPr>
              <w:ind w:left="1540"/>
              <w:spacing w:after="0"/>
              <w:rPr>
                <w:sz w:val="20"/>
                <w:szCs w:val="20"/>
                <w:color w:val="auto"/>
              </w:rPr>
            </w:pPr>
            <w:r>
              <w:rPr>
                <w:rFonts w:ascii="Arial" w:cs="Arial" w:eastAsia="Arial" w:hAnsi="Arial"/>
                <w:sz w:val="18"/>
                <w:szCs w:val="18"/>
                <w:color w:val="auto"/>
                <w:w w:val="99"/>
              </w:rPr>
              <w:t>Days filled is calculated by dividing the total hours invoiced during the period,</w:t>
            </w: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including an estimate for the impact of accrued revenue, by 8 hours.</w:t>
            </w:r>
          </w:p>
        </w:tc>
      </w:tr>
      <w:tr>
        <w:trPr>
          <w:trHeight w:val="256"/>
        </w:trPr>
        <w:tc>
          <w:tcPr>
            <w:tcW w:w="3520" w:type="dxa"/>
            <w:vAlign w:val="bottom"/>
          </w:tcPr>
          <w:p>
            <w:pPr>
              <w:spacing w:after="0"/>
              <w:rPr>
                <w:sz w:val="22"/>
                <w:szCs w:val="22"/>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w w:val="94"/>
              </w:rPr>
              <w:t>Revenue per day filled is calculated by dividing revenue as reported by days filled</w:t>
            </w: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for the period presented.</w:t>
            </w:r>
          </w:p>
        </w:tc>
      </w:tr>
    </w:tbl>
    <w:p>
      <w:pPr>
        <w:spacing w:after="0" w:line="200" w:lineRule="exact"/>
        <w:rPr>
          <w:sz w:val="20"/>
          <w:szCs w:val="20"/>
          <w:color w:val="auto"/>
        </w:rPr>
      </w:pP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66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0"/>
                <w:szCs w:val="20"/>
                <w:color w:val="auto"/>
              </w:rPr>
            </w:pPr>
          </w:p>
        </w:tc>
      </w:tr>
      <w:tr>
        <w:trPr>
          <w:trHeight w:val="270"/>
        </w:trPr>
        <w:tc>
          <w:tcPr>
            <w:tcW w:w="8400" w:type="dxa"/>
            <w:vAlign w:val="bottom"/>
          </w:tcPr>
          <w:p>
            <w:pPr>
              <w:spacing w:after="0"/>
              <w:rPr>
                <w:sz w:val="23"/>
                <w:szCs w:val="23"/>
                <w:color w:val="auto"/>
              </w:rPr>
            </w:pPr>
          </w:p>
        </w:tc>
        <w:tc>
          <w:tcPr>
            <w:tcW w:w="1900" w:type="dxa"/>
            <w:vAlign w:val="bottom"/>
            <w:gridSpan w:val="4"/>
          </w:tcPr>
          <w:p>
            <w:pPr>
              <w:jc w:val="center"/>
              <w:ind w:left="850"/>
              <w:spacing w:after="0"/>
              <w:rPr>
                <w:sz w:val="20"/>
                <w:szCs w:val="20"/>
                <w:color w:val="auto"/>
              </w:rPr>
            </w:pPr>
            <w:r>
              <w:rPr>
                <w:rFonts w:ascii="Arial" w:cs="Arial" w:eastAsia="Arial" w:hAnsi="Arial"/>
                <w:sz w:val="18"/>
                <w:szCs w:val="18"/>
                <w:b w:val="1"/>
                <w:bCs w:val="1"/>
                <w:color w:val="auto"/>
                <w:w w:val="96"/>
              </w:rPr>
              <w:t>March 31,</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
        </w:trPr>
        <w:tc>
          <w:tcPr>
            <w:tcW w:w="8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Direct operating expenses</w:t>
            </w:r>
          </w:p>
        </w:tc>
        <w:tc>
          <w:tcPr>
            <w:tcW w:w="1200" w:type="dxa"/>
            <w:vAlign w:val="bottom"/>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costs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tcBorders>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auto"/>
            </w:tcBorders>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Consolidated net loss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auto"/>
            </w:tcBorders>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auto"/>
            </w:tcBorders>
            <w:shd w:val="clear" w:color="auto" w:fill="CCEEFF"/>
          </w:tcPr>
          <w:p>
            <w:pPr>
              <w:spacing w:after="0"/>
              <w:rPr>
                <w:sz w:val="23"/>
                <w:szCs w:val="23"/>
                <w:color w:val="auto"/>
              </w:rPr>
            </w:pPr>
          </w:p>
        </w:tc>
      </w:tr>
      <w:tr>
        <w:trPr>
          <w:trHeight w:val="263"/>
        </w:trPr>
        <w:tc>
          <w:tcPr>
            <w:tcW w:w="840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8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Comparison of Results for the Three Months Ended March 31, 2020 compared to the Three Months Ended March 31, 2019</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 March 31,</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8"/>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Increase</w:t>
            </w:r>
          </w:p>
        </w:tc>
        <w:tc>
          <w:tcPr>
            <w:tcW w:w="120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Increase</w:t>
            </w:r>
          </w:p>
        </w:tc>
        <w:tc>
          <w:tcPr>
            <w:tcW w:w="180" w:type="dxa"/>
            <w:vAlign w:val="bottom"/>
          </w:tcPr>
          <w:p>
            <w:pPr>
              <w:spacing w:after="0"/>
              <w:rPr>
                <w:sz w:val="18"/>
                <w:szCs w:val="18"/>
                <w:color w:val="auto"/>
              </w:rPr>
            </w:pPr>
          </w:p>
        </w:tc>
      </w:tr>
      <w:tr>
        <w:trPr>
          <w:trHeight w:val="234"/>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20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(Decrease)</w:t>
            </w:r>
          </w:p>
        </w:tc>
        <w:tc>
          <w:tcPr>
            <w:tcW w:w="180" w:type="dxa"/>
            <w:vAlign w:val="bottom"/>
          </w:tcPr>
          <w:p>
            <w:pPr>
              <w:spacing w:after="0"/>
              <w:rPr>
                <w:sz w:val="20"/>
                <w:szCs w:val="20"/>
                <w:color w:val="auto"/>
              </w:rPr>
            </w:pPr>
          </w:p>
        </w:tc>
      </w:tr>
      <w:tr>
        <w:trPr>
          <w:trHeight w:val="270"/>
        </w:trPr>
        <w:tc>
          <w:tcPr>
            <w:tcW w:w="5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3"/>
                <w:szCs w:val="23"/>
                <w:color w:val="auto"/>
              </w:rPr>
            </w:pPr>
          </w:p>
        </w:tc>
        <w:tc>
          <w:tcPr>
            <w:tcW w:w="1200" w:type="dxa"/>
            <w:vAlign w:val="bottom"/>
          </w:tcPr>
          <w:p>
            <w:pPr>
              <w:jc w:val="center"/>
              <w:ind w:left="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r>
      <w:tr>
        <w:trPr>
          <w:trHeight w:val="27"/>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0"/>
              </w:rPr>
              <w:t>(Amounts in thousands)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210,064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14,893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Direct operating expenses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160,461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146,917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13,544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45,881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Acquisition and integration-related costs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6"/>
        </w:trPr>
        <w:tc>
          <w:tcPr>
            <w:tcW w:w="5560" w:type="dxa"/>
            <w:vAlign w:val="bottom"/>
          </w:tcPr>
          <w:p>
            <w:pPr>
              <w:spacing w:after="0"/>
              <w:rPr>
                <w:sz w:val="20"/>
                <w:szCs w:val="20"/>
                <w:color w:val="auto"/>
              </w:rPr>
            </w:pPr>
            <w:r>
              <w:rPr>
                <w:rFonts w:ascii="Arial" w:cs="Arial" w:eastAsia="Arial" w:hAnsi="Arial"/>
                <w:sz w:val="18"/>
                <w:szCs w:val="18"/>
                <w:color w:val="auto"/>
              </w:rPr>
              <w:t>Consolidated net loss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Borders>
              <w:top w:val="single" w:sz="8" w:color="auto"/>
            </w:tcBorders>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64"/>
        </w:trPr>
        <w:tc>
          <w:tcPr>
            <w:tcW w:w="556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 from services increased 7.6%, to $210.1 million for the three months ended March 31, 2020, as compared to $195.2 million for the three months ended March 31, 2019, reflecting higher revenue growth in all three segments. Revenue for the three months ended March 31, 2020 was negatively impacted by COVID-19 due to suspended services resulting from school closures and, to a lesser extent, volume declines in local staffing. See further discussion in Segment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Direct operating expenses are comprised primarily of field employee compensation and independent contractor expenses, housing expenses, travel expenses, and related insurance expenses. Direct operating expenses increased $13.5 million or 9.2%, to $160.5 million for the three months ended March 31, 2020, as compared to $146.9 million for the three months ended March 31, 2019. As a percentage of total revenue, direct operating expenses increased to 76.4% compared to 75.3% in the prior year period primarily due to average pay rates rising faster than bill rates in Nurse and Allied Staffing.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Selling, general and administrative expenses decreased 0.3%, to $45.9 million for the three months ended March 31, 2020, as compared to $46.0 million for the three months ended March 31, 2019. As a percentage of total revenue, selling, general and administrative expenses decreased to 21.8% for the three months ended March 31, 2020 as compared to 23.6% for the three months ended March 31, 2019, primarily as a result of improved operating leverage.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Depreciation and amortization expense for the three months ended March 31, 2020 increased to $3.3 million as compared to $3.0 million for the three months ended March 31, 2019. Amortization expense increased due to accelerated amortization of trade names in our Nurse and Allied Staffing segment, associated with our rebranding initiatives. As a percentage of revenue,</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color w:val="auto"/>
        </w:rPr>
        <w:t>depreciation and amortization expense was 1.6% for the three months ended March 31, 2020 and 1.5% for the three months ended March 31, 2019.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integration-related costs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Acquisition and integration-related costs include costs for prior acquisitions, costs incurred for potential transactions, and accretion and valuation adjustments on our contingent consideration liability related to the Mediscan acquisition. In the first quarter of 2020, the final earnout amount related to the contingent consideration was determined. See Note 7 -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Restructuring costs were primarily comprised of employee termination costs, ongoing lease costs related to the Company's strategic reduction of its real estate footprint, and reorganization costs as part of our planned cost savings initiatives, and totaled $0.6 million during the three months ended March 31, 2020. During the three months ended March 31, 2019, restructuring costs totaled $1.1 million and were primarily comprised of severance costs incurred in connection with our cost savings initiatives.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was $0.9 million for the three months ended March 31, 2020 as compared to $1.4 million for the three months ended March 31, 2019, due to lower average borrowings and a lower effective rate. The effective interest rate on our borrowings was 4.4% for the three month period ended March 31, 2020 compared to 5.8% for the three months ended 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52" w:lineRule="exact"/>
        <w:rPr>
          <w:sz w:val="20"/>
          <w:szCs w:val="20"/>
          <w:color w:val="auto"/>
        </w:rPr>
      </w:pPr>
    </w:p>
    <w:p>
      <w:pPr>
        <w:ind w:right="2140"/>
        <w:spacing w:after="0" w:line="291" w:lineRule="auto"/>
        <w:rPr>
          <w:sz w:val="20"/>
          <w:szCs w:val="20"/>
          <w:color w:val="auto"/>
        </w:rPr>
      </w:pPr>
      <w:r>
        <w:rPr>
          <w:rFonts w:ascii="Arial" w:cs="Arial" w:eastAsia="Arial" w:hAnsi="Arial"/>
          <w:sz w:val="16"/>
          <w:szCs w:val="16"/>
          <w:color w:val="auto"/>
        </w:rPr>
        <w:t>Loss on early extinguishment of debt was $0.4 million for the three months ended March 31, 2019, relating to the write-off of debt issuance costs in connection with a reduction in borrowing capacity under the revolving credit facility, and an optional</w:t>
      </w:r>
    </w:p>
    <w:p>
      <w:pPr>
        <w:ind w:right="180"/>
        <w:spacing w:after="0" w:line="260" w:lineRule="auto"/>
        <w:rPr>
          <w:sz w:val="20"/>
          <w:szCs w:val="20"/>
          <w:color w:val="auto"/>
        </w:rPr>
      </w:pPr>
      <w:r>
        <w:rPr>
          <w:rFonts w:ascii="Arial" w:cs="Arial" w:eastAsia="Arial" w:hAnsi="Arial"/>
          <w:sz w:val="18"/>
          <w:szCs w:val="18"/>
          <w:color w:val="auto"/>
        </w:rPr>
        <w:t>principal prepayment of $7.5 million made on our term loan in the first quarter of 2019. There were no similar charges for the three months ended March 31,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Income tax expense was $0.2 million for the three months ended March 31, 2020, including immaterial discrete items. For the three months ended March 31, 2019, we recorded an income tax benefit of $3.0 million, including the impact of discrete items, and $3.2 million excluding discrete items. As a result of the Company’s valuation allowance on substantially all of its domestic deferred tax assets, income tax expense for the three months ended March 31, 2020 was primarily impacted by international and state taxes. The Company did not maintain a material valuation allowance during the three months ended March 31, 2019 and as a result, income tax expense for the three months ended March 31, 2019 was primarily impacted by the non-deductibility of certain per diem expenses, the officers’ compensation limitation, and international and state taxes. See Note 13 -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53"/>
        </w:trPr>
        <w:tc>
          <w:tcPr>
            <w:tcW w:w="9720" w:type="dxa"/>
            <w:vAlign w:val="bottom"/>
            <w:gridSpan w:val="5"/>
          </w:tcPr>
          <w:p>
            <w:pPr>
              <w:spacing w:after="0"/>
              <w:rPr>
                <w:sz w:val="20"/>
                <w:szCs w:val="20"/>
                <w:color w:val="auto"/>
              </w:rPr>
            </w:pPr>
            <w:r>
              <w:rPr>
                <w:rFonts w:ascii="Arial" w:cs="Arial" w:eastAsia="Arial" w:hAnsi="Arial"/>
                <w:sz w:val="18"/>
                <w:szCs w:val="18"/>
                <w:color w:val="auto"/>
                <w:w w:val="95"/>
              </w:rPr>
              <w:t>Information on operating segments and a reconciliation to (loss) income from operations for the periods indicated are as follows: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128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center"/>
              <w:ind w:left="651"/>
              <w:spacing w:after="0"/>
              <w:rPr>
                <w:sz w:val="20"/>
                <w:szCs w:val="20"/>
                <w:color w:val="auto"/>
              </w:rPr>
            </w:pPr>
            <w:r>
              <w:rPr>
                <w:rFonts w:ascii="Arial" w:cs="Arial" w:eastAsia="Arial" w:hAnsi="Arial"/>
                <w:sz w:val="18"/>
                <w:szCs w:val="18"/>
                <w:b w:val="1"/>
                <w:bCs w:val="1"/>
                <w:color w:val="auto"/>
                <w:w w:val="93"/>
              </w:rPr>
              <w:t>March 31,</w:t>
            </w:r>
          </w:p>
        </w:tc>
        <w:tc>
          <w:tcPr>
            <w:tcW w:w="108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12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4"/>
          </w:tcPr>
          <w:p>
            <w:pPr>
              <w:jc w:val="center"/>
              <w:ind w:right="250"/>
              <w:spacing w:after="0"/>
              <w:rPr>
                <w:sz w:val="20"/>
                <w:szCs w:val="20"/>
                <w:color w:val="auto"/>
              </w:rPr>
            </w:pPr>
            <w:r>
              <w:rPr>
                <w:rFonts w:ascii="Arial" w:cs="Arial" w:eastAsia="Arial" w:hAnsi="Arial"/>
                <w:sz w:val="16"/>
                <w:szCs w:val="16"/>
                <w:color w:val="auto"/>
                <w:w w:val="89"/>
              </w:rPr>
              <w:t>(amounts in thousands)</w:t>
            </w:r>
          </w:p>
        </w:tc>
      </w:tr>
      <w:tr>
        <w:trPr>
          <w:trHeight w:val="33"/>
        </w:trPr>
        <w:tc>
          <w:tcPr>
            <w:tcW w:w="80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gridSpan w:val="2"/>
          </w:tcPr>
          <w:p>
            <w:pPr>
              <w:ind w:left="120"/>
              <w:spacing w:after="0"/>
              <w:rPr>
                <w:sz w:val="20"/>
                <w:szCs w:val="20"/>
                <w:color w:val="auto"/>
              </w:rPr>
            </w:pPr>
            <w:r>
              <w:rPr>
                <w:rFonts w:ascii="Arial" w:cs="Arial" w:eastAsia="Arial" w:hAnsi="Arial"/>
                <w:sz w:val="18"/>
                <w:szCs w:val="18"/>
                <w:color w:val="auto"/>
              </w:rPr>
              <w:t>Nurse and Allied Staffing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188,233</w:t>
            </w:r>
          </w:p>
        </w:tc>
        <w:tc>
          <w:tcPr>
            <w:tcW w:w="1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175,637</w:t>
            </w:r>
          </w:p>
        </w:tc>
      </w:tr>
      <w:tr>
        <w:trPr>
          <w:trHeight w:val="27"/>
        </w:trPr>
        <w:tc>
          <w:tcPr>
            <w:tcW w:w="80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18,181</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16,159</w:t>
            </w:r>
          </w:p>
        </w:tc>
      </w:tr>
      <w:tr>
        <w:trPr>
          <w:trHeight w:val="243"/>
        </w:trPr>
        <w:tc>
          <w:tcPr>
            <w:tcW w:w="8060" w:type="dxa"/>
            <w:vAlign w:val="bottom"/>
            <w:gridSpan w:val="2"/>
          </w:tcPr>
          <w:p>
            <w:pPr>
              <w:ind w:left="120"/>
              <w:spacing w:after="0"/>
              <w:rPr>
                <w:sz w:val="20"/>
                <w:szCs w:val="20"/>
                <w:color w:val="auto"/>
              </w:rPr>
            </w:pPr>
            <w:r>
              <w:rPr>
                <w:rFonts w:ascii="Arial" w:cs="Arial" w:eastAsia="Arial" w:hAnsi="Arial"/>
                <w:sz w:val="18"/>
                <w:szCs w:val="18"/>
                <w:color w:val="auto"/>
              </w:rPr>
              <w:t>Search</w:t>
            </w:r>
          </w:p>
        </w:tc>
        <w:tc>
          <w:tcPr>
            <w:tcW w:w="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3,650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3,375</w:t>
            </w:r>
          </w:p>
        </w:tc>
      </w:tr>
      <w:tr>
        <w:trPr>
          <w:trHeight w:val="27"/>
        </w:trPr>
        <w:tc>
          <w:tcPr>
            <w:tcW w:w="128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1280" w:type="dxa"/>
            <w:vAlign w:val="bottom"/>
            <w:tcBorders>
              <w:bottom w:val="single" w:sz="8" w:color="CCEEFF"/>
            </w:tcBorders>
            <w:shd w:val="clear" w:color="auto" w:fill="CCEEFF"/>
          </w:tcPr>
          <w:p>
            <w:pPr>
              <w:spacing w:after="0"/>
              <w:rPr>
                <w:sz w:val="24"/>
                <w:szCs w:val="24"/>
                <w:color w:val="auto"/>
              </w:rPr>
            </w:pPr>
          </w:p>
        </w:tc>
        <w:tc>
          <w:tcPr>
            <w:tcW w:w="67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210,064</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195,171</w:t>
            </w:r>
          </w:p>
        </w:tc>
      </w:tr>
      <w:tr>
        <w:trPr>
          <w:trHeight w:val="20"/>
        </w:trPr>
        <w:tc>
          <w:tcPr>
            <w:tcW w:w="80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Contribution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gridSpan w:val="2"/>
          </w:tcPr>
          <w:p>
            <w:pPr>
              <w:ind w:left="120"/>
              <w:spacing w:after="0"/>
              <w:rPr>
                <w:sz w:val="20"/>
                <w:szCs w:val="20"/>
                <w:color w:val="auto"/>
              </w:rPr>
            </w:pPr>
            <w:r>
              <w:rPr>
                <w:rFonts w:ascii="Arial" w:cs="Arial" w:eastAsia="Arial" w:hAnsi="Arial"/>
                <w:sz w:val="18"/>
                <w:szCs w:val="18"/>
                <w:color w:val="auto"/>
              </w:rPr>
              <w:t>Nurse and Allied Staffing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14,157</w:t>
            </w:r>
          </w:p>
        </w:tc>
        <w:tc>
          <w:tcPr>
            <w:tcW w:w="1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14,296</w:t>
            </w:r>
          </w:p>
        </w:tc>
      </w:tr>
      <w:tr>
        <w:trPr>
          <w:trHeight w:val="27"/>
        </w:trPr>
        <w:tc>
          <w:tcPr>
            <w:tcW w:w="80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631</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w:t>
            </w:r>
          </w:p>
        </w:tc>
      </w:tr>
      <w:tr>
        <w:trPr>
          <w:trHeight w:val="243"/>
        </w:trPr>
        <w:tc>
          <w:tcPr>
            <w:tcW w:w="8060" w:type="dxa"/>
            <w:vAlign w:val="bottom"/>
            <w:gridSpan w:val="2"/>
          </w:tcPr>
          <w:p>
            <w:pPr>
              <w:ind w:left="120"/>
              <w:spacing w:after="0"/>
              <w:rPr>
                <w:sz w:val="20"/>
                <w:szCs w:val="20"/>
                <w:color w:val="auto"/>
              </w:rPr>
            </w:pPr>
            <w:r>
              <w:rPr>
                <w:rFonts w:ascii="Arial" w:cs="Arial" w:eastAsia="Arial" w:hAnsi="Arial"/>
                <w:sz w:val="18"/>
                <w:szCs w:val="18"/>
                <w:color w:val="auto"/>
              </w:rPr>
              <w:t>Search</w:t>
            </w:r>
          </w:p>
        </w:tc>
        <w:tc>
          <w:tcPr>
            <w:tcW w:w="3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128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1280" w:type="dxa"/>
            <w:vAlign w:val="bottom"/>
            <w:tcBorders>
              <w:bottom w:val="single" w:sz="8" w:color="CCEEFF"/>
            </w:tcBorders>
            <w:shd w:val="clear" w:color="auto" w:fill="CCEEFF"/>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14,453</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14,278</w:t>
            </w:r>
          </w:p>
        </w:tc>
      </w:tr>
      <w:tr>
        <w:trPr>
          <w:trHeight w:val="270"/>
        </w:trPr>
        <w:tc>
          <w:tcPr>
            <w:tcW w:w="806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8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Corporate overhead</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11,270</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12,330</w:t>
            </w:r>
          </w:p>
        </w:tc>
      </w:tr>
      <w:tr>
        <w:trPr>
          <w:trHeight w:val="243"/>
        </w:trPr>
        <w:tc>
          <w:tcPr>
            <w:tcW w:w="806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3,296</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2,984</w:t>
            </w:r>
          </w:p>
        </w:tc>
      </w:tr>
      <w:tr>
        <w:trPr>
          <w:trHeight w:val="27"/>
        </w:trPr>
        <w:tc>
          <w:tcPr>
            <w:tcW w:w="80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512</w:t>
            </w:r>
          </w:p>
        </w:tc>
      </w:tr>
      <w:tr>
        <w:trPr>
          <w:trHeight w:val="243"/>
        </w:trPr>
        <w:tc>
          <w:tcPr>
            <w:tcW w:w="8060" w:type="dxa"/>
            <w:vAlign w:val="bottom"/>
            <w:gridSpan w:val="2"/>
          </w:tcPr>
          <w:p>
            <w:pPr>
              <w:ind w:left="12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1,140</w:t>
            </w:r>
          </w:p>
        </w:tc>
      </w:tr>
      <w:tr>
        <w:trPr>
          <w:trHeight w:val="27"/>
        </w:trPr>
        <w:tc>
          <w:tcPr>
            <w:tcW w:w="806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second quarter of 2019, the Company merged its permanent search recruitment brands. As a result, for the three months ended March 31, 2019, $0.4 million of revenue and $0.1 million of contribution income were reclassified from Nurse and Allied Staffing to Search to conform to the current period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22"/>
                <w:szCs w:val="22"/>
                <w:color w:val="auto"/>
              </w:rPr>
            </w:pPr>
          </w:p>
        </w:tc>
        <w:tc>
          <w:tcPr>
            <w:tcW w:w="1540" w:type="dxa"/>
            <w:vAlign w:val="bottom"/>
            <w:gridSpan w:val="2"/>
          </w:tcPr>
          <w:p>
            <w:pPr>
              <w:ind w:left="38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2"/>
                <w:szCs w:val="22"/>
                <w:color w:val="auto"/>
              </w:rPr>
            </w:pP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w:t>
            </w:r>
          </w:p>
        </w:tc>
        <w:tc>
          <w:tcPr>
            <w:tcW w:w="2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Arial" w:cs="Arial" w:eastAsia="Arial" w:hAnsi="Arial"/>
                <w:sz w:val="16"/>
                <w:szCs w:val="16"/>
                <w:color w:val="auto"/>
              </w:rPr>
              <w:t>FTEs</w:t>
            </w:r>
          </w:p>
        </w:tc>
        <w:tc>
          <w:tcPr>
            <w:tcW w:w="20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7,145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7,017</w:t>
            </w:r>
          </w:p>
        </w:tc>
        <w:tc>
          <w:tcPr>
            <w:tcW w:w="2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290</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278</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600" w:type="dxa"/>
            <w:vAlign w:val="bottom"/>
            <w:tcBorders>
              <w:top w:val="single" w:sz="8" w:color="CCEEFF"/>
            </w:tcBorders>
            <w:gridSpan w:val="2"/>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color w:val="auto"/>
              </w:rPr>
              <w:t>10,199</w:t>
            </w: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color w:val="auto"/>
              </w:rPr>
              <w:t>10,280</w:t>
            </w:r>
          </w:p>
        </w:tc>
        <w:tc>
          <w:tcPr>
            <w:tcW w:w="24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(81)</w:t>
            </w:r>
          </w:p>
        </w:tc>
        <w:tc>
          <w:tcPr>
            <w:tcW w:w="2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(0.8) %</w:t>
            </w: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1,783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 under the Operating Metrics section of our Management's Discussion and Analysis.</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Segment Comparison - Three Months Ended March 31, 2020 compared to the Three Months Ended March 31, 2019</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Revenue from Nurse and Allied Staffing increased $12.6 million, or 7.2%, to $188.2 million for the three months ended March 31, 2020, compared to $175.6 million for the three months ended March 31, 2019, primarily due to the continued increase in the number of FTEs and average bill rates throughout the quarter. Revenue for the three months ended March 31, 2020 was negatively impacted by COVID-19 due to suspended services resulting from school closures and, to a lesser extent, volume declines in local staffing.</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Contribution income from Nurse and Allied Staffing decreased $0.1 million or 1.0%, to $14.2 million for the three months ended March 31, 2020, compared to $14.3 million for the three months ended March 31, 2019. As a percentage of segment revenue, contribution income margin was 7.5% for the three months ended March 31, 2020, compared to 8.1% for the three months ended March 31, 2019.</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average number of Nurse and Allied Staffing FTEs on contract during the three months ended March 31, 2020 increased 1.8% from the three months ended March 31, 2019, reflecting an increase in travel nurse staffing partially offset by local staffing. The average Nurse and Allied Staffing revenue per FTE per day increased 4.3%, reflecting higher average bill rates related to increased pricing.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Revenue from Physician Staffing increased $2.0 million, or 12.5%, to $18.2 million for the three months ended March 31, 2020, compared to $16.2 million for the three months ended March 31, 2019, primarily due to higher bill rates due to mix as well as one additional day in the quarter.</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Contribution income from Physician Staffing increased $0.2 million, or 55.8% to $0.6 million for the three months ended March 31, 2020, compared to $0.4 million for the three months ended March 31, 2019. As a percentage of segment revenue, contribution income was 3.5% for the three months ended March 31, 2020, compared to 2.5% for the three months ended March 31, 2019, driven by higher revenue and lower selling, general and administrative expenses.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days filled for Physician Staffing for the three months ended March 31, 2020 were 10,199 as compared with 10,280 in the prior year. Revenue per day filled was $1,783 as compared with $1,572 in the prior year, due to a shift in the mix of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Revenue from Search increased $0.3 million, or 8.1%, to $3.7 million for the three months ended March 31, 2020, compared to $3.4 million for the three months ended March 31, 2019, due to an increase in executive search and RPO revenue, partially offset by declines in physician search.</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Contribution loss from Search was $0.3 million for the three months ended March 31, 2020, compared to contribution loss of $0.4 million for the three months ended March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 Corporate overhead decreased to $11.3 million for the three months ended March 31, 2020, from $12.3 million for the three months ended March 31, 2019, due to lower consulting and other professional service fees, as well as the impact of our cost savings initiatives. As a percentage of consolidated revenue, corporate overhead was 5.4% for the three months ended March 31, 2020 and 6.3% for the three months ended 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14 - Related Party Transactions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March 31, 2020, we had $12.6 million in cash and cash equivalents and $67.6 million of borrowings drawn under our senior secured asset-based revolving credit facility. Working capital decreased by $6.3 million to $91.6 million as of March 31, 2020, compared to $97.9 million as of December 31, 2019. As of March 31, 2020, our days' sales outstanding, net of amounts owed to subcontractors, was 56 days representing a 2 day improvement from December 31, 2019.</w:t>
      </w:r>
    </w:p>
    <w:p>
      <w:pPr>
        <w:spacing w:after="0" w:line="21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in our Form 10-K for the year ended December 31, 2019. Although there is uncertainty related to the anticipated impact of COVID-19 on our future results, we expect to meet our future needs from a combination of cash on hand, operating cash flows, and funds available through the ABL. See debt discussion which follows.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cash provided by operating activities was $17.2 million in the three months ended March 31, 2020, compared to $12.8 million in the three months ended March 31, 2019, primarily due to stronger collections and the timing of disbursements.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investing activities was $1.0 million in the three months ended March 31, 2020, compared to $1.2 million in the three months ended March 31, 2019. Net cash used in both periods was for capital expenditures, primarily related to the project to replace our applicant tracking system for our travel nurse staffing and for acquisition-related settlements in the three months ended March 31, 2019.</w:t>
      </w:r>
    </w:p>
    <w:p>
      <w:pPr>
        <w:spacing w:after="0" w:line="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Net cash used in financing activities during the three months ended March 31, 2020 was $4.6 million, compared to $9.3 million during the three months ended March 31, 2019. During the three months ended March 31, 2020, we used cash to repay our ABL of $3.3 million, $0.6 million for income taxes on share-based compensation, $0.6 million for noncontrolling shareholder payments, and $0.1 million of contingent consideration. During the three months ended March 31, 2019, we used cash to make an optional principal prepayment on our term loan of $7.5 million and paid $0.6 million in debt issuance related to an amendment to our prior senior credit facility. We also used cash to pay $0.8 million for income taxes on share-based compensation, $0.3 million for noncontrolling shareholder payments, and $0.1 million of contingent consideration.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ABL Credit Agreement</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March 31, 2020, availability under the ABL was $119.0 million and we had $67.6 million of borrowings drawn, as well as $19.6 million of letters of credit outstanding, leaving $31.8 million available for borrowing.</w:t>
      </w:r>
    </w:p>
    <w:p>
      <w:pPr>
        <w:spacing w:after="0" w:line="1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As of March 31, 2020, the interest rate spreads and fees under the Loan Agreement were based on LIBOR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our excess availability under the revolving credit facility. In addition, the facility is subject to an unused fee, letter of credit fees, and an administrative fee. The Loan Agreement contains various restrictions and covenants applicable to the Company and its subsidiaries, including a covenant to maintain a minimum fixed charge coverage ratio. We were in compliance with the fixed charge coverage ratio covenant as of March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12 - Stockholders' Equity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ind w:right="400"/>
        <w:spacing w:after="0" w:line="244" w:lineRule="auto"/>
        <w:rPr>
          <w:sz w:val="20"/>
          <w:szCs w:val="20"/>
          <w:color w:val="auto"/>
        </w:rPr>
      </w:pPr>
      <w:r>
        <w:rPr>
          <w:rFonts w:ascii="Arial" w:cs="Arial" w:eastAsia="Arial" w:hAnsi="Arial"/>
          <w:sz w:val="18"/>
          <w:szCs w:val="18"/>
          <w:color w:val="auto"/>
        </w:rPr>
        <w:t>As of March 31, 2020, we do not have any off-balance sheet arrangements. Our commitments over the next five years did not change materially from December 31, 2019. See Note 12 - Contingencies to our condensed consolidated financial statements.</w:t>
      </w: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Annual Report on Form 10-K for the year ended December 31, 2019, filed with the SEC, other than the adoption of ASU No. 2016-13, </w:t>
      </w:r>
      <w:r>
        <w:rPr>
          <w:rFonts w:ascii="Arial" w:cs="Arial" w:eastAsia="Arial" w:hAnsi="Arial"/>
          <w:sz w:val="18"/>
          <w:szCs w:val="18"/>
          <w:i w:val="1"/>
          <w:iCs w:val="1"/>
          <w:color w:val="auto"/>
        </w:rPr>
        <w:t>Financial Instruments -</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i w:val="1"/>
          <w:iCs w:val="1"/>
          <w:color w:val="auto"/>
        </w:rPr>
        <w:t xml:space="preserve">Credit Losses (Topic 326), Measurement of Credit Losses on Financial Instruments </w:t>
      </w:r>
      <w:r>
        <w:rPr>
          <w:rFonts w:ascii="Arial" w:cs="Arial" w:eastAsia="Arial" w:hAnsi="Arial"/>
          <w:sz w:val="18"/>
          <w:szCs w:val="18"/>
          <w:color w:val="auto"/>
        </w:rPr>
        <w:t>as discussed in Note 2 - Summary of Significant Accounting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and Note 3 - Customer Contracts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895" w:right="5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been exposed to interest rate risk associated with our debt instruments which have had interest based on variable rates. As of March 31, 2020, we are exposed to the risk of fluctuation in interest rates relating to our ABL Credit Agreement (ABL) entered into on October 25, 2019. Our ABL charges us interest at a rate based on either LIBOR or Base Rate (as defined) plus an applicable margin.</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March 2018, we entered into an interest rate swap agreement, which initially fixed the interest rate on 50% of the amortizing balance on our term debt. The interest rate swap qualified as a cash flow hedge in accordance with the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Topic of the FASB ASC and the resulting changes in fair value of the interest rate swap were recorded to other comprehensive (loss) income and reclassified to interest expense over the life of the term debt. In September 2019, in anticipation of entering into the ABL, we terminated our interest rate swap agreement.</w:t>
      </w:r>
    </w:p>
    <w:p>
      <w:pPr>
        <w:spacing w:after="0" w:line="19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1% change in interest rates on our variable rate debt would have resulted in interest expense fluctuating approximately $0.2 million for both the three months ended March 31, 2020 and 2019, excluding the impact of the interest rate swap agreement. Considering the effect of our interest rate swap agreement in a 1% change in interest rates on our variable rate debt would have resulted in approximately $0.1 million change in interest expense for the three months ended March 31, 2019. See Note 7 - Debt to our condensed consolidated financial statements.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our Form 10-K Item 1A. Risk Factors under "The interest rates under our ABL Credit Agreement may be impacted by the phase-out of the London Interbank Offered Rate (LIBOR)" for discussion of the interest rate risk related to the potential phase-out of LIBOR in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2019.</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w:t>
      </w:r>
      <w:r>
        <w:rPr>
          <w:rFonts w:ascii="Arial" w:cs="Arial" w:eastAsia="Arial" w:hAnsi="Arial"/>
          <w:sz w:val="18"/>
          <w:szCs w:val="18"/>
          <w:color w:val="212529"/>
        </w:rPr>
        <w:t>We have</w:t>
      </w:r>
      <w:r>
        <w:rPr>
          <w:rFonts w:ascii="Arial" w:cs="Arial" w:eastAsia="Arial" w:hAnsi="Arial"/>
          <w:sz w:val="18"/>
          <w:szCs w:val="18"/>
          <w:color w:val="auto"/>
        </w:rPr>
        <w:t xml:space="preserve"> </w:t>
      </w:r>
      <w:r>
        <w:rPr>
          <w:rFonts w:ascii="Arial" w:cs="Arial" w:eastAsia="Arial" w:hAnsi="Arial"/>
          <w:sz w:val="18"/>
          <w:szCs w:val="18"/>
          <w:color w:val="212529"/>
        </w:rPr>
        <w:t>not experienced any material impact to our internal controls over financial reporting despite the fact that most of our employees are working remotely due to the COVID-19 pandemic. We are continually monitoring and assessing the COVID-19 situation on our internal controls to minimize the impact on their design and operating effectiveness.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its profitability. Adverse developments in existing litigation claims or legal proceedings involving the Company or new claims could require it to establish or increase litigation reserves or enter into unfavorable settlements or satisfy judgments for monetary damages for amounts in excess of current reserves, which could adversely affect its financial results. The Company believes the outcome of any outstanding loss contingencies as of March 31, 2020 will not have a material adverse effect on its business, financial condition, results of operations or cash flows. In October 2019, the Company received a grand jury subpoena directed to Advantage On Call whose assets were purchased by the Company in 2017. The subpoena appears to relate to an investigation of home healthcare services and healthcare staffing services. The Company is cooperating with the investigation.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addition to the other information set forth in this report, careful consideration should be given to the factors discussed in Item 1A, “Risk Factors” in our Form 10-K for the year ended December 31, 2019, all of which could materially affect our business, financial condition or future results. The risks described herein and therein are not the only risks facing us. Additional risks and uncertainties not currently known to us, or that we currently deem to be immaterial, also may adversely affect our business, financial condition and/or operating results. The below Risk Factor has been updated to reflect the heightened impact of the COVID-19 pandemic since we filed our Annual Report on Form 10-K for the year ended December 31, 2019. As described herein, the COVID-19 pandemic may adversely affect our business and financial results and may also have the effect of exacerbating many of the other risks described in this section and in the “Risk Factors” section of our Annual Report on Form 10-K for the year ended December 31, 2019.</w:t>
      </w:r>
    </w:p>
    <w:p>
      <w:pPr>
        <w:spacing w:after="0" w:line="203"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Our operations and financial results have been and may continue to be negatively affected by the current ongoing COVID-19 pandemic and could be materially harmed by COVID-19 or the emergence and effects related to any other pandemics, epidemics, or other public health crisis.</w:t>
      </w:r>
    </w:p>
    <w:p>
      <w:pPr>
        <w:spacing w:after="0" w:line="1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operations and financial results have been and may continue to be adversely affected by the ongoing COVID-19 pandemic and changes in national or global economic conditions related thereto.</w:t>
      </w:r>
    </w:p>
    <w:p>
      <w:pPr>
        <w:spacing w:after="0" w:line="19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COVID-19 pandemic, certain of our healthcare professionals have been exposed, diagnosed and or quarantined as a result of the virus. If, as a result of such risks, our healthcare professionals do not want to, or are not able to provide services, it could negatively impact our supply and ability to provide staffing services to our customers. In addition, patients have canceled or deferred elective procedures or otherwise avoided medical treatment resulting in reduced census at our hospital customers. Additionally, healthcare facilities, such as ambulatory surgi-centers and other outpatient facilities, have been shut down temporarily. This has resulted in the cancellation of certain of our healthcare professionals (e.g. operating room nurses, physical therapists, surgeons, advanced practitioners, and many others) working at those facilities or under contract to provide services at those facilities in the future. In addition, the normal operations of our healthcare facility customers may be disrupted and impacted in ways that are difficult to predict and their financials could be adversely affected. This would not just negatively impact our staffing and workforce solutions business, but would also have an adverse effect on our search businesses (contingent, permanent, and retained) as healthcare customers may delay making decisions for executives, physicians, nurses, and other full-time staff. In addition to the negative impact on demand from our hospital and healthcare facility customers, school closures in the wake of the COVID-19 pandemic have had an adverse impact on our school staffing.</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impact to our healthcare customers from COVID-19 or any other pandemic, epidemic, outbreak of an infectious disease or other public health crisis may also impact their ability to pay for our services timely or altogether, including invoices for services provided prior to such an event that were in process. Such a failure to pay for our services timely or altogether would have an impact on our collections, resulting in a negative financial impact on our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3" w:name="page34"/>
    <w:bookmarkEnd w:id="33"/>
    <w:p>
      <w:pPr>
        <w:spacing w:after="0" w:line="301" w:lineRule="auto"/>
        <w:rPr>
          <w:sz w:val="20"/>
          <w:szCs w:val="20"/>
          <w:color w:val="auto"/>
        </w:rPr>
      </w:pPr>
      <w:r>
        <w:rPr>
          <w:rFonts w:ascii="Arial" w:cs="Arial" w:eastAsia="Arial" w:hAnsi="Arial"/>
          <w:sz w:val="16"/>
          <w:szCs w:val="16"/>
          <w:color w:val="auto"/>
        </w:rPr>
        <w:t>Finally, while we have disaster plans in place for all of our locations and we are able to operate remotely, the potential continuation of the COVID-19 pandemic, or the emergence of another pandemic, epidemic, or outbreak is difficult to predict and could adversely affect our operations. In particular, our operations are headquartered in South Florida and if our employees are working remotely as a result of a public health crisis during hurricane season and electricity, wi-fi and other resources are temporarily restricted or not available, it could negatively impact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95" w:right="5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4"/>
          </w:tcPr>
          <w:p>
            <w:pPr>
              <w:spacing w:after="0"/>
              <w:rPr>
                <w:rFonts w:ascii="Arial" w:cs="Arial" w:eastAsia="Arial" w:hAnsi="Arial"/>
                <w:sz w:val="18"/>
                <w:szCs w:val="18"/>
                <w:u w:val="single" w:color="auto"/>
                <w:color w:val="0000FF"/>
                <w:w w:val="91"/>
              </w:rPr>
            </w:pPr>
            <w:hyperlink w:anchor="page37">
              <w:r>
                <w:rPr>
                  <w:rFonts w:ascii="Arial" w:cs="Arial" w:eastAsia="Arial" w:hAnsi="Arial"/>
                  <w:sz w:val="18"/>
                  <w:szCs w:val="18"/>
                  <w:u w:val="single" w:color="auto"/>
                  <w:color w:val="0000FF"/>
                  <w:w w:val="91"/>
                </w:rPr>
                <w:t>Certification pursuant to Rule 13a-14(a) and Rule 15d-14 (a) by Kevin C. Clark, Co-Founder,</w:t>
              </w:r>
            </w:hyperlink>
          </w:p>
        </w:tc>
        <w:tc>
          <w:tcPr>
            <w:tcW w:w="2440" w:type="dxa"/>
            <w:vAlign w:val="bottom"/>
            <w:tcBorders>
              <w:bottom w:val="single" w:sz="8" w:color="0000FF"/>
            </w:tcBorders>
            <w:gridSpan w:val="3"/>
          </w:tcPr>
          <w:p>
            <w:pPr>
              <w:ind w:left="40"/>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Chief Executive Officer, Director</w:t>
              </w:r>
            </w:hyperlink>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bottom w:val="single" w:sz="8" w:color="0000FF"/>
            </w:tcBorders>
            <w:gridSpan w:val="2"/>
          </w:tcPr>
          <w:p>
            <w:pPr>
              <w:spacing w:after="0" w:line="156" w:lineRule="exact"/>
              <w:rPr>
                <w:rFonts w:ascii="Arial" w:cs="Arial" w:eastAsia="Arial" w:hAnsi="Arial"/>
                <w:sz w:val="18"/>
                <w:szCs w:val="18"/>
                <w:color w:val="0000FF"/>
                <w:w w:val="93"/>
              </w:rPr>
            </w:pPr>
            <w:hyperlink w:anchor="page37">
              <w:r>
                <w:rPr>
                  <w:rFonts w:ascii="Arial" w:cs="Arial" w:eastAsia="Arial" w:hAnsi="Arial"/>
                  <w:sz w:val="18"/>
                  <w:szCs w:val="18"/>
                  <w:color w:val="0000FF"/>
                  <w:w w:val="93"/>
                </w:rPr>
                <w:t>(Principal Executive Officer)</w:t>
              </w:r>
            </w:hyperlink>
          </w:p>
        </w:tc>
        <w:tc>
          <w:tcPr>
            <w:tcW w:w="4660" w:type="dxa"/>
            <w:vAlign w:val="bottom"/>
            <w:gridSpan w:val="2"/>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9"/>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Certification pursuant to Rule 13a-14(a) and Rule 15d-14 (a) by William J. Burns, EVP &amp; Chief Financial Officer (Principal</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Accounting and Financial Officer)</w:t>
              </w:r>
            </w:hyperlink>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8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Certification pursuant to 18 U.S.C. Section 1350 by Kevin C. Clark, Co-Founder, Chief Executive Officer, Director (Principal</w:t>
              </w:r>
            </w:hyperlink>
          </w:p>
        </w:tc>
        <w:tc>
          <w:tcPr>
            <w:tcW w:w="20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6"/>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Executive Officer)</w:t>
              </w:r>
            </w:hyperlink>
          </w:p>
        </w:tc>
        <w:tc>
          <w:tcPr>
            <w:tcW w:w="20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94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8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Certification pursuant to 18 U.S.C. Section 1350 by William J. Burns, EVP &amp; Chief Financial Officer (Principal Accounting and</w:t>
              </w:r>
            </w:hyperlink>
          </w:p>
        </w:tc>
        <w:tc>
          <w:tcPr>
            <w:tcW w:w="360" w:type="dxa"/>
            <w:vAlign w:val="bottom"/>
          </w:tcPr>
          <w:p>
            <w:pPr>
              <w:spacing w:after="0"/>
              <w:rPr>
                <w:sz w:val="22"/>
                <w:szCs w:val="22"/>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bottom w:val="single" w:sz="8" w:color="0000FF"/>
            </w:tcBorders>
          </w:tcPr>
          <w:p>
            <w:pPr>
              <w:spacing w:after="0" w:line="156" w:lineRule="exact"/>
              <w:rPr>
                <w:rFonts w:ascii="Arial" w:cs="Arial" w:eastAsia="Arial" w:hAnsi="Arial"/>
                <w:sz w:val="18"/>
                <w:szCs w:val="18"/>
                <w:color w:val="0000FF"/>
                <w:w w:val="95"/>
              </w:rPr>
            </w:pPr>
            <w:hyperlink w:anchor="page40">
              <w:r>
                <w:rPr>
                  <w:rFonts w:ascii="Arial" w:cs="Arial" w:eastAsia="Arial" w:hAnsi="Arial"/>
                  <w:sz w:val="18"/>
                  <w:szCs w:val="18"/>
                  <w:color w:val="0000FF"/>
                  <w:w w:val="95"/>
                </w:rPr>
                <w:t>Financial Officer)</w:t>
              </w:r>
            </w:hyperlink>
          </w:p>
        </w:tc>
        <w:tc>
          <w:tcPr>
            <w:tcW w:w="7940" w:type="dxa"/>
            <w:vAlign w:val="bottom"/>
            <w:gridSpan w:val="7"/>
          </w:tcPr>
          <w:p>
            <w:pPr>
              <w:spacing w:after="0"/>
              <w:rPr>
                <w:sz w:val="13"/>
                <w:szCs w:val="13"/>
                <w:color w:val="auto"/>
              </w:rPr>
            </w:pPr>
          </w:p>
        </w:tc>
        <w:tc>
          <w:tcPr>
            <w:tcW w:w="360" w:type="dxa"/>
            <w:vAlign w:val="bottom"/>
          </w:tcPr>
          <w:p>
            <w:pPr>
              <w:spacing w:after="0"/>
              <w:rPr>
                <w:sz w:val="13"/>
                <w:szCs w:val="13"/>
                <w:color w:val="auto"/>
              </w:rPr>
            </w:pPr>
          </w:p>
        </w:tc>
      </w:tr>
      <w:tr>
        <w:trPr>
          <w:trHeight w:val="318"/>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324"/>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Filed herewith</w:t>
            </w:r>
          </w:p>
        </w:tc>
      </w:tr>
      <w:tr>
        <w:trPr>
          <w:trHeight w:val="324"/>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5" w:name="page36"/>
    <w:bookmarkEnd w:id="35"/>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CROSS COUNTRY HEALTHCARE, INC.</w:t>
      </w:r>
    </w:p>
    <w:p>
      <w:pPr>
        <w:spacing w:after="0" w:line="121" w:lineRule="exact"/>
        <w:rPr>
          <w:sz w:val="20"/>
          <w:szCs w:val="20"/>
          <w:color w:val="auto"/>
        </w:rPr>
      </w:pPr>
    </w:p>
    <w:p>
      <w:pPr>
        <w:ind w:left="20"/>
        <w:spacing w:after="0"/>
        <w:tabs>
          <w:tab w:leader="none" w:pos="5680" w:val="left"/>
          <w:tab w:leader="none" w:pos="618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89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Executive Vice President &amp; Chief Financial Officer (Principal</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680"/>
          </w:cols>
          <w:pgMar w:left="320" w:top="891" w:right="8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tabs>
          <w:tab w:leader="none" w:pos="640" w:val="left"/>
          <w:tab w:leader="none" w:pos="298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31750</wp:posOffset>
            </wp:positionV>
            <wp:extent cx="5212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Co-Founder &amp; Chief Executive Officer</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640" w:val="left"/>
          <w:tab w:leader="none" w:pos="298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31750</wp:posOffset>
            </wp:positionV>
            <wp:extent cx="5212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March 31, 2020, (the "Periodic Report"), I, Kevin C. Clark, Co-Founder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30" w:lineRule="exact"/>
        <w:rPr>
          <w:sz w:val="20"/>
          <w:szCs w:val="20"/>
          <w:color w:val="auto"/>
        </w:rPr>
      </w:pPr>
    </w:p>
    <w:p>
      <w:pPr>
        <w:ind w:left="20"/>
        <w:spacing w:after="0"/>
        <w:tabs>
          <w:tab w:leader="none" w:pos="700" w:val="left"/>
          <w:tab w:leader="none" w:pos="3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31750</wp:posOffset>
            </wp:positionV>
            <wp:extent cx="51866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86680" cy="8255"/>
                    </a:xfrm>
                    <a:prstGeom prst="rect">
                      <a:avLst/>
                    </a:prstGeom>
                    <a:noFill/>
                  </pic:spPr>
                </pic:pic>
              </a:graphicData>
            </a:graphic>
          </wp:anchor>
        </w:drawing>
      </w:r>
    </w:p>
    <w:p>
      <w:pPr>
        <w:spacing w:after="0" w:line="5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Co-Founder &amp; Chief Executive Officer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March 31, 2020,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30" w:lineRule="exact"/>
        <w:rPr>
          <w:sz w:val="20"/>
          <w:szCs w:val="20"/>
          <w:color w:val="auto"/>
        </w:rPr>
      </w:pPr>
    </w:p>
    <w:p>
      <w:pPr>
        <w:ind w:left="20"/>
        <w:spacing w:after="0"/>
        <w:tabs>
          <w:tab w:leader="none" w:pos="640" w:val="left"/>
          <w:tab w:leader="none" w:pos="298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31750</wp:posOffset>
            </wp:positionV>
            <wp:extent cx="5212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pacing w:after="0" w:line="373"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2020-05-08T05:04:43Z</dcterms:created>
  <dcterms:modified xsi:type="dcterms:W3CDTF">2020-05-08T05:04:43Z</dcterms:modified>
</cp:coreProperties>
</file>