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700" w:right="2180" w:hanging="1479"/>
        <w:spacing w:after="0" w:line="344" w:lineRule="auto"/>
        <w:tabs>
          <w:tab w:leader="none" w:pos="24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6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476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36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5201 Congress Avenue</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33,010,910 shares of Common Stock, par value $0.0001 per share, as of October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2015,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5"/>
              </w:rPr>
              <w:t>SEPTEMBER 30, 2016</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$3,833 in 2016 and $4,045 in 2015</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146,873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183,410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158,745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$42,191 in 2016 and $39,368 in 2015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77,376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95,096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of accumulated amortization of $43,664 in 2016 and $39,754 in 2015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82,914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364,736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365,595</w:t>
            </w:r>
          </w:p>
        </w:tc>
      </w:tr>
      <w:tr>
        <w:trPr>
          <w:trHeight w:val="230"/>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45,397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41,098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 and capital lease obligations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8,071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purchase price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5,291</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81,301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18,475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30,070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4,826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224,251</w:t>
            </w: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254,108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(112,056)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158,696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140,848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159,243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141,344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214,988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195,692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611,014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574,273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156,778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144,206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446,912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427,387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121,284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205,659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188,825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613,536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559,364</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loss on derivative liability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income (loss) per share attributable to common shareholders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32,221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31,541</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32,088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31,412</w:t>
            </w: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32,168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10,881</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w w:val="97"/>
              </w:rPr>
              <w:t>Income tax (benefit) expense related to items of other comprehensive loss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35"/>
        </w:trPr>
        <w:tc>
          <w:tcPr>
            <w:tcW w:w="59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10,444</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10,881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loss on derivative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18,866</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business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settlements - Medical Staffing Network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Acquisition-related settlements - Mediscan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 related to sale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borrowing on Senior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 on Second Lien Term Loan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on Senior Secured Asset-Based revolving credit facility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Senior Secured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 on Term Loan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paid for shares withheld for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payments to noncontrolling shareholder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3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24,584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544"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2016.</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2015 included in the Company’s Annual Report on Form 10-K as filed with the Securities and Exchange Commission. The December 31, 2015 condensed consolidated balance sheet included herein was derived from the December 31, 2015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 See Note 12 - Segment Data.</w:t>
      </w:r>
    </w:p>
    <w:p>
      <w:pPr>
        <w:spacing w:after="0" w:line="221" w:lineRule="exact"/>
        <w:rPr>
          <w:sz w:val="20"/>
          <w:szCs w:val="20"/>
          <w:color w:val="auto"/>
        </w:rPr>
      </w:pPr>
    </w:p>
    <w:p>
      <w:pPr>
        <w:ind w:right="604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share-based compensation, accruals for health, workers’ compensation and professional liability claims, valuation of deferred tax assets and the purchase price allocation, derivative liability, legal contingencies, future contingent considerations,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2015, the balance in the accrued restructuring liability was $0.4 million, which was comprised of $0.1 million of post-employment benefits and $0.3 million of exit liabilities. During the three and nine months ended September 30, 2016, the Company incurred a restructuring charge of $0.6 million related to a cost savings initiative, which consisted of $0.4 million in post-employment benefits and $0.2 million of exit liabilities related to lease consolidations. During the three and nine months ended September 30, 2016, the Company paid $0.1 million and $0.3 million, respectively, relating to its restructuring liability. The payments made during the three months ended September 30, 2016 related to post-employment benefits, while the payments made during the nine months ended September 30, 2016 related to $0.2 million in post-employment benefits and $0.1 million in exit liabilities. As of September 30, 2016, the balance in the accrued restructuring liability was $0.7 million, which was comprised of $0.3 million of post-employment benefits and $0.4 million of exit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September 2015, the Financial Accounting Standards Board (FASB) issued Accounting Standards Update (ASU) No. 2015-16,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805), Simplifying the Accounting for Measurement-Period Adjustments. </w:t>
      </w:r>
      <w:r>
        <w:rPr>
          <w:rFonts w:ascii="Arial" w:cs="Arial" w:eastAsia="Arial" w:hAnsi="Arial"/>
          <w:sz w:val="18"/>
          <w:szCs w:val="18"/>
          <w:color w:val="auto"/>
        </w:rPr>
        <w:t>This ASU requires that an acquirer recognize adjustments to provisional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are identified during the measurement period in the reporting period in which the adjustment amounts are determined. Prior to the issuance of the ASU, entities were required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8" w:name="page9"/>
    <w:bookmarkEnd w:id="8"/>
    <w:p>
      <w:pPr>
        <w:ind w:right="20"/>
        <w:spacing w:after="0" w:line="264" w:lineRule="auto"/>
        <w:rPr>
          <w:sz w:val="20"/>
          <w:szCs w:val="20"/>
          <w:color w:val="auto"/>
        </w:rPr>
      </w:pPr>
      <w:r>
        <w:rPr>
          <w:rFonts w:ascii="Arial" w:cs="Arial" w:eastAsia="Arial" w:hAnsi="Arial"/>
          <w:sz w:val="18"/>
          <w:szCs w:val="18"/>
          <w:color w:val="auto"/>
        </w:rPr>
        <w:t>retrospectively apply adjustments made to provisional amounts recognized in a business combination. The Company adopted this guidance in the first quarter of 2016, with no impact on its financial position and results of operations upon adoption. This new guidance may impact the Company for potential measurement adjustments related to its 2015 acquisition. See Note 3 - Acquisitions.</w:t>
      </w:r>
    </w:p>
    <w:p>
      <w:pPr>
        <w:spacing w:after="0" w:line="1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 - 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to help entities evaluate the accounting for fees paid by a customer in a cloud computing arrangement.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provides guidance to customers about whether a cloud computing arrangement includes a software license. If a cloud computing arrangement includes a software license element, then the customer should account for the software license element arrangement consistent with the acquisition of other software licenses. If a cloud computing arrangement does not include a software license, the customer should account for the arrangement as a service contract. The Company prospectively adopted this guidance in the first quarter of 2016, with no impact on its condensed consolidated financial statements.</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This guidance requires that debt issuance costs related to a recognized debt liability be presented in the balance sheet as a direct deduction from the carrying amount of that debt liability. The Company adopted this guidance in the first quarter of 2016, and reclassified $0.5 million of the Company's net debt issuance costs to long-term debt and capital lease obligations in its condensed consolidated balance sheets as of September 30, 2016 and December 31, 2015.</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In the first quarter of 2016, the net working capital adjustment was settled consistent with the receivable balance as of December 31, 2015.</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sellers are also eligible to receive an earnout based on Mediscan's 2016 and 2017 performance that could provide up to an additional $7.0 million of cash. In connection with the Mediscan acquisition, the Company assumed additional contingent purchase price liabilities for a previously acquired business that are payable annually based on specific performance criteria for the 2016 through 2019 years. As of September 30, 2016, a total of $4.2 million was estimated for the fair value of these contingent consideration payments and accordingly, is included in other current liabilities and contingent consideration on the condensed consolidated balance sheets. See Note 10 - Fair Value Measurements. The shares of Common Stock issued in connection with the acquisition were subject to a lockup period, which ended April 30, 2016.</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The acquisition has been accounted for in accordance with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using the acquisition method of accounting. Mediscan's results of operations are included in the consolidated statements of operations from October 30, 2015 and have been included in the Company's Nurse and Allied Staffing business segment. As such, the associated goodwill related to the acquisition is fully allocated to Nurse and Allied Staffing.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following unaudited pro forma financial information approximates the consolidated results of operations of the Company as if the Mediscan acquisition had occurred as of January 1, 2015,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results are not necessarily indicative of future results as they do not include incremental investments in support functions, elimination of costs for integration or operating synergies or an estimate of any impact 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9" w:name="page10"/>
    <w:bookmarkEnd w:id="9"/>
    <w:p>
      <w:pPr>
        <w:ind w:right="620"/>
        <w:spacing w:after="0" w:line="277" w:lineRule="auto"/>
        <w:rPr>
          <w:sz w:val="20"/>
          <w:szCs w:val="20"/>
          <w:color w:val="auto"/>
        </w:rPr>
      </w:pPr>
      <w:r>
        <w:rPr>
          <w:rFonts w:ascii="Arial" w:cs="Arial" w:eastAsia="Arial" w:hAnsi="Arial"/>
          <w:sz w:val="18"/>
          <w:szCs w:val="18"/>
          <w:color w:val="auto"/>
        </w:rPr>
        <w:t>interest expense resulting from the operating cash flow of the acquired business, among other adjustments that could be made in the future but are not factually supportable on the date of the transaction.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center"/>
              <w:ind w:right="172"/>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9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September 30, 2015</w:t>
            </w: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3"/>
        </w:trPr>
        <w:tc>
          <w:tcPr>
            <w:tcW w:w="9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right="152"/>
              <w:spacing w:after="0"/>
              <w:rPr>
                <w:sz w:val="20"/>
                <w:szCs w:val="20"/>
                <w:color w:val="auto"/>
              </w:rPr>
            </w:pPr>
            <w:r>
              <w:rPr>
                <w:rFonts w:ascii="Arial" w:cs="Arial" w:eastAsia="Arial" w:hAnsi="Arial"/>
                <w:sz w:val="16"/>
                <w:szCs w:val="16"/>
                <w:color w:val="auto"/>
                <w:w w:val="90"/>
              </w:rPr>
              <w:t>(unaudited, amounts in</w:t>
            </w:r>
          </w:p>
        </w:tc>
      </w:tr>
      <w:tr>
        <w:trPr>
          <w:trHeight w:val="206"/>
        </w:trPr>
        <w:tc>
          <w:tcPr>
            <w:tcW w:w="9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center"/>
              <w:ind w:right="172"/>
              <w:spacing w:after="0"/>
              <w:rPr>
                <w:sz w:val="20"/>
                <w:szCs w:val="20"/>
                <w:color w:val="auto"/>
              </w:rPr>
            </w:pPr>
            <w:r>
              <w:rPr>
                <w:rFonts w:ascii="Arial" w:cs="Arial" w:eastAsia="Arial" w:hAnsi="Arial"/>
                <w:sz w:val="16"/>
                <w:szCs w:val="16"/>
                <w:color w:val="auto"/>
                <w:w w:val="88"/>
              </w:rPr>
              <w:t>thousands)</w:t>
            </w:r>
          </w:p>
        </w:tc>
      </w:tr>
      <w:tr>
        <w:trPr>
          <w:trHeight w:val="195"/>
        </w:trPr>
        <w:tc>
          <w:tcPr>
            <w:tcW w:w="9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603,495</w:t>
            </w:r>
          </w:p>
        </w:tc>
      </w:tr>
      <w:tr>
        <w:trPr>
          <w:trHeight w:val="189"/>
        </w:trPr>
        <w:tc>
          <w:tcPr>
            <w:tcW w:w="9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11,964</w:t>
            </w:r>
          </w:p>
        </w:tc>
      </w:tr>
      <w:tr>
        <w:trPr>
          <w:trHeight w:val="189"/>
        </w:trPr>
        <w:tc>
          <w:tcPr>
            <w:tcW w:w="9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189"/>
        </w:trPr>
        <w:tc>
          <w:tcPr>
            <w:tcW w:w="9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r>
      <w:tr>
        <w:trPr>
          <w:trHeight w:val="432"/>
        </w:trPr>
        <w:tc>
          <w:tcPr>
            <w:tcW w:w="9140" w:type="dxa"/>
            <w:vAlign w:val="bottom"/>
          </w:tcPr>
          <w:p>
            <w:pPr>
              <w:spacing w:after="0"/>
              <w:rPr>
                <w:sz w:val="20"/>
                <w:szCs w:val="20"/>
                <w:color w:val="auto"/>
              </w:rPr>
            </w:pPr>
            <w:r>
              <w:rPr>
                <w:rFonts w:ascii="Arial" w:cs="Arial" w:eastAsia="Arial" w:hAnsi="Arial"/>
                <w:sz w:val="18"/>
                <w:szCs w:val="18"/>
                <w:b w:val="1"/>
                <w:bCs w:val="1"/>
                <w:color w:val="auto"/>
              </w:rPr>
              <w:t>4.  DISPOSAL</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Country Education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21, 2015, the Company's Board of Directors approved an agreement to sell the Company's education seminars business, Cross Country Education, LLC ("CCE"). CCE provided in-person seminars to healthcare professionals and was non-core to the Company’s business. The Company used the net proceeds from the transaction to finance the Mediscan acquisition in the fourth quarter of 2015. Since the disposal of the education seminars business did not represent a strategic shift that would have a major effect on the Company’s operations and financial results, it was not reflected as discontinued operations.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2015, the Company entered into an Agreement and Plan of Merger to sell its wholly-owned subsidiary, CCE, to a third party ("Buyer"). On August 31, 2015, the Company completed the sale of CCE to the Buyer. The Company received $8.0 million in cash, subject to a net working capital adjustment, of which $0.5 million was held in escrow for a period of 12 months following the closing to provide partial security to Buyer in the event of any breach of the representations, warranties and covenants of the Company. In September 2016, the full amount of escrow, which had been reflected as an escrow receivable, was released to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also included an earnout of up to $0.5 million related to the performance of CCE for the year ended December 31, 2015, which was not made. See Note 10 -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CCE were included in the Other Human Capital Management Services segment. See Note 12 - Segment Data for further information.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pre-tax loss of $2.2 million related to the sale of the business, which is included in income (loss) from operations in its condensed consolidated statements of operations for the three and nine months ended September 30, 2015.</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September 30, 2016 and December 31, 2015.</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was no income tax impact related to foreign currency translation adjustments for the three and nine month periods ended September 30, 2016 and September 30,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0" w:name="page11"/>
    <w:bookmarkEnd w:id="10"/>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20" w:type="dxa"/>
            <w:vAlign w:val="bottom"/>
            <w:gridSpan w:val="4"/>
          </w:tcPr>
          <w:p>
            <w:pPr>
              <w:jc w:val="right"/>
              <w:ind w:right="133"/>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00" w:type="dxa"/>
            <w:vAlign w:val="bottom"/>
            <w:gridSpan w:val="3"/>
          </w:tcPr>
          <w:p>
            <w:pPr>
              <w:jc w:val="right"/>
              <w:ind w:right="393"/>
              <w:spacing w:after="0"/>
              <w:rPr>
                <w:sz w:val="20"/>
                <w:szCs w:val="20"/>
                <w:color w:val="auto"/>
              </w:rPr>
            </w:pPr>
            <w:r>
              <w:rPr>
                <w:rFonts w:ascii="Arial" w:cs="Arial" w:eastAsia="Arial" w:hAnsi="Arial"/>
                <w:sz w:val="18"/>
                <w:szCs w:val="18"/>
                <w:b w:val="1"/>
                <w:bCs w:val="1"/>
                <w:color w:val="auto"/>
                <w:w w:val="97"/>
              </w:rPr>
              <w:t>September 30,</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6"/>
          </w:tcPr>
          <w:p>
            <w:pPr>
              <w:ind w:left="380"/>
              <w:spacing w:after="0"/>
              <w:rPr>
                <w:sz w:val="20"/>
                <w:szCs w:val="20"/>
                <w:color w:val="auto"/>
              </w:rPr>
            </w:pPr>
            <w:r>
              <w:rPr>
                <w:rFonts w:ascii="Arial" w:cs="Arial" w:eastAsia="Arial" w:hAnsi="Arial"/>
                <w:sz w:val="14"/>
                <w:szCs w:val="14"/>
                <w:color w:val="auto"/>
              </w:rPr>
              <w:t>(amounts in thousands, except per share data)</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5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Net income attributable to common shareholders - Basic</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14,066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on Convertible Notes</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(7,105)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80" w:type="dxa"/>
            <w:vAlign w:val="bottom"/>
          </w:tcPr>
          <w:p>
            <w:pPr>
              <w:ind w:left="180"/>
              <w:spacing w:after="0"/>
              <w:rPr>
                <w:sz w:val="20"/>
                <w:szCs w:val="20"/>
                <w:color w:val="auto"/>
              </w:rPr>
            </w:pPr>
            <w:r>
              <w:rPr>
                <w:rFonts w:ascii="Arial" w:cs="Arial" w:eastAsia="Arial" w:hAnsi="Arial"/>
                <w:sz w:val="18"/>
                <w:szCs w:val="18"/>
                <w:color w:val="auto"/>
                <w:w w:val="97"/>
              </w:rPr>
              <w:t>Net income (loss) attributable to common shareholders -</w:t>
            </w:r>
          </w:p>
        </w:tc>
        <w:tc>
          <w:tcPr>
            <w:tcW w:w="1020" w:type="dxa"/>
            <w:vAlign w:val="bottom"/>
            <w:tcBorders>
              <w:top w:val="single" w:sz="8" w:color="auto"/>
            </w:tcBorders>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8"/>
                <w:szCs w:val="18"/>
                <w:color w:val="auto"/>
              </w:rPr>
            </w:pPr>
          </w:p>
        </w:tc>
        <w:tc>
          <w:tcPr>
            <w:tcW w:w="980" w:type="dxa"/>
            <w:vAlign w:val="bottom"/>
            <w:tcBorders>
              <w:top w:val="single" w:sz="8" w:color="auto"/>
            </w:tcBorders>
            <w:vMerge w:val="restart"/>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5,009</w:t>
            </w:r>
          </w:p>
        </w:tc>
        <w:tc>
          <w:tcPr>
            <w:tcW w:w="2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5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Basic</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32,221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31,541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Effective of dilutive shares: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Share-based awards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4580" w:type="dxa"/>
            <w:vAlign w:val="bottom"/>
          </w:tcPr>
          <w:p>
            <w:pPr>
              <w:ind w:left="680"/>
              <w:spacing w:after="0"/>
              <w:rPr>
                <w:sz w:val="20"/>
                <w:szCs w:val="20"/>
                <w:color w:val="auto"/>
              </w:rPr>
            </w:pPr>
            <w:r>
              <w:rPr>
                <w:rFonts w:ascii="Arial" w:cs="Arial" w:eastAsia="Arial" w:hAnsi="Arial"/>
                <w:sz w:val="18"/>
                <w:szCs w:val="18"/>
                <w:color w:val="auto"/>
              </w:rPr>
              <w:t>Convertible Notes</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10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36,255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32,168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income per share attributable to common shareholders -</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 Diluted</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6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2015, the Convertible Notes would have been anti-dilutive if converted at the beginning of the respective periods and therefore, amounts are not applicable.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4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00" w:type="dxa"/>
            <w:vAlign w:val="bottom"/>
            <w:gridSpan w:val="4"/>
          </w:tcPr>
          <w:p>
            <w:pPr>
              <w:jc w:val="center"/>
              <w:ind w:right="47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4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8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2015</w:t>
            </w:r>
          </w:p>
        </w:tc>
      </w:tr>
      <w:tr>
        <w:trPr>
          <w:trHeight w:val="34"/>
        </w:trPr>
        <w:tc>
          <w:tcPr>
            <w:tcW w:w="4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5"/>
        </w:trPr>
        <w:tc>
          <w:tcPr>
            <w:tcW w:w="4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w w:val="92"/>
              </w:rPr>
              <w:t>(amounts in 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36"/>
        </w:trPr>
        <w:tc>
          <w:tcPr>
            <w:tcW w:w="45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Convertible Notes and share-based awards</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3,521</w:t>
            </w: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64" w:right="239" w:bottom="1440" w:gutter="0" w:footer="0" w:header="0"/>
          <w:type w:val="continuous"/>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and December 31, 2015,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September 30, 2016</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15,646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15,579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31,225</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14,150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41,212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3,603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Trade names, definite-lived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79,240</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42,279</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36,961</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85,232</w:t>
            </w:r>
          </w:p>
        </w:tc>
        <w:tc>
          <w:tcPr>
            <w:tcW w:w="2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38,419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46,813</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Arial" w:cs="Arial" w:eastAsia="Arial" w:hAnsi="Arial"/>
                <w:sz w:val="18"/>
                <w:szCs w:val="18"/>
                <w:color w:val="auto"/>
                <w:w w:val="90"/>
              </w:rPr>
              <w:t>Intangible assets not subject to</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95,096</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36,101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112,828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estimated annual amortization expense is as follows: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Through Year Ending December 31:</w:t>
            </w:r>
          </w:p>
        </w:tc>
        <w:tc>
          <w:tcPr>
            <w:tcW w:w="5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2016</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2018</w:t>
            </w: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19,793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36,961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vMerge w:val="restart"/>
          </w:tcPr>
          <w:p>
            <w:pPr>
              <w:jc w:val="right"/>
              <w:ind w:right="351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1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And Allied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Staffing</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Staffing</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2015</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Aggregate goodwill acquired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364,717</w:t>
            </w: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Sale of CCE</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impairment loss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r>
      <w:tr>
        <w:trPr>
          <w:trHeight w:val="237"/>
        </w:trPr>
        <w:tc>
          <w:tcPr>
            <w:tcW w:w="4200" w:type="dxa"/>
            <w:vAlign w:val="bottom"/>
          </w:tcPr>
          <w:p>
            <w:pPr>
              <w:ind w:left="160"/>
              <w:spacing w:after="0"/>
              <w:rPr>
                <w:sz w:val="20"/>
                <w:szCs w:val="20"/>
                <w:color w:val="auto"/>
              </w:rPr>
            </w:pPr>
            <w:r>
              <w:rPr>
                <w:rFonts w:ascii="Arial" w:cs="Arial" w:eastAsia="Arial" w:hAnsi="Arial"/>
                <w:sz w:val="18"/>
                <w:szCs w:val="18"/>
                <w:color w:val="auto"/>
              </w:rPr>
              <w:t>Goodwill, net of impairment loss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95,096</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4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Changes to aggregate goodwill in 2016</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(17,720)</w:t>
            </w:r>
          </w:p>
        </w:tc>
      </w:tr>
      <w:tr>
        <w:trPr>
          <w:trHeight w:val="318"/>
        </w:trPr>
        <w:tc>
          <w:tcPr>
            <w:tcW w:w="4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September 30, 2016</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Aggregate goodwill acquired</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302,005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19,307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364,717</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Sale of CCE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Accumulated impairment loss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(277,452)</w:t>
            </w:r>
          </w:p>
        </w:tc>
      </w:tr>
      <w:tr>
        <w:trPr>
          <w:trHeight w:val="27"/>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Goodwill, net of impairment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77,376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three months ended June 30, 2016 and nine months ended September 30, 2016, total impairment charges on the condensed consolidated statement of operations were $24.3 million and entirely related to the Physician Staffing reporting unit. The impairment charges in the second quarter of 2016 included $17.7 million related to goodwill, $0.6 million related to trade names, and $6.0 million related to customer relationships. In the second quarter of 2016, the Physician Staffing reporting unit continued to under-perform relative to management’s expectations. The lower than expected revenue was driven by lower booking volumes partly due to the loss of customers, and margins that were negatively impacted from continued investments in the business all through the first half of 2016. The Company considered these factors to be impairment indicators that warranted impairment testing of goodwill and other intangible assets as described below. There were no such indicators of impairment noted during the three months ended September 30, 2016.</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2016 Goodwill Impairment</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second quarter of 2016, in order to determine the fair value of the Physician Staffing reporting unit, the Company used a combination of an income and a market approach to calculate the fair value of the Physician Staffing reporting unit. The discounted cash flow that served as the primary basis for the income approach was based on the Company’s discrete financial forecast of revenue, gross profit margins, operating costs and cash flows. It also considered historical and estimated future results, general economic and market conditions, as well as the impact of planned business and operational strategies. The assumptions used in the income approach included a discount rate of 11.5% and a terminal value growth rate of 3.0% for cash flows beyond the discrete forecast period of ten years.</w:t>
      </w:r>
    </w:p>
    <w:p>
      <w:pPr>
        <w:spacing w:after="0" w:line="11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Assumptions used in the market approach included valuation multiples based on an analysis of multiples for comparable public companies. The Company utilized total enterprise value/Earnings before Interest Taxes Depreciation and Amortization (EBITDA) ranging from 7.5 to 8.5.</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50% weighting was applied to the components of each approach to estimate the total fair value of goodwill. This weight is an estimate by management and was developed based on the specific characteristics, risks and uncertainties of the Physician Staffing reporting unit.</w:t>
      </w:r>
    </w:p>
    <w:p>
      <w:pPr>
        <w:spacing w:after="0" w:line="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a result of the testing, the Company compared the implied fair value of goodwill to its carrying amount and recorded a non-cash pre tax goodwill impairment charge of $17.7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Second Quarter 2016 Other Intangible Asset Impairment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Names</w:t>
      </w:r>
    </w:p>
    <w:p>
      <w:pPr>
        <w:spacing w:after="0" w:line="1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valued the Physician Staffing trade names based on a Relief From Royalty methodology using projected cash flows of an estimated royalty fee. The royalty rate was determined by a blended rate using the Market Royalty Rate Method and the Apportionment of Profit Method. The calculated value of the trade names was compared to its carrying amount and, as a result, the Company recorded a non-cash pre tax impairment charge of $0.6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valued the Physician Staffing customer relationships based on the Multi-Period Excess Earnings Method (MPEEM). The MPEEM estimates the fair value based on the present value of the allocated future economic benefits. The inputs include the projected revenue and associated expenses from the customers, an estimated attrition rate, and a discount rate of 13.5%. The Company performed a recoverability test on the asset group which customers are a part of and deemed customer relationships to be impaired. As a result, the calculated value of customer relationships was compared to its carrying amount and the Company recorded a non-cash pre tax impairment charge of $6.0 million.</w:t>
      </w:r>
    </w:p>
    <w:p>
      <w:pPr>
        <w:spacing w:after="0" w:line="9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based its fair value estimates on assumptions it believed to be reasonable, but such assumptions are subject to inherent uncertainty. Actual results may differ from those estimates.</w:t>
      </w:r>
    </w:p>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and December 31, 2015, 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2016</w:t>
            </w:r>
          </w:p>
        </w:tc>
        <w:tc>
          <w:tcPr>
            <w:tcW w:w="240" w:type="dxa"/>
            <w:vAlign w:val="bottom"/>
          </w:tcPr>
          <w:p>
            <w:pPr>
              <w:spacing w:after="0"/>
              <w:rPr>
                <w:sz w:val="20"/>
                <w:szCs w:val="20"/>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Unamortized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Discount and Debt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Discount and Debt</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Issuance 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Principal</w:t>
            </w:r>
          </w:p>
        </w:tc>
        <w:tc>
          <w:tcPr>
            <w:tcW w:w="14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6"/>
                <w:szCs w:val="16"/>
                <w:b w:val="1"/>
                <w:bCs w:val="1"/>
                <w:color w:val="auto"/>
                <w:w w:val="86"/>
              </w:rPr>
              <w:t>Issuance 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interest 2.77%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Senior Secured Asset-Based, weighted average interest 2.41%</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Second Lien Term Loan, interest 5.75%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(6,007)</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Convertible Notes derivative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75,629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88,360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w w:val="95"/>
              </w:rPr>
              <w:t>As of September 30, 2016, the aggregate scheduled maturities of debt are as follows: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Term Loan</w:t>
            </w: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Convertible Notes</w:t>
            </w: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Capital Leases</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w w:val="94"/>
              </w:rPr>
              <w:t>(amounts in thousands)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At December 31, 2015, the Company had a senior secured asset-based revolving credit facility ("First Lien Loan"), with a termination date of June 30, 2017, in the aggregate principal amount of up to $85.0 million, which included a subfacility for swingline loans up to an amount equal to 10% of the aggregate Revolver Commitments, as defined in the agreement, and a $35.0 million subfacility for standby letters of credit. The Company also had a five-year second lien term loan facility ("Second Lien Term Loan") in an aggregate principal amount of $30.0 million. The Company had the ability, at its option at any time, to prepay the Second Lien Term Loan in whole or in part at the redemption prices set forth therein, which ranged from 103% of the principal amount thereof for prepayments during the period July 1, 2015 through June 30, 2016, 102% of the principal amount thereof for prepayments during the period July 1, 2016 through June 30, 2017, and 100% of the principal amount thereof for prepayments after June 30,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22, 2016, the Company entered into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 The Term Loan is payable in quarterly installments, with the first payment made September 30, 2016, and each such installment being in the aggregate principal amount (subject to adjustment as a result of prepayments) equal to 1.25% of the principal amount for the first four installments, 1.875% for the next eight installments and 2.50% of the principal amount for the remaining installments.</w:t>
      </w:r>
    </w:p>
    <w:p>
      <w:pPr>
        <w:spacing w:after="0" w:line="101"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Proceeds of the Senior Credit Facilities were used primarily to refinance the Company’s First Lien Loan and Second Lien Term Loan and to pay related transaction fees and expenses, including a prepayment penalty of $0.6 million. In addition, as of June 22, 2016,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 of the Company and its subsidiaries.</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Subject to the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Less than 1.50:1.00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0.25%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1.50:1.00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2.00:1.00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0.40%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September 30, 2016, the Term Loan and Revolving Credit Facility bore interest at a rate equal to One Month LIBOR plus 225 basis points. The interest rate is subject to an increase of 200 basis points if an event of default exists under the Credit Agreement. The Company is required to pay a commitment fee on the average daily unused portion of the Revolving Credit Facility, based on the Applicable Margin which was 0.30% as of September 30, 2016.</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Senior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Credit Agreement contains customary representations, warranties, and affirmative covenants. The Credit Agreement also contains customary negative covenants, subject to some exceptions, on (i) indebtedness and preferred equity, (ii) liens, (iii) fundamental changes, (iv) investments, (v) restricted payments, and (vi) sale of assets and certain other restrictive agreements. The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 The Credit Agreement also includes two financial covenants, commencing with the fiscal quarter ending September 30, 2016: (i) limiting a maximum Consolidated Total Leverage ratio (as defined therein) to be no greater than</w:t>
      </w:r>
    </w:p>
    <w:p>
      <w:pPr>
        <w:spacing w:after="0" w:line="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3.50:1.00 for the fiscal quarters ending September 30, 2016 through June 30, 2017, 3.25:1.00 for the fiscal quarters ending September 30, 2017 through June 30, 2018, and 3.00:1.00 for each fiscal quarter ending thereafter and as adjusted pursuant to a Qualified Permitted Acquisition (as defined therein); and (ii) requiring a minimum Consolidated Fixed Charge Coverage ratio (as defined therein) as of the end of each fiscal quarter of 1.50:1.00. As of September 30, 2016, the Company was in compliance with the financial covenants and other covenants contained in the Credit Agreement.</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obligations under the Credit Agreement are guaranteed by all of the Company’s domestic wholly-owned subsidiaries. The obligations under the Credit Agreement are secured by a first-priority security interest in the Collateral (as defined therein).</w:t>
      </w:r>
    </w:p>
    <w:p>
      <w:pPr>
        <w:spacing w:after="0" w:line="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2016, the Company had $22.2 million letters of credit outstanding and $77.8 million available under the Revolving Credit Facility. The letters of credit relate to the Company’s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September 30, 2016, the Convertible Notes are convertible at the option of the holders thereof at any time into shares of the Company’s common stock, par value $0.0001 per share (Common Stock), at an initial conversion price of $7.10 per share, or 3,521,126 shares of Common Stock. After three years from the issuance date,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equal to the amount determined by dividing (i) such conversion amount by (ii) the</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98" w:right="21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t>conversion price in effect at the time of conversion provided that the number of shares of Common Stock issued upon conversion, when aggregated with the aggregate number of shares of Common Stock previously issued upon conversion cannot exceed 6,420,028 shares of Common Stock. If this share cap results in the issuance of fewer shares of Common Stock, the Company will pay to the holders of the Convertible Notes an amount in cash equal to the product of (i) the number of shares not delivered as a result of the cap and (ii) the 30-day VWAP as of the close of business on the Business Day immediately preceding the conversion date. No fractional shares of Common Stock will be issued upon conversion of the Conversion Notes. In lieu of fractional shares, the Company shall pay cash in respect of each fractional share multiplied by the 30-day VWAP as of the closing of business on the Business Day immediately preceding the conversion date as well as any unpaid accrued interest.</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CONVERTIBLE NOTES DERIVATIVE LIABILITY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Derivative financial instruments, as defined in ASC 815, </w:t>
      </w:r>
      <w:r>
        <w:rPr>
          <w:rFonts w:ascii="Arial" w:cs="Arial" w:eastAsia="Arial" w:hAnsi="Arial"/>
          <w:sz w:val="17"/>
          <w:szCs w:val="17"/>
          <w:i w:val="1"/>
          <w:iCs w:val="1"/>
          <w:color w:val="auto"/>
        </w:rPr>
        <w:t>Accounting for Derivative Financial Instruments and Hedging Activities</w:t>
      </w:r>
      <w:r>
        <w:rPr>
          <w:rFonts w:ascii="Arial" w:cs="Arial" w:eastAsia="Arial" w:hAnsi="Arial"/>
          <w:sz w:val="17"/>
          <w:szCs w:val="17"/>
          <w:color w:val="auto"/>
        </w:rPr>
        <w:t>,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does not use derivative financial instruments to hedge exposures to cash-flow, market or foreign-currency risks. However, the Company issued Convertible Notes with features that are either (i) not afforded equity classification, (ii) embody risks not clearly and closely related to host contracts, or (iii) may be net-cash settled by the counterparty. As required by ASC 815, in certain instances, these instruments are required to be carried as derivative liabilities, at fair value, in the financial statements.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Convertible Notes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ASC 815. Since this conversion feature is not considered to be solely indexed to the Company’s own stock the derivative was recorded as a liability in the line item long-term debt on the Company's condensed consolidated balance sheets. See Note 8 - Debt.</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Convertible Notes derivative liability is measured at fair value using a trinomial lattice model. The optional redemption features, along with the offer to purchase features are incorporated into the valuation model. Inputs into the model require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is incorporated into the valuation calculation.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inputs into the valuation model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6"/>
                <w:szCs w:val="16"/>
                <w:b w:val="1"/>
                <w:bCs w:val="1"/>
                <w:color w:val="auto"/>
              </w:rPr>
              <w:t>September 30, 2016</w:t>
            </w:r>
          </w:p>
        </w:tc>
      </w:tr>
      <w:tr>
        <w:trPr>
          <w:trHeight w:val="33"/>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share price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Conversion price</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$7.10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3.75</w:t>
            </w: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In addition, changes in our credit risk profile impact the fair value determination. As of September 30, 2016, a $1 increase or decrease in our stock price would result in a corresponding increase or decrease of approximately $3.3 million in the fair value of the derivative liability, and a 1% increase or decrease in interest rates would result in a corresponding increase or decrease of $0.8 million in the fair value of the derivative liability. These fluctuations result in a current period gain or loss that is presented on the condensed consolidated statements of operations as (gain) loss on derivative liability.</w:t>
      </w:r>
    </w:p>
    <w:p>
      <w:pPr>
        <w:spacing w:after="0" w:line="18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September 30, 2016 and December 31, 2015, the Company’s financial assets/liabilities required to be measured on a recurring basis were: contingent consideration receivable, deferred compensation liability included in other long-term liabilities, convertible notes derivative liability included in long-term debt and capital lease obligations, and contingent purchase price liabilities included in deferred purchase price on the condensed consolidated balance sheets.</w:t>
      </w:r>
    </w:p>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Contingent consideration receivable</w:t>
      </w:r>
      <w:r>
        <w:rPr>
          <w:rFonts w:ascii="Arial" w:cs="Arial" w:eastAsia="Arial" w:hAnsi="Arial"/>
          <w:sz w:val="18"/>
          <w:szCs w:val="18"/>
          <w:color w:val="auto"/>
        </w:rPr>
        <w:t>—In connection with the sale of its education seminars business, Cross Country Education, LLC ("CCE"),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 related performance-based earnout as a contingent consideration receivable at December 31, 2015 for accounting purposes. The Company assigned no fair value to this earnout as of December 31, 2015 as the performance milestones were not met. The amount escrowed for this earnout was released to the buyer in the first quarter of 2016.</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utilizes Level 3 inputs to value its convertible notes derivative liability. See Note 9 - 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Contingent purchase price liabilities</w:t>
      </w:r>
      <w:r>
        <w:rPr>
          <w:rFonts w:ascii="Arial" w:cs="Arial" w:eastAsia="Arial" w:hAnsi="Arial"/>
          <w:sz w:val="18"/>
          <w:szCs w:val="18"/>
          <w:color w:val="auto"/>
        </w:rPr>
        <w:t>—Potential earnout payments related to the acquisition of Mediscan are contingent upon meeting certain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through 2019. See Note 3 - Acquisitions. The long-term portion of these liabilities 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t>included in contingent consideration, and the short-term portion is included in other current liabilities on the condensed consolidated balance sheets. The Company utilized Level 3 inputs to value these contingent purchase price liabilities as significant unobservable inputs were used in the calculation of their fair value. Contingent consideration is recorded as a liability and measured at fair value using a discounted cash flow model in a Monte Carlo simulation setting, utilizing significant unobservable inputs, including the expected volatility of Mediscan gross profits and an estimated discount rate commensurate with the risks of the expected gross profit stream. Significant increases (decreases) in the volatility, or decreases (increases) in the discount rate would result in a significantly higher (lower) fair value, respectively, and commensurate changes to these liabilities. The fair value of contingent consideration and the associated liabilities will be adjusted to fair value at each reporting date until actual settlement occurs, with the changes in fair value and liability accretion reflected as acquisition-related contingent consideration on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which follows summarizes the estimated fair value of the Company’s financial assets and liabilities measured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Fair Value Measurements</w:t>
            </w: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ind w:right="352"/>
              <w:spacing w:after="0"/>
              <w:rPr>
                <w:sz w:val="20"/>
                <w:szCs w:val="20"/>
                <w:color w:val="auto"/>
              </w:rPr>
            </w:pPr>
            <w:r>
              <w:rPr>
                <w:rFonts w:ascii="Arial" w:cs="Arial" w:eastAsia="Arial" w:hAnsi="Arial"/>
                <w:sz w:val="18"/>
                <w:szCs w:val="18"/>
                <w:b w:val="1"/>
                <w:bCs w:val="1"/>
                <w:color w:val="auto"/>
                <w:w w:val="96"/>
              </w:rPr>
              <w:t>September 30, 2016</w:t>
            </w: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20" w:type="dxa"/>
            <w:vAlign w:val="bottom"/>
            <w:gridSpan w:val="3"/>
          </w:tcPr>
          <w:p>
            <w:pPr>
              <w:jc w:val="right"/>
              <w:ind w:right="15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(Level 1)</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3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1,435</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(Level 3)</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Convertible Notes derivative liability</w:t>
            </w:r>
          </w:p>
        </w:tc>
        <w:tc>
          <w:tcPr>
            <w:tcW w:w="3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13,367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33,337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Contingent purchase price liabilities</w:t>
            </w:r>
          </w:p>
        </w:tc>
        <w:tc>
          <w:tcPr>
            <w:tcW w:w="3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4,196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Contingent Purchase</w:t>
            </w:r>
          </w:p>
        </w:tc>
        <w:tc>
          <w:tcPr>
            <w:tcW w:w="320" w:type="dxa"/>
            <w:vAlign w:val="bottom"/>
          </w:tcPr>
          <w:p>
            <w:pPr>
              <w:spacing w:after="0"/>
              <w:rPr>
                <w:sz w:val="20"/>
                <w:szCs w:val="20"/>
                <w:color w:val="auto"/>
              </w:rPr>
            </w:pPr>
          </w:p>
        </w:tc>
        <w:tc>
          <w:tcPr>
            <w:tcW w:w="2200" w:type="dxa"/>
            <w:vAlign w:val="bottom"/>
          </w:tcPr>
          <w:p>
            <w:pPr>
              <w:jc w:val="right"/>
              <w:ind w:right="470"/>
              <w:spacing w:after="0"/>
              <w:rPr>
                <w:sz w:val="20"/>
                <w:szCs w:val="20"/>
                <w:color w:val="auto"/>
              </w:rPr>
            </w:pPr>
            <w:r>
              <w:rPr>
                <w:rFonts w:ascii="Arial" w:cs="Arial" w:eastAsia="Arial" w:hAnsi="Arial"/>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Price Liabilities (a)</w:t>
            </w:r>
          </w:p>
        </w:tc>
        <w:tc>
          <w:tcPr>
            <w:tcW w:w="320" w:type="dxa"/>
            <w:vAlign w:val="bottom"/>
          </w:tcPr>
          <w:p>
            <w:pPr>
              <w:spacing w:after="0"/>
              <w:rPr>
                <w:sz w:val="23"/>
                <w:szCs w:val="23"/>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b w:val="1"/>
                <w:bCs w:val="1"/>
                <w:color w:val="auto"/>
              </w:rPr>
              <w:t>Derivative Liability</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gridSpan w:val="4"/>
          </w:tcPr>
          <w:p>
            <w:pPr>
              <w:jc w:val="right"/>
              <w:ind w:right="177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Valuation gain for the period</w:t>
            </w:r>
          </w:p>
        </w:tc>
        <w:tc>
          <w:tcPr>
            <w:tcW w:w="280" w:type="dxa"/>
            <w:vAlign w:val="bottom"/>
          </w:tcPr>
          <w:p>
            <w:pPr>
              <w:spacing w:after="0"/>
              <w:rPr>
                <w:sz w:val="21"/>
                <w:szCs w:val="21"/>
                <w:color w:val="auto"/>
              </w:rPr>
            </w:pP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loss for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4,139</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20,472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1"/>
                <w:szCs w:val="21"/>
                <w:color w:val="auto"/>
              </w:rPr>
            </w:pPr>
          </w:p>
        </w:tc>
        <w:tc>
          <w:tcPr>
            <w:tcW w:w="224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gain for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4,196</w:t>
            </w:r>
          </w:p>
        </w:tc>
        <w:tc>
          <w:tcPr>
            <w:tcW w:w="2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652"/>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the Mediscan acquisition on October 30, 2015. See Note 3 - Acquisitions. The key assumptions used to calculate the fair value of contingent consideration at the acquisition date remained consistent at September 30, 2016. Accretion expense is included as acquisition-related contingent consideration on the condensed consolidated statement of operations. Should the assumptions regarding probability of achievement of certain targets change in future periods, the change in fair value of the contingent consideration will be recognized, along with accretion expense, as acquisition-related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Goodwill, trade names, and other identifiable intangible assets are reviewed for impairment annually, and whenever events or changes in circumstances indicate that the carrying value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 See Note 7 - Goodwill and Other Intangibles.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 The estimated fair value of the Company's new term loan facility approximates principal amount due to the short time span since the Company entered into the new Credit Agreement.</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 2016</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660" w:type="dxa"/>
            <w:vAlign w:val="bottom"/>
          </w:tcPr>
          <w:p>
            <w:pPr>
              <w:spacing w:after="0"/>
              <w:rPr>
                <w:sz w:val="19"/>
                <w:szCs w:val="19"/>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660" w:type="dxa"/>
            <w:vAlign w:val="bottom"/>
          </w:tcPr>
          <w:p>
            <w:pPr>
              <w:spacing w:after="0"/>
              <w:rPr>
                <w:sz w:val="20"/>
                <w:szCs w:val="20"/>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0" w:type="dxa"/>
            <w:vAlign w:val="bottom"/>
            <w:gridSpan w:val="5"/>
          </w:tcPr>
          <w:p>
            <w:pPr>
              <w:ind w:left="420"/>
              <w:spacing w:after="0"/>
              <w:rPr>
                <w:sz w:val="20"/>
                <w:szCs w:val="20"/>
                <w:color w:val="auto"/>
              </w:rPr>
            </w:pPr>
            <w:r>
              <w:rPr>
                <w:rFonts w:ascii="Arial" w:cs="Arial" w:eastAsia="Arial" w:hAnsi="Arial"/>
                <w:sz w:val="16"/>
                <w:szCs w:val="16"/>
                <w:color w:val="auto"/>
              </w:rPr>
              <w:t>(amounts in thousands)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Second Lien Term Loan,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28,948</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39,112</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39,500</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Convertible Notes,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19,995</w:t>
            </w: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28,750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18,993</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Senior Secured Asset-Based Loan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nine months ended September 30, 2016 and 2015, the Company did not repurchase any shares of its Common Stock under its February 2008 Board authorization.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2016, the Company may purchase up to an additional 942,443 shares of Common Stock under the February 2008 Board authorization, subject to certain conditions in the Company's new Credit Agreement. The Company may repurchase up to an aggregate amount not to exceed $2.5 million in any fiscal year, or an unlimited amount if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20" w:name="page21"/>
    <w:bookmarkEnd w:id="20"/>
    <w:p>
      <w:pPr>
        <w:ind w:right="820"/>
        <w:spacing w:after="0" w:line="277" w:lineRule="auto"/>
        <w:rPr>
          <w:sz w:val="20"/>
          <w:szCs w:val="20"/>
          <w:color w:val="auto"/>
        </w:rPr>
      </w:pPr>
      <w:r>
        <w:rPr>
          <w:rFonts w:ascii="Arial" w:cs="Arial" w:eastAsia="Arial" w:hAnsi="Arial"/>
          <w:sz w:val="18"/>
          <w:szCs w:val="18"/>
          <w:color w:val="auto"/>
        </w:rPr>
        <w:t>meets certain conditions as described in its new Credit Agreement. At September 30, 2016, the Company had 32,238,463 shares of Common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nine months ended September 30, 2016, 246,020 of restricted stock awards and 202,442 of performance stock awards were granted under the 2014 Omnibus Incentive Plan (2014 Plan) to the Company's non-employee Directors and management team. Pursuant to the 2014 Plan, the number of target shares that are issued for performance-based stock awards are determined based on the level of attainment of the targets. If the minimum level of performance is attained for the 2016 awards, restricted stock will be issued with a vesting date of December 31, 2018, subject to the employee’s continuing employment.</w:t>
      </w:r>
    </w:p>
    <w:p>
      <w:pPr>
        <w:spacing w:after="0" w:line="15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the first quarter of 2016, the Company's Compensation Committee of the Board of Directors approved a 100% level of attainment for the 2015 performance-based share awards, resulting in the issuance of 148,178 performance shares that will vest on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2014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586,488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234,138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246,020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202,442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(272,597)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(14,000)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September 30,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545,911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425,913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2016, $0.8 million and $2.6 million, respectively, was included in selling, general and administrative expenses related to share-based payments, and a net of 9,742 and 225,107 shares, respectively, of Common Stock were issued upon the vesting of restricted stock.</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three and nine months ended September 30, 2015, $0.6 million and $1.8 million, respectively, was included in selling, general and administrative expenses related to share-based payments, and a net of 10,330 and 190,631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including temporary and permanent placement of travel nurses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allied professionals and branch-based local nurses and allied staffing. Its clients include: public and private acute-care and non-acute care hospitals, government facilities, public schools and charter schools, outpatient clinics, ambulatory care facilities, physician practice groups, retailers, and many other healthcare providers throughout the U.S. The results of the Mediscan acquisition have been aggregated with the Company's Nurse and Allied Staffing business segment. See Note 3 - Acquisitions.</w:t>
      </w:r>
    </w:p>
    <w:p>
      <w:pPr>
        <w:spacing w:after="0" w:line="188"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certified registered nurse anesthetists (CRNAs),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(NPs), and physician assistants (PAs) as independent contractors on temporary assignments throughout the U.S.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ind w:left="660" w:right="44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Other Human Capital Management Services </w:t>
      </w:r>
      <w:r>
        <w:rPr>
          <w:rFonts w:ascii="Arial" w:cs="Arial" w:eastAsia="Arial" w:hAnsi="Arial"/>
          <w:sz w:val="16"/>
          <w:szCs w:val="16"/>
          <w:color w:val="auto"/>
        </w:rPr>
        <w:t>– Subsequent to the sale of CCE on August 31, 2015, Other Human Capital Management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retained and contingent search services for physicians, healthcare executives and other healthcare professionals within the U.S.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186,623</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157,338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527,436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459,127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88,100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7,395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214,988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195,692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574,273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 (b)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19,472</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16,560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53,877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49,545</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 (b)</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652"/>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Company defines contribution income as income or loss from operations before depreciation, amortization, loss on sale of business, acquisition and integration costs, acquisition-related contingent consideration, restructuring costs, impairment charges and corporate expenses not specifically identified to a reporting segment. Contribution income is a financial measure used by management when assessing segment performance and is provided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w:t>
      </w:r>
    </w:p>
    <w:p>
      <w:pPr>
        <w:spacing w:after="0" w:line="171"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2015, $0.3 million and $0.9 million, respectively, of expenses were reclassified from Nurse and Allied Staffing to unallocated corporate overhead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4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September 30, 2016, associated with these agreements with terms of one year or more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Through Year Ending December 31:</w:t>
            </w:r>
          </w:p>
        </w:tc>
        <w:tc>
          <w:tcPr>
            <w:tcW w:w="280" w:type="dxa"/>
            <w:vAlign w:val="bottom"/>
          </w:tcPr>
          <w:p>
            <w:pPr>
              <w:spacing w:after="0"/>
              <w:rPr>
                <w:sz w:val="20"/>
                <w:szCs w:val="20"/>
                <w:color w:val="auto"/>
              </w:rPr>
            </w:pPr>
          </w:p>
        </w:tc>
        <w:tc>
          <w:tcPr>
            <w:tcW w:w="2240" w:type="dxa"/>
            <w:vAlign w:val="bottom"/>
          </w:tcPr>
          <w:p>
            <w:pPr>
              <w:jc w:val="right"/>
              <w:ind w:right="330"/>
              <w:spacing w:after="0"/>
              <w:rPr>
                <w:sz w:val="20"/>
                <w:szCs w:val="20"/>
                <w:color w:val="auto"/>
              </w:rPr>
            </w:pPr>
            <w:r>
              <w:rPr>
                <w:rFonts w:ascii="Arial" w:cs="Arial" w:eastAsia="Arial" w:hAnsi="Arial"/>
                <w:sz w:val="18"/>
                <w:szCs w:val="18"/>
                <w:color w:val="auto"/>
                <w:w w:val="95"/>
              </w:rPr>
              <w:t>(amounts in thousands)</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6,857</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4,349</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16,605</w:t>
            </w:r>
          </w:p>
        </w:tc>
      </w:tr>
      <w:tr>
        <w:trPr>
          <w:trHeight w:val="27"/>
        </w:trPr>
        <w:tc>
          <w:tcPr>
            <w:tcW w:w="8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sales tax payable within other current liabilities as of September 30, 2016 and December 31, 2015, on its condensed consolidated balance sheets.</w:t>
      </w:r>
    </w:p>
    <w:p>
      <w:pPr>
        <w:spacing w:after="0" w:line="17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September 30, 2016 and 2015, the Company has calculated its effective tax rate based on year-to-date results (under ASC 740-270-30-</w:t>
      </w:r>
    </w:p>
    <w:p>
      <w:pPr>
        <w:spacing w:after="0" w:line="46" w:lineRule="exact"/>
        <w:rPr>
          <w:sz w:val="20"/>
          <w:szCs w:val="20"/>
          <w:color w:val="auto"/>
        </w:rPr>
      </w:pPr>
    </w:p>
    <w:p>
      <w:pPr>
        <w:ind w:right="20" w:firstLine="8"/>
        <w:spacing w:after="0" w:line="253" w:lineRule="auto"/>
        <w:tabs>
          <w:tab w:leader="none" w:pos="2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opposed to estimating its annual effective tax rate. The Company’s effective tax rate for the three and nine months ended September 30, 2016 was 5.3% and negative 44.4%, respectively, including the impact of discrete items. Excluding discrete items, the Company’s effective tax rate for the three and nine months ended September 30, 2016 was 5.0% and negative 43.3%,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The Company intends to maintain a valuation allowance until sufficient positive evidence exists to support its reversal.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3" w:name="page24"/>
    <w:bookmarkEnd w:id="23"/>
    <w:p>
      <w:pPr>
        <w:jc w:val="both"/>
        <w:ind w:right="40"/>
        <w:spacing w:after="0" w:line="286" w:lineRule="auto"/>
        <w:rPr>
          <w:sz w:val="20"/>
          <w:szCs w:val="20"/>
          <w:color w:val="auto"/>
        </w:rPr>
      </w:pPr>
      <w:r>
        <w:rPr>
          <w:rFonts w:ascii="Arial" w:cs="Arial" w:eastAsia="Arial" w:hAnsi="Arial"/>
          <w:sz w:val="17"/>
          <w:szCs w:val="17"/>
          <w:color w:val="auto"/>
        </w:rPr>
        <w:t>As of September 30, 2016, the Company had approximately $0.9 million of unrecognized tax benefits included in other current liabilities and other long-term liabilities ($4.6 million, net of deferred taxes, which would affect the effective tax rate if recognized). During the nine months ended September 30, 2016, the Company had gross increases of $0.8 million to its current year unrecognized tax benefits related to federal and state tax issues.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tax years of 2004, 2005, 2008, and 2010 through 2015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$1.3 million and $4.0 million for the three and nine months ended September 30, 2016, respectively, and was $3.0 million and $10.1 million for the three and nine months ended September 30, 2015, respectively. Accounts receivable due from these hospitals at both September 30, 2016 and December 31, 2015 were approximately $0.6 million.</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InteliStaf of Oklahoma, LLC, a joint venture between the Company and a hospital system. The Company generated revenue providing staffing services to the hospital system of $3.1 million and $9.1 million for the three and nine months ended September 30, 2016, respectively, and was $2.6 million and $6.9 million for the three and nine months ended September 30, 2015, respectively. At September 30, 2016 and December 31, 2015, the Company had a receivable balance of $1.0 million and $1.4 million, respectively, and a payable balance of $0.2 million at the end of each period, relating to these staffing services.</w:t>
      </w:r>
    </w:p>
    <w:p>
      <w:pPr>
        <w:spacing w:after="0" w:line="17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$0.3 million in rent expense for these premises for the three and nine months ended September 30, 2016, respectively.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amends the guidance in ASC 230 on the classification of certain cash receipts and payments in the statement of cash flows</w:t>
      </w:r>
      <w:r>
        <w:rPr>
          <w:rFonts w:ascii="Arial" w:cs="Arial" w:eastAsia="Arial" w:hAnsi="Arial"/>
          <w:sz w:val="18"/>
          <w:szCs w:val="18"/>
          <w:i w:val="1"/>
          <w:iCs w:val="1"/>
          <w:color w:val="auto"/>
        </w:rPr>
        <w:t>.</w:t>
      </w:r>
      <w:r>
        <w:rPr>
          <w:rFonts w:ascii="Arial" w:cs="Arial" w:eastAsia="Arial" w:hAnsi="Arial"/>
          <w:sz w:val="18"/>
          <w:szCs w:val="18"/>
          <w:color w:val="auto"/>
        </w:rPr>
        <w:t xml:space="preserve"> This update intends to reduce the diversity that has resulted from the lack of consistent principles on this topic by adding or clarifying guidance on eight cash flow issues, including: debt prepayment or debt 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is permitted. Entities must apply the guidance retrospectively to all periods presented but may apply it prospectively from the earliest date practicable if retrospective application would be impracticable. The Company is currently evaluating the effect ASU 2016-15 will have on its consolidated financial statements.</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The areas for simplification in this update involve several aspects of the accounting for share-based payment transactions, including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consequences, classification of awards as either equity or liabilities, and classification on the statement of cash flows. ASU 2016-09 is effective for annual periods beginning after December 15, 2016, and interim periods within those annual periods. Early adoption is permitted. There are various methods of adoption for each aspect. The Company is currently evaluating the effect ASU 2016-09 will have on its consolidated financial statements.</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March 2016, the FASB issued ASU No. 2016-06, </w:t>
      </w:r>
      <w:r>
        <w:rPr>
          <w:rFonts w:ascii="Arial" w:cs="Arial" w:eastAsia="Arial" w:hAnsi="Arial"/>
          <w:sz w:val="18"/>
          <w:szCs w:val="18"/>
          <w:i w:val="1"/>
          <w:iCs w:val="1"/>
          <w:color w:val="auto"/>
        </w:rPr>
        <w:t>Derivatives and Hedging: Contingent Put and Call Options in Debt Instruments</w:t>
      </w:r>
      <w:r>
        <w:rPr>
          <w:rFonts w:ascii="Arial" w:cs="Arial" w:eastAsia="Arial" w:hAnsi="Arial"/>
          <w:sz w:val="18"/>
          <w:szCs w:val="18"/>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Early adoption is permitted. The Company is currently evaluating the effect ASU 2016-06 will have on its consolidated financial statements.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4" w:name="page25"/>
    <w:bookmarkEnd w:id="24"/>
    <w:p>
      <w:pPr>
        <w:ind w:right="160"/>
        <w:spacing w:after="0" w:line="264" w:lineRule="auto"/>
        <w:rPr>
          <w:sz w:val="20"/>
          <w:szCs w:val="20"/>
          <w:color w:val="auto"/>
        </w:rPr>
      </w:pPr>
      <w:r>
        <w:rPr>
          <w:rFonts w:ascii="Arial" w:cs="Arial" w:eastAsia="Arial" w:hAnsi="Arial"/>
          <w:sz w:val="18"/>
          <w:szCs w:val="18"/>
          <w:color w:val="auto"/>
        </w:rPr>
        <w:t>are required to use a modified retrospective approach for leases that exist or are entered into after the beginning of the earliest comparative period in the financial statements. Full retrospective application is prohibited. The Company is currently evaluating the effect ASU 2016-02 will have on its consolidated financial statements.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May 2014, the FASB and the International Accounting Standards Board jointly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that introduces a new five-step revenue recognition model in which an entity should recognize revenue to depict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to customers in an amount that reflects the consideration to which the entity expects to be entitled in exchange for those goods or services. This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 by the Revenue Recognition Transition Resource Group, and provide additional practical expedients. These standards are effective for fiscal years beginning after December 15, 2017, including interim periods within that reporting period. The Company is currently evaluating the new guidance to determine the impact, if any, it will have on its consolidated financial statements.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Cross Country Healthcare is a national leader in providing innovative healthcare workforce solutions and staffing services. Our solutions leverage our nearly 40 years of expertise and insight to assist clients in solving complex labor-related challenges while maintaining high quality outcomes. We are dedicated to recruiting and placing highly qualified healthcare professionals in virtually every specialty and area of expertise. With more than 9,500 active contracts,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approximately 75 office locations, we are able to place clinicians on travel and per diem assignments, local short-term contracts and permanent positions. We are a market leader in providing flexible workforce management solutions, which include managed service programs (MSP), internal resource pool consulting and development, electronic medical record (EMR) transition staffing, recruitment process outsourcing, outsourcing services, predictive modeling and consultative services. In addition, we provide both retained and contingent placement services for healthcare executives, physicians, and other healthcare professionals.</w:t>
      </w:r>
    </w:p>
    <w:p>
      <w:pPr>
        <w:spacing w:after="0" w:line="17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manage and segment our business based on the nature of our services we offer to our customers. As a result, in accordance with ASC 280,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Topic of the FASB ASC, we report three business segments – Nurse and Allied Staffing, Physician Staffing, and Other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described below:</w:t>
      </w:r>
    </w:p>
    <w:p>
      <w:pPr>
        <w:spacing w:after="0" w:line="181" w:lineRule="exact"/>
        <w:rPr>
          <w:sz w:val="20"/>
          <w:szCs w:val="20"/>
          <w:color w:val="auto"/>
        </w:rPr>
      </w:pPr>
    </w:p>
    <w:p>
      <w:pPr>
        <w:ind w:left="660" w:right="280" w:hanging="328"/>
        <w:spacing w:after="0" w:line="29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represented approximately 87% of our total revenue in the third quarter of 2016. Nurse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Allied Staffing provides traditional staffing, including temporary and permanent placement of travel nurses and allied professionals, and branch-based local nurses and allied staffing. Our services include the placement of travel and per diem nurses, allied healthcare professionals, such as rehabilitation therapists, radiology technicians, and respiratory therapists. The results of the Mediscan acquisition have been aggregated with our Nurse and Allied Staffing business segment. See Note 3 - Acquisitions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49" w:right="259" w:bottom="1440" w:gutter="0" w:footer="0" w:header="0"/>
        </w:sectPr>
      </w:pPr>
    </w:p>
    <w:bookmarkStart w:id="25" w:name="page26"/>
    <w:bookmarkEnd w:id="25"/>
    <w:p>
      <w:pPr>
        <w:ind w:left="660" w:right="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12% of our total revenue in the third quarter of 2016.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certified registered nurse anesthetists, nurse practitioners and physician assistants under our Medical Doctor Associates (MDA) brand as independent contractors on temporary assignments throughout the U.S.</w:t>
      </w:r>
    </w:p>
    <w:p>
      <w:pPr>
        <w:spacing w:after="0" w:line="181"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1%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third quarter of 2016. Subsequent to the sale of our education seminars business, Cross Country Education, LLC ("CCE") on August 31, 2015, OHCMS is comprised of retained and contingent search services for physicians, healthcare executives, and other healthcare professionals within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of Operations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quarter ended September 30, 2016, revenue from services was $215.0 million, and net income attributable to common shareholders was $14.1 million, or $0.22 per diluted share. The consolidated net income includes an unrealized gain on derivative liability of $7.1 million. Cash flow provided by operating activities for the nine months ended September 30, 2016 was $32.3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processes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6"/>
              </w:rPr>
              <w:t>Days filled is calculated by dividing the total hours invoiced during the period by 8</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Revenue per day filled is calculated by dividing revenue invoiced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1"/>
              </w:rPr>
              <w:t>the period presented. Invoiced revenue excludes revenue from permanent placement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and accrued revenue.</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020" w:type="dxa"/>
            <w:vAlign w:val="bottom"/>
          </w:tcPr>
          <w:p>
            <w:pPr>
              <w:spacing w:after="0"/>
              <w:rPr>
                <w:sz w:val="23"/>
                <w:szCs w:val="23"/>
                <w:color w:val="auto"/>
              </w:rPr>
            </w:pPr>
          </w:p>
        </w:tc>
        <w:tc>
          <w:tcPr>
            <w:tcW w:w="22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3"/>
                <w:szCs w:val="23"/>
                <w:color w:val="auto"/>
              </w:rPr>
            </w:pPr>
          </w:p>
        </w:tc>
      </w:tr>
      <w:tr>
        <w:trPr>
          <w:trHeight w:val="27"/>
        </w:trPr>
        <w:tc>
          <w:tcPr>
            <w:tcW w:w="5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2015</w:t>
            </w:r>
          </w:p>
        </w:tc>
        <w:tc>
          <w:tcPr>
            <w:tcW w:w="2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5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74.5</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 and integration costs</w:t>
            </w:r>
          </w:p>
        </w:tc>
        <w:tc>
          <w:tcPr>
            <w:tcW w:w="222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derivative liability</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22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560" w:type="dxa"/>
            <w:vAlign w:val="bottom"/>
          </w:tcPr>
          <w:p>
            <w:pPr>
              <w:jc w:val="right"/>
              <w:ind w:right="6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Comparison of Results for the Three Months Ended September 30, 2016 compared to the Three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144,206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12,572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(Gain) loss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(345.5)%</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14,066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Revenue from services increased 9.9%, to $215.0 million for the three months ended September 30, 2016, as compared to $195.7 million for the three months ended September 30, 2015. The increase was entirely from Nurse and Allied Staffing, including the impact of the Mediscan acquisition, and partially offset by lower revenue from Physician Staffing and OHCMS, partly due to the divestiture of CCE. See further discussion in Segment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field insurance expenses. Direct operating expenses increased $12.6 million or 8.7%, to $156.8 million for the three months ended September 30, 2016, as compared to $144.2 million for the three months ended September 30, 2015, primarily due to the impact of the Mediscan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direct operating expenses decreased to 72.9% compared to 73.7% in the prior year period primarily due to improved pricing.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Selling, general and administrative expenses increased 17.1%, to $45.9 million for the three months ended September 30, 2016, as compared to $39.2 million for the three months ended September 30, 2015. The increase was primarily due to investments in revenue producing headcount such as recruiters and workforce solutions specialists, as well as higher marketing costs for candidate attraction. In addition, we had higher expenses due to the acquisition of Mediscan that were substantially offset by the impact of the CCE divestiture. As a percentage of total revenue, selling, general and administrative expenses were 21.4% and 20.0%, for the three months ended September 30, 2016 and September 30, 2015,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totaled $2.1 million for the three months ended September 30, 2016 and $1.9 million for the three months ended September 30, 2015. The increase is primarily due to the Mediscan acquisition, partially offset by lower amortization of intangible assets in our Physician Staffing business due to the impairment charge taken in the second quarter of 2016. As a percentage of revenue, depreciation and amortization expense was 1.0% for each of the three month periods ended September 30, 2016 and September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2015, we sold our education seminars business and recognized a pre-tax loss of $2.2 million related to the divestiture of the business. In addition, we recorded a tax benefit of $3.5 million for the reversal of valuation allowances associated with this business, resulting in an after-tax gain of $1.3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2015, we incurred acquisition and integration costs of $0.6 million primarily for due diligence work related to the Mediscan acquisition, which closed in the fourth quarter of 2015. See Note 3 - Acquisitions to our condensed consolidated financial statements. There were no such costs for the three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Acquisition-related contingent consideration totaled $0.2 million for the three months ended September 30, 2016 and was related to our acquisition of Mediscan. There were no such costs for the three months ended September 30, 2015. See Note 10 -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Restructuring costs totaled $0.6 million and $0.1 million during the three months ended September 30, 2016 and 2015, respectively. Restructuring costs include severance and exit costs incurred as part of our separate and discrete cost savings initiatives. During the three months ended September 30, 2016, the initiatives primarily related to the centralization of corporate functions and optimizing our branch footprint, while the three months ended September 30, 2015 related to severance under our cost optimization project.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Interest expense totaled $1.4 million and $1.7 million for the three months ended September 30, 2016 and September 30, 2015, respectively. We refinanced our debt structure late in the second quarter of 2016, which resulted in lower overall borrowing costs. The effective interest rate on our borrowings was 7.4% for the three month period ended September 30, 2016 compared to 10.1% for the three months ended September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derivative liability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incurred a gain on derivative liability of $7.1 million and a loss on derivative liability of $2.9 million for the three months ended September 30, 2016 and September 30, 2015, respectively, related to the change in the fair value of embedded features of our Convertible Notes from the end of the prior quarters. The gain in 2016 was primarily a result of a decrease in our share price compared to the prior quarter end. The loss in 2015 was primarily a result of an increase in our share price compared to the prior quarter end. See Note 9 - Convertible Notes Derivative Liability to our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Income tax expense from continuing operations totaled $0.8 million for the three months ended September 30, 2016, compared to income tax benefit of $2.7 million for the three months ended September 30, 2015. The effective tax rate was 5.3% and negative 113.0%, including the impact of discrete items, for the three months ended September 30, 2016 and September 30, 2015, respectively. Excluding discrete items, our effective tax rate for these periods was 5.0% and 30.1%,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Results for the Nine Months Ended September 30, 2016 compared to the Nine Months Ended September 30, 2015</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(Dollars in thousands)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19,525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loss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50.7 %</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7"/>
                <w:szCs w:val="17"/>
                <w:color w:val="auto"/>
              </w:rPr>
              <w:t>NM - Not meaningful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Revenue from services increased 6.4%, to $611.0 million for the nine months ended September 30, 2016, as compared to $574.3 million for the nine months ended September 30, 2015. The increase was entirely from Nurse and Allied Staffing, including the impact from the Mediscan acquisition, and partially offset by lower revenue from Physician Staffing and OHCMS, partly due to the divestiture of CCE. See further discussion in Segment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$19.5 million or 4.6%, to $446.9 million for the nine months ended September 30, 2016, as compared to $427.4 million for the nine months ended September 30, 2015, primarily due to revenue growth and the Mediscan acquisition, partly offset by the impact of the divestiture of CCE and lower direct costs in Physician Staffing.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direct operating expenses decreased to 73.1% compared to 74.5% in the prior year period primarily due to improved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7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Selling, general and administrative expenses increased 10.1%, to $133.5 million for the nine months ended September 30, 2016, as compared to $121.3 million for the nine months ended September 30, 2015. The increase was primarily due to investments in our IT infrastructure and revenue producing headcount such as recruiters and workforce solutions specialists, as well as higher marketing costs for candidate attraction and additional expenses due to the acquisition of Mediscan, which were partially offset by a reduction in expenses related to the CCE divestiture. As a percentage of total revenue, selling, general and administrative expenses were 21.9% and 21.1% for the nine months ended September 30, 2016 and September 30,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Depreciation and amortization expense totaled $7.0 million for the nine months ended September 30, 2016 and $5.8 million for the nine months ended September 30, 2015. The increase is the result of the Mediscan acquisition. As a percentage of revenue, depreciation and amortization expense was 1.1% and 1.0% for the nine months ended September 30, 2016 and September 30,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business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During the nine months ended September 30, 2015, we sold our education seminars business and recognized a pre-tax loss of $2.2 million related to the divestiture of the business. In addition, we recorded a tax benefit of $3.5 million for the reversal of valuation allowances associated with this business, resulting in an after-tax gain of $1.3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September 30, 2015, we incurred acquisition and integration costs of $0.7 million which predominantly related to due diligence costs for the Mediscan acquisition, which closed in the fourth quarter of 2015. See Note 3 - Acquisitions to our condensed consolidated financial statements. There were no such costs for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Acquisition-related contingent consideration totaled $0.7 million for the nine months ended September 30, 2016 and was related to our acquisition of Mediscan. There were no such costs for the nine months ended September 30, 2015. See Note 3 - Acquisitions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Restructuring costs totaled $0.6 million and $1.1 million during the nine months ended September 30, 2016 and 2015, respectively. Restructuring costs include severance and lease consolidations as part of our specific cost savings initiatives. During the nine months ended September 30, 2016, the initiatives primarily related to the centralization of corporate functions and optimizing our branch footprint, while the nine months ended September 30, 2015 related to severance and lease consolidations.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nine months ended September 30, 2016, we recorded impairment charges of $24.3 million relating to the Physician Staffing reporting unit. Based on its under-performance to plan through the six months ended June 30, 2016, we revised our growth assumptions for the Physician Staffing reporting unit which triggered our evaluation. We did not incur any impairment charges during the nine months ended September 30, 2015. See Critical Accounting Principles and Estimates and Note 7 - Goodwill and Other Intangibles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expense totaled $4.7 million and $5.2 million for the nine months ended September 30, 2016 and September 30, 2015, respectively. The decrease was due to a lower effective interest rate on our Second Lien Term Loan related to an amendment effective July 1, 2015. We also refinanced our debt structure late in the second quarter of 2016, which resulted in lower overall borrowing costs. The effective interest rate on our borrowings was 8.7% for the nine months ended September 30, 2016 compared to 10.3% for the nine months ended September 30,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Loss (gain) on derivative liability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Gain on derivative liability of $20.0 million and loss on derivative liability of $0.4 million for the nine months ended September 30, 2016 and September 30, 2015, respectively, relate to the change in the fair value of embedded features of our Convertible Notes from the end of the prior year. The gain in 2016 was primarily a result of a decrease in our share price from December 31, 2015 and was partially offset by a reduction in credit risk. The loss in 2015 was primarily a result of an increase in our share price from the prior year end, partially offset by our improved credit quality that decreased the value of the conversion feature. See Note 9 - Convertible Notes Derivative Liability to our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Loss on early extinguishment of debt was $1.6 million for the nine months ended September 30, 2016 and related to the write-off of unamortized net debt discount and issuance costs, including a redemption premium of $0.6 million, related to our Second Lien Term Loan. See Note 8 - Debt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Income tax benefit from continuing operations totaled $5.0 million for the nine months ended September 30, 2016, compared to $1.5 million for the nine months ended September 30, 2015. The effective tax rate was negative 44.4% and negative 15.9%, including the impact of discrete items, for the nine months ended September 30, 2016 and September 30, 2015, respectively. Excluding discrete items, our effective tax rate for these periods was negative 43.3% and 22.6%,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0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w w:val="99"/>
              </w:rPr>
              <w:t>(amounts 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186,623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157,338</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527,436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459,127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7,395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27,046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214,988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195,692</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574,273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19,472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16,560</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53,877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40,283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1,721</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49,545</w:t>
            </w:r>
          </w:p>
        </w:tc>
      </w:tr>
      <w:tr>
        <w:trPr>
          <w:trHeight w:val="324"/>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2,902</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0"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9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Nurse and Allied Staffing statistical data: (a)</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9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80" w:type="dxa"/>
            <w:vAlign w:val="bottom"/>
            <w:gridSpan w:val="4"/>
          </w:tcPr>
          <w:p>
            <w:pPr>
              <w:ind w:left="20"/>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Days filled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1,576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1,505</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ind w:left="720"/>
              <w:spacing w:after="0"/>
              <w:rPr>
                <w:sz w:val="20"/>
                <w:szCs w:val="20"/>
                <w:color w:val="auto"/>
              </w:rPr>
            </w:pPr>
            <w:r>
              <w:rPr>
                <w:rFonts w:ascii="Arial" w:cs="Arial" w:eastAsia="Arial" w:hAnsi="Arial"/>
                <w:sz w:val="16"/>
                <w:szCs w:val="16"/>
                <w:b w:val="1"/>
                <w:bCs w:val="1"/>
                <w:color w:val="auto"/>
              </w:rPr>
              <w:t>Nine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9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Nurse and Allied Staffing statistical data: (a)</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9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6,569</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80" w:type="dxa"/>
            <w:vAlign w:val="bottom"/>
            <w:gridSpan w:val="4"/>
          </w:tcPr>
          <w:p>
            <w:pPr>
              <w:ind w:left="20"/>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Days filled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59,470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1,542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1,485</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definition of Business Measurements under the Operating Metrics section of our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2016 compared to the Three Months Ended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from Nurse and Allied Staffing increased $29.3 million, or 18.6%, to $186.6 million for the three months ended September 30, 2016, as compared to $157.3 million for the three months ended September 30, 2015. The year-over-year increase was due to the impact of the Mediscan acquisition, improved pricing, and incremental project revenue with higher average bill rates.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Contribution income from Nurse and Allied Staffing increased $2.9 million or 17.6%, to $19.5 million for the three months ended September 30, 2016, as compared to $16.6 million for the three months ended September 30, 2015. As a percentage of segment revenue, contribution income was 10.4% for the three months ended September 30, 2016, compared to 10.5% for the three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average number of Nurse and Allied Staffing FTEs on contract during the three months ended September 30, 2016 increased 4.6% from the three months ended September 30, 2015, primarily due to the additional FTEs related to the Mediscan acquisition. The average Nurse and Allied Staffing revenue per FTE per day increased 13.6%, reflecting higher average bill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Revenue from Physician Staffing decreased $5.9 million, or 19.0%, to $25.1 million for the three months ended September 30, 2016, as compared to $31.0 million for the three months ended September 30, 2015. The decrease in revenue was entirely due to lower volume of days filled.</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584" w:right="259" w:bottom="1440" w:gutter="0" w:footer="0" w:header="0"/>
          <w:type w:val="continuous"/>
        </w:sectPr>
      </w:pPr>
    </w:p>
    <w:bookmarkStart w:id="34" w:name="page35"/>
    <w:bookmarkEnd w:id="34"/>
    <w:p>
      <w:pPr>
        <w:ind w:right="120"/>
        <w:spacing w:after="0" w:line="259" w:lineRule="auto"/>
        <w:rPr>
          <w:sz w:val="20"/>
          <w:szCs w:val="20"/>
          <w:color w:val="auto"/>
        </w:rPr>
      </w:pPr>
      <w:r>
        <w:rPr>
          <w:rFonts w:ascii="Arial" w:cs="Arial" w:eastAsia="Arial" w:hAnsi="Arial"/>
          <w:sz w:val="18"/>
          <w:szCs w:val="18"/>
          <w:color w:val="auto"/>
        </w:rPr>
        <w:t>Contribution income from Physician Staffing decreased $0.8 million or 24.9%, to $2.4 million for the three months ended September 30, 2016, as compared to $3.2 million for the three months ended September 30, 2015. As a percentage of segment revenue, contribution income was 9.6% for the three months ended September 30, 2016 and 10.3% for the three months ended September 30, 2015. The year-over-year decrease was largely attributable to reduced operating leverage on the lower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Physician Staffing days filled decreased 19.0%, to 16,639 days in the three months ended September 30, 2016, as compared to 20,543 days in the three months ended September 30, 2015. Revenue per day filled for the three months ended September 30, 2016 was $1,576, up 4.7% over the prior year, due to improved pricing.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from OHCMS decreased $4.1 million, or 55.7%, to $3.3 million for the three months ended September 30, 2016, as compared to $7.4 million for the three months ended September 30, 2015. The decrease was primarily related to the divestiture of CCE in the third quarter of 2015. Revenue from our search business decreased 23.3%, primarily attributable to lower revenue from retained executive searches.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Contribution loss from OHCMS was $0.2 million for the three months ended September 30, 2016, as compared to contribution income of $0.4 million for the three months ended September 30, 2015. Contribution income as a percentage of segment revenue decreased to a negative 4.7% for the three months ended September 30, 2016 compared to 5.0% for the three months ended September 30, 2015. The decrease was primarily due to the revenue decrease in our physician and executive search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$1.0 million or 12.2%, to $9.4 million for the three months ended September 30, 2016, from $8.4 million in the three months ended September 30, 2015. The increase was primarily due to higher corporate benefits and general and administrative expenses, including rent and utilities and professional fees. As a percentage of consolidated revenue, unallocated corporate overhead was 4.4% for the three months ended September 30, 2016, and 4.3% for the three months ended September 30, 2015.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2016 compared to the Nine Months Ended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Revenue from Nurse and Allied Staffing increased $68.3 million, or 14.9%, to $527.4 million for the nine months ended September 30, 2016, as compared to $459.1 million for the nine months ended September 30, 2015. The year-over-year increase was primarily due to the impact of the Mediscan acquisition and improved pricing.</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Contribution income from Nurse and Allied Staffing increased $13.6 million or 33.7%, to $53.9 million for the nine months ended September 30, 2016, as compared to $40.3 million for the nine months ended September 30, 2015. As a percentage of segment revenue, contribution income increased to 10.2% for the nine months ended September 30, 2016, compared to 8.8% for the nine months ended September 30, 2015, primarily reflecting improvement in our bill/pay spreads.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average number of Nurse and Allied Staffing FTEs on contract during the nine months ended September 30, 2016 increased 4.8% from the nine months ended September 30, 2015, due to the additional FTEs related to the Mediscan acquisition. The average Nurse and Allied Staffing revenue per FTE per day increased 9.4%, reflecting higher average bill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Revenue from Physician Staffing decreased $14.6 million, or 16.6%, to $73.5 million for the nine months ended September 30, 2016, as compared to $88.1 million for the nine months ended September 30, 2015. The decrease in revenue was primarily due to lower volume of days 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Contribution income from Physician Staffing decreased $1.5 million or 20.4%, to $6.0 million for the nine months ended September 30, 2016, as compared to $7.5 million for the nine months ended September 30, 2015. As a percentage of segment revenue, contribution income was 8.2% for the nine months ended September 30, 2016 and 8.6% for the nine months ended September 30, 2015. The year-over-year decrease was largely attributable to reduced operating leverage on the lower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Physician Staffing days filled decreased 19.4%, to 47,961 days in the nine months ended September 30, 2016, as compared to 59,470 days in the nine months ended September 30, 2015. Revenue per day filled for the nine months ended September 30, 2016 was $1,542, up 3.8% over the prior year, due to improved pricing.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Revenue from OHCMS decreased $16.9 million, or 62.6%, to $10.1 million for the nine months ended September 30, 2016, as compared to $27.0 million for the nine months ended September 30, 2015. The decrease was primarily related to the divestiture of CCE in the third quarter of 2015. Excluding CCE, revenue from our search business decreased 18.8%, primarily attributable to lower revenue from retained executive searches.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OHCMS had contribution loss of $0.2 million for the nine months ended September 30, 2016, as compared to income of $1.7 million for the nine months ended September 30, 2015. Contribution income as a percentage of segment revenue decreased to a negative 1.9% for the nine months ended September 30, 2016 compared to a positive 6.4% for the nine months ended September 30, 2015. The decrease was primarily due to the revenue decrease in our physician and executive search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$4.9 million or 19.8%, to $29.6 million for the nine months ended September 30, 2016, from $24.7 million in the nine months ended September 30, 2015. The increase was primarily due to an increase in compensation and benefits, corporate-wide projects, and professional expenses as we continue to centralize functions, as well as make investments in IT infrastructure. As a percentage of consolidated revenue, unallocated corporate overhead was 4.8% for the nine months ended September 30, 2016, and 4.3% for the nine months ended September 30,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September 30, 2016, we had $26.7 million in cash and cash equivalents and $72.5 million of total debt, including the Convertible Note derivative liability of $13.4 million and net of $5.4 million of unamortized discount and debt issuance costs. Working capital increased to $98.7 million as of September 30,</w:t>
      </w:r>
    </w:p>
    <w:p>
      <w:pPr>
        <w:ind w:right="20"/>
        <w:spacing w:after="0" w:line="273" w:lineRule="auto"/>
        <w:rPr>
          <w:sz w:val="20"/>
          <w:szCs w:val="20"/>
          <w:color w:val="auto"/>
        </w:rPr>
      </w:pPr>
      <w:r>
        <w:rPr>
          <w:rFonts w:ascii="Arial" w:cs="Arial" w:eastAsia="Arial" w:hAnsi="Arial"/>
          <w:sz w:val="17"/>
          <w:szCs w:val="17"/>
          <w:color w:val="auto"/>
        </w:rPr>
        <w:t>2016 from $72.7 million as of December 31, 2015. Days' sales outstanding (DSO), which includes balances billed on behalf of our subcontractors, decreased 7 days to 63 days as of September 30, 2016, compared to 70 days as of December 31, 2015. Our net DSO, which excludes amounts owed to subcontractors, decreased 7 days to 50 days as of September 30, 2016, compared to 57 days as of December 31, 2015. The improvement in DSO is largely due to the strength and timing of collections. We expect our DSO to increase slightly at year-end due to seasonality.</w:t>
      </w:r>
    </w:p>
    <w:p>
      <w:pPr>
        <w:spacing w:after="0" w:line="1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operating cash flows constitute our primary source of liquidity, and historically, have been sufficient to fund our working capital, capital expenditures, internal business expansion and debt service. We expect to meet our future needs for working capital, capital expenditures, internal business expansion and debt service from a combination of cash on hand, operating cash flows and funds available through the revolving loan portion of our new Credit Agreement. Operating cash flows and cash on hand, along with amounts available under our revolving credit facility, should be sufficient to meet these needs during the next twelve months.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cash provided by operating activities was $32.3 million in the nine months ended September 30, 2016 compared to $18.9 million in the nine months ended September 30, 2015, primarily due to the 7 day improvement in DSO in the nine months ended September 30, 2016 compared to a 4 day increase in DSO in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6" w:name="page37"/>
    <w:bookmarkEnd w:id="36"/>
    <w:p>
      <w:pPr>
        <w:ind w:right="140"/>
        <w:spacing w:after="0" w:line="291" w:lineRule="auto"/>
        <w:rPr>
          <w:sz w:val="20"/>
          <w:szCs w:val="20"/>
          <w:color w:val="auto"/>
        </w:rPr>
      </w:pPr>
      <w:r>
        <w:rPr>
          <w:rFonts w:ascii="Arial" w:cs="Arial" w:eastAsia="Arial" w:hAnsi="Arial"/>
          <w:sz w:val="16"/>
          <w:szCs w:val="16"/>
          <w:color w:val="auto"/>
        </w:rPr>
        <w:t>Net cash used in investing activities was $6.4 million in the nine months ended September 30, 2016, compared to $5.2 million provided in the nine months ended September 30, 2015. Net cash used in investing activities in the nine months ended September 30, 2016 included $5.0 million for capital expenditures and $1.9 million of acquisition-related settlements, partially offset by the receipt of $0.5 million related to proceeds from the sale of CCE. See Note 4 - Disposal to our condensed consolidated financial statements. Of the cash used for capital expenditures in the nine months ended September 30, 2016, $2.6 million either has been or will be reimbursed in future periods from our landlord and be reflected in operating activities. Net cash provided by investing activities in the nine months ended September 30, 2015 included proceeds of $7.2 million from the sale of CCE, net of related costs, $1.8 million used for capital expenditures, and $0.1 million of acquisition-related settlements related to Medical Staffing Network.</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used in financing activities during the nine months ended September 30, 2016 was $1.6 million, compared to $4.5 million during the nine months ended September 30, 2015. During the nine months ended September 30, 2016, we entered into a Senior Credit Facility which provided us with $40.0 million of borrowings under its Term Loan Facility. Part of the proceeds from the borrowings were used to prepay our $30.0 million Second Lien Term Loan including a prepayment penalty of $0.6 million and $1.2 million of debt issuance costs. In addition, during the nine months ended September 30, 2016, we repaid a net of $8.0 million on our senior secured asset-based credit facility and $0.5 million on our Term Loan Facility. In addition, we used cash to pay $0.6 million for shares withheld for taxes, $0.5 million for noncontrolling shareholder payments, and $0.2 million of contingent consideration. During the nine months ended September 30, 2015, we repaid total debt, net of borrowings, of $3.6 million and used $0.5 million to pay for shares withheld for taxes and $0.4 million for noncontrolling shareholder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22, 2016, we entered into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w:t>
      </w:r>
    </w:p>
    <w:p>
      <w:pPr>
        <w:spacing w:after="0" w:line="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Proceeds of the Senior Credit Facilities were used primarily to refinance our First Lien Loan and Second Lien Term Loan and to pay related transaction fees and expenses, including a prepayment premium of $0.6 million. In addition,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w:t>
      </w:r>
    </w:p>
    <w:p>
      <w:pPr>
        <w:spacing w:after="0" w:line="10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Subject to the Credit Agreement, we pay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September 30, 2016, the Term Loan and Revolving Credit Facility bore interest at a rate equal to One Month LIBOR plus 225 basis points. The interest rate is subject to an increase of 200 basis points if an event of default exists under the Credit Agreement. We are required to pay a commitment fee on the average daily unused portion of the Revolving Credit Facility, based on the Applicable Margin which, as of September 30, 2016, was 0.30%. Based on our September 30, 2016 covenant calculations, we expect our interest rate will decrease to One Month LIBOR plus 200 basis points, effective on the second business day after which we deliver the September 30, 2016 financial statements and compliance certificate to the lender.</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2016, we had $22.2 million letters of credit outstanding and $77.8 million available under the Revolving Credit Facility. The letters of credit relate to our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2016, the Convertible Notes are convertible at the option of the holders thereof at any time into shares of our common stock, par value $0.0001 per share (Common Stock), at an initial conversion price of $7.10 per share, or 3,521,126 shares of Common Stock. After three years from the issuance date, we have the right to force a conversion of the Convertible Notes if the volume-weighted average price (VWAP) per share of our Common Stock exceeds 125% of the then conversion price for 20 days of a 30 day trading period.</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 Convertible Notes until June 30, 2017. If we redeem the Convertible Notes on or after June 30, 2017, we are required to pay a premium of 15% of the amount of principal of the Convertible Notes redeemed. See Note 8 - Debt to our condensed consolidated financial statements for further information.</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conjunction with ASC 815, </w:t>
      </w:r>
      <w:r>
        <w:rPr>
          <w:rFonts w:ascii="Arial" w:cs="Arial" w:eastAsia="Arial" w:hAnsi="Arial"/>
          <w:sz w:val="18"/>
          <w:szCs w:val="18"/>
          <w:i w:val="1"/>
          <w:iCs w:val="1"/>
          <w:color w:val="auto"/>
        </w:rPr>
        <w:t>Accounting for Derivative Financial Instruments and Hedging Activities</w:t>
      </w:r>
      <w:r>
        <w:rPr>
          <w:rFonts w:ascii="Arial" w:cs="Arial" w:eastAsia="Arial" w:hAnsi="Arial"/>
          <w:sz w:val="18"/>
          <w:szCs w:val="18"/>
          <w:color w:val="auto"/>
        </w:rPr>
        <w:t>, we have bifurcated and accounted for an embedded derivative related to specific features of these Convertible Notes. As required by ASC 815, the embedded derivative is required to be accounted for as a derivative liability at fair value in our condensed consolidated financial statements. See Note 8 - Convertible Notes Derivative Liability to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September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Convertible Notes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Contingent consideration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Operating lease obligations (e)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16,605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our Term Loan, we are required to comply with certain financial covenants. Our inability to comply with the required covenants or other provisions could result in default under our senior credit facilities. In the event of any such default and our inability to obtain a waiver of the default, all amounts outstanding under the Senior Credit Facilities could be declared immediately due and payable.</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Convertible Notes are convertible into shares of our common stock at the option of the holders thereof at any time. After three years from the issuance date, we have the right to force a conversion of the Convertible Notes if the volume-weighted average price per share of our Common Stock exceeds 125% of the then conversion price for 20 days of a 30 day trading period. See Note 8 - Debt to our condensed consolidated financial statements.</w:t>
      </w:r>
    </w:p>
    <w:p>
      <w:pPr>
        <w:spacing w:after="0" w:line="1" w:lineRule="exact"/>
        <w:rPr>
          <w:rFonts w:ascii="Arial" w:cs="Arial" w:eastAsia="Arial" w:hAnsi="Arial"/>
          <w:sz w:val="18"/>
          <w:szCs w:val="18"/>
          <w:color w:val="auto"/>
        </w:rPr>
      </w:pPr>
    </w:p>
    <w:p>
      <w:pPr>
        <w:ind w:left="660" w:right="24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and Convertible Notes. Interest payments on our Term Loan were calculated using the September 30, 2016 applicable LIBOR and margin rate totaling 2.8%. Interest on our Convertible Notes was calculated using the fixed interest rate of 8.0% and assuming no conversion.</w:t>
      </w:r>
    </w:p>
    <w:p>
      <w:pPr>
        <w:spacing w:after="0" w:line="1" w:lineRule="exact"/>
        <w:rPr>
          <w:rFonts w:ascii="Arial" w:cs="Arial" w:eastAsia="Arial" w:hAnsi="Arial"/>
          <w:sz w:val="18"/>
          <w:szCs w:val="18"/>
          <w:color w:val="auto"/>
        </w:rPr>
      </w:pPr>
    </w:p>
    <w:p>
      <w:pPr>
        <w:ind w:left="660" w:hanging="652"/>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contingent consideration amounts represent the estimated payments due to the seller, and the additional contingent purchase price liabilities for a previously acquired business, related to the Mediscan acquisition, including accretion. While it is not certain if, or when, these contingent payments will be made, we have included the payments in the table based on our best estimates of the amounts and dates when the contingencies may be resolved.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8" w:name="page39"/>
    <w:bookmarkEnd w:id="38"/>
    <w:p>
      <w:pPr>
        <w:ind w:right="1380" w:firstLine="8"/>
        <w:spacing w:after="0" w:line="498"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 See Note 13 - Commitments and Contingencies to our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critical accounting principles and estimates remain consistent with those reported in our Annual Report on Form 10-K for the year ended December 31, 2015, filed with the SEC. The below provides updated information regarding our critical accounting principles and estimates related to goodwill, trade names, and other identifiable intangible assets.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nine months ended September 30, 2016, we recognized total impairment charges relating to our Physician Staffing reporting unit of $24.3 million, comprised of $17.7 million related to goodwill, $0.6 million related to trade names, and $6.0 million related to customer relationships. These charges comprise impairment charges on the condensed consolidated statement of operations for the respective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Trade Names, and Other Identifiable Intangible Assets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quantitative review of impairment indicators in the second quarter of 2016, we revised our growth assumptions for the Physician Staffing reporting unit based on its continued under-performance relative to management's expectations. The lower than expected revenue was driven by lower booking volumes partly due to the loss of customers, and margins that were negatively impacted from continued investments in the business all through the first half of 2016. We considered these factors to be impairment indicators that warranted impairment testing on goodwill and other intangible assets as described below.</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used a combination of an income and a market approach to calculate the fair value of the Physician Staffing reporting unit. The discounted cash flow that served as the primary basis for the income approach was based on our discrete financial forecast of revenue, gross profit margins, operating costs and cash flows. We also considered historical and estimated future results, general economic and market conditions, as well as the impact of planned business and operational strategies. Assumptions used in the market approach included valuation multiples based on an analysis of multiples for comparable public companies. Finally, a 50% weighting was applied to the components of each approach to estimate the total fair value of goodwill. As a result of the testing, we compared the implied fair value of goodwill to its carrying amount and recorded a non-cash pre tax goodwill impairment charge of $17.7 million in the second quarter of 2016.</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valued the Physician Staffing trade names based on a Relief from Royalty methodology using projected cash flows of an estimated royalty fee. The royalty rate was determined by a blended rate using the Market Royalty Rate Method and the Apportionment of Profit Method and has been applied consistently since the date of acquisition. The calculated value of the trade names was compared to their carrying amount and, as a result, we recorded a non-cash pre tax impairment charge of $0.6 million in the second quarter of 2016.</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valued the Physician Staffing customer relationships based on the Multi-Period Excess Earnings Method (MPEEM). The MPEEM estimates the fair value based on the present value of the allocated future economic benefits. The inputs include the projected revenue and associated expenses from the customers, an estimated attrition rate, and a discount rate of 13.5%. We performed a recoverability test on the asset group which customers are a part of and deemed customer relationships to be impaired. As a result, the calculated value of customer relationships was compared to its carrying amount and we recorded a non-cash pre tax impairment charge of $6.0 million in the second quarter of 2016.</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2016, the carrying amount of goodwill, trade names, and other intangible assets, net, relating to the Physician Staffing reporting unit were $25.7 million, $15.0 million, and $1.3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appropriate royalty rates and the choice of an appropriate discount rate. See Note 10 - Fair Value Measurements. Changes in these assumptions could materially affect the determination of fair value for the Physician Staffing reporting unit. Specifically, further deterioration of demand for our services, further deterioration of labor market conditions, or other factors as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year ended December 31, 2015, may affect our determination of fair value of the Physician Staffing reporting unit. This evaluation can also be triggered by various indicators of impairment which could cause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estimated discounted cash flows to be less than the carrying amount of net assets. If we are required to record an impairment charge in the future, it could have an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Intangibles to our condensed consolidated financial statements for further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584" w:right="59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Senior Credit Facilities. See Note 8 - Debt to our condensed consolidated financial statements for further information. During the nine months ended September 30, 2016 or 2015, we did not use interest rate swaps or other types of derivative financial instruments to hedge our interest rate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2016, we had $25.0 million of 8.0% fixed rate Convertible Notes outstanding due June 30, 2020. The Convertible Notes include terms that are considered to be embedded derivatives, including conversion and redemption features that primarily protect the investors' investment with us. Each reporting period, we are required to record this embedded derivative at fair value with the changes being recorded as a component of other expense (income) on our condensed consolidated statements of operations. Accordingly, our results of operations are subject to exposure associated with increases or decreases in the estimated fair value of our embedded derivative.</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as well as changes in our credit profile. As our stock price increases or decreases, the fair value of this derivative liability increases or decreases, resulting in a corresponding current period loss or gain to be recognized. See Note 9 - Convertible Notes Derivative Liability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364" w:right="339" w:bottom="1440" w:gutter="0" w:footer="0" w:header="0"/>
        </w:sectPr>
      </w:pPr>
    </w:p>
    <w:bookmarkStart w:id="41" w:name="page42"/>
    <w:bookmarkEnd w:id="41"/>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364" w:right="299" w:bottom="1440" w:gutter="0" w:footer="0" w:header="0"/>
        </w:sectPr>
      </w:pPr>
    </w:p>
    <w:bookmarkStart w:id="42" w:name="page43"/>
    <w:bookmarkEnd w:id="42"/>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364" w:right="479"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580"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614"/>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Tenth Amendment to Lease agreement between Mainstreet CV North 40, LLC and Cross Country Healthcare, Inc., dated September</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19, 2016.</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Amendment to Lease agreement between Mainstreet CV North 40, LLC and Cross Country Healthcare, Inc., dated September 19,</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Amendment No. 2, dated October 31, 2016 to Convertible Note Purchase Agreement, dated June 30, 2014, among Cross Country</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Healthcare, Inc., the Guarantor subsidiaries of the Company named therein, and the Noteholders named therein.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Certification pursuant to Rule 13a-14(a) and Rule 15d-14 (a) by William J. Grubbs, President, Chief Executive Officer, Director</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Certification pursuant to Rule 13a-14(a) and Rule 15d-14 (a) by Christopher R. Pizzi, Chief Financial Officer (Principal Accounting</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and Financial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by William J. Grubbs, President, Chief Executive Officer, Director (Principal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Certification pursuant to 18 U.S.C. Section 1350 by Christopher R. Pizzi, Chief Financial Officer (Principal Accounting and Financial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TENTH AMENDMENT TO LEASE AGREEMENT</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TENTH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is made and executed this 19th day of September, 2016 by and between </w:t>
      </w:r>
      <w:r>
        <w:rPr>
          <w:rFonts w:ascii="Arial" w:cs="Arial" w:eastAsia="Arial" w:hAnsi="Arial"/>
          <w:sz w:val="22"/>
          <w:szCs w:val="22"/>
          <w:b w:val="1"/>
          <w:bCs w:val="1"/>
          <w:color w:val="auto"/>
        </w:rPr>
        <w:t>MAINSTREET CV NORTH 40, LLC</w:t>
      </w:r>
      <w:r>
        <w:rPr>
          <w:rFonts w:ascii="Arial" w:cs="Arial" w:eastAsia="Arial" w:hAnsi="Arial"/>
          <w:sz w:val="22"/>
          <w:szCs w:val="22"/>
          <w:color w:val="auto"/>
        </w:rPr>
        <w:t>,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CROSS COUNTRY HEALTH CARE,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as successor in interest to Teachers Insurance and Annuity Association of America, for the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of its Separate Real Estate Account (“</w:t>
      </w:r>
      <w:r>
        <w:rPr>
          <w:rFonts w:ascii="Arial" w:cs="Arial" w:eastAsia="Arial" w:hAnsi="Arial"/>
          <w:sz w:val="19"/>
          <w:szCs w:val="19"/>
          <w:b w:val="1"/>
          <w:bCs w:val="1"/>
          <w:color w:val="auto"/>
        </w:rPr>
        <w:t>TIAA</w:t>
      </w:r>
      <w:r>
        <w:rPr>
          <w:rFonts w:ascii="Arial" w:cs="Arial" w:eastAsia="Arial" w:hAnsi="Arial"/>
          <w:sz w:val="19"/>
          <w:szCs w:val="19"/>
          <w:color w:val="auto"/>
        </w:rPr>
        <w:t>”), a New York corporation, successor in interest to Fairfax Boca 92, L.P., a Georgia limited partnership ("</w:t>
      </w:r>
      <w:r>
        <w:rPr>
          <w:rFonts w:ascii="Arial" w:cs="Arial" w:eastAsia="Arial" w:hAnsi="Arial"/>
          <w:sz w:val="19"/>
          <w:szCs w:val="19"/>
          <w:b w:val="1"/>
          <w:bCs w:val="1"/>
          <w:color w:val="auto"/>
        </w:rPr>
        <w:t>Fairfax</w:t>
      </w:r>
      <w:r>
        <w:rPr>
          <w:rFonts w:ascii="Arial" w:cs="Arial" w:eastAsia="Arial" w:hAnsi="Arial"/>
          <w:sz w:val="19"/>
          <w:szCs w:val="19"/>
          <w:color w:val="auto"/>
        </w:rPr>
        <w:t>"), and Tenant are parties to that certain Lease Agreement dated November 22, 1999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Lease</w:t>
      </w:r>
      <w:r>
        <w:rPr>
          <w:rFonts w:ascii="Arial" w:cs="Arial" w:eastAsia="Arial" w:hAnsi="Arial"/>
          <w:sz w:val="19"/>
          <w:szCs w:val="19"/>
          <w:color w:val="auto"/>
        </w:rPr>
        <w:t>") originally between Fairfax and Medical Staffing Network, Inc., a Delaware corporation ("</w:t>
      </w:r>
      <w:r>
        <w:rPr>
          <w:rFonts w:ascii="Arial" w:cs="Arial" w:eastAsia="Arial" w:hAnsi="Arial"/>
          <w:sz w:val="19"/>
          <w:szCs w:val="19"/>
          <w:b w:val="1"/>
          <w:bCs w:val="1"/>
          <w:color w:val="auto"/>
        </w:rPr>
        <w:t>MSN</w:t>
      </w:r>
      <w:r>
        <w:rPr>
          <w:rFonts w:ascii="Arial" w:cs="Arial" w:eastAsia="Arial" w:hAnsi="Arial"/>
          <w:sz w:val="19"/>
          <w:szCs w:val="19"/>
          <w:color w:val="auto"/>
        </w:rPr>
        <w:t>"), as tenant, predecessor in</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to Medical Staffing Network Healthcare, LLC (“</w:t>
      </w:r>
      <w:r>
        <w:rPr>
          <w:rFonts w:ascii="Arial" w:cs="Arial" w:eastAsia="Arial" w:hAnsi="Arial"/>
          <w:sz w:val="19"/>
          <w:szCs w:val="19"/>
          <w:b w:val="1"/>
          <w:bCs w:val="1"/>
          <w:color w:val="auto"/>
        </w:rPr>
        <w:t>MSN Healthcare</w:t>
      </w:r>
      <w:r>
        <w:rPr>
          <w:rFonts w:ascii="Arial" w:cs="Arial" w:eastAsia="Arial" w:hAnsi="Arial"/>
          <w:sz w:val="19"/>
          <w:szCs w:val="19"/>
          <w:color w:val="auto"/>
        </w:rPr>
        <w:t>”), a Delaware limited liability company, predecessor in interest to Tenant, as amended by: (i) a Lease Amendment #1 dated as of July 31, 2001 between Fairfax and MSN; (ii) a Lease Amendment #2 dated as of March 20, 2012 between Fairfax and MSN; (iii) a Lease Amendment #3 dated as of May 14, 2002 between Fairfax and MSN, (iv) a Lease Amendment #4 dated as of December 13, 2002 between Fairfax and MSN; (v) a Lease Amendment #5 dated as of February ___, 2003 between Fairfax and MSN; (vi) as assigned by MSN to Assignor as part of an asset sale agreement which was approved by a final non-appealable order of the United States Bankruptcy Court for the Southern District of Florida, West Palm Beach Division, in Case No. 10-29101-BKC-EPK 9 (which assignment was confirmed pursuant to a Confirmation of Assignment and Assumption of Lease Agreement dated effective as of September 27, 2010); (vii) as further amended by a Sixth Amendment to Lease Agreement dated as of October 2010 between Landlord and MSN Healthcare; (viii) by a Seventh Amendment to Lease Agreement dated March 1, 2011 between Landlord and MSN Healthcare; (ix) by an Eighth Amendment to Lease Agreement dated as of November 22, 2011 between Landlord and MSN Healthcare; (x) as assigned to Tenant by that certain Bill of Sale, Assignment and Assumption Agreement dated as of June 30, 2014 among MSN Holdco, LLC, a Delaware limited liability company, MSN Holding Company, Inc., a Delaware corporation, MSN Healthcare and Optimal Workforce Solutions, LLC, a Delaware limited liability company and Tenant; and (xi) as further amended by a Ninth Amendment to Lease Agreement, dated as of September 29, 2015 (collectively with the Original Lease, the "</w:t>
      </w:r>
      <w:r>
        <w:rPr>
          <w:rFonts w:ascii="Arial" w:cs="Arial" w:eastAsia="Arial" w:hAnsi="Arial"/>
          <w:sz w:val="19"/>
          <w:szCs w:val="19"/>
          <w:b w:val="1"/>
          <w:bCs w:val="1"/>
          <w:color w:val="auto"/>
        </w:rPr>
        <w:t>Lease</w:t>
      </w:r>
      <w:r>
        <w:rPr>
          <w:rFonts w:ascii="Arial" w:cs="Arial" w:eastAsia="Arial" w:hAnsi="Arial"/>
          <w:sz w:val="19"/>
          <w:szCs w:val="19"/>
          <w:color w:val="auto"/>
        </w:rPr>
        <w:t>"). The Lease concerns premises (the "</w:t>
      </w:r>
      <w:r>
        <w:rPr>
          <w:rFonts w:ascii="Arial" w:cs="Arial" w:eastAsia="Arial" w:hAnsi="Arial"/>
          <w:sz w:val="19"/>
          <w:szCs w:val="19"/>
          <w:b w:val="1"/>
          <w:bCs w:val="1"/>
          <w:color w:val="auto"/>
        </w:rPr>
        <w:t>Premises</w:t>
      </w:r>
      <w:r>
        <w:rPr>
          <w:rFonts w:ascii="Arial" w:cs="Arial" w:eastAsia="Arial" w:hAnsi="Arial"/>
          <w:sz w:val="19"/>
          <w:szCs w:val="19"/>
          <w:color w:val="auto"/>
        </w:rPr>
        <w:t>") consisting of 15,735 rentable square feet in the building located at 901 Yamato Road, Boca Raton, Florida 33431; and</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Tenant desires to enter into this Amendment to extend the Term of the Lease under the terms set forth herein.</w:t>
      </w:r>
    </w:p>
    <w:p>
      <w:pPr>
        <w:spacing w:after="0" w:line="2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contained herein,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is hereby acknowledged, the parties hereto agree as follows:</w:t>
      </w:r>
    </w:p>
    <w:p>
      <w:pPr>
        <w:sectPr>
          <w:pgSz w:w="11900" w:h="16838" w:orient="portrait"/>
          <w:cols w:equalWidth="0" w:num="1">
            <w:col w:w="11420"/>
          </w:cols>
          <w:pgMar w:left="240" w:top="625" w:right="239" w:bottom="1440" w:gutter="0" w:footer="0" w:header="0"/>
        </w:sectPr>
      </w:pPr>
    </w:p>
    <w:bookmarkStart w:id="46" w:name="page47"/>
    <w:bookmarkEnd w:id="46"/>
    <w:p>
      <w:pPr>
        <w:jc w:val="both"/>
        <w:ind w:firstLine="8"/>
        <w:spacing w:after="0" w:line="256" w:lineRule="auto"/>
        <w:tabs>
          <w:tab w:leader="none" w:pos="81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Recitations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foregoing recitations of fact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All capitalized terms contained in this Amendment shall have the meaning ascribed to them in the Lease unless otherwise defined herein.</w:t>
      </w:r>
    </w:p>
    <w:p>
      <w:pPr>
        <w:spacing w:after="0" w:line="216" w:lineRule="exact"/>
        <w:rPr>
          <w:rFonts w:ascii="Arial" w:cs="Arial" w:eastAsia="Arial" w:hAnsi="Arial"/>
          <w:sz w:val="22"/>
          <w:szCs w:val="22"/>
          <w:color w:val="auto"/>
        </w:rPr>
      </w:pPr>
    </w:p>
    <w:p>
      <w:pPr>
        <w:ind w:left="820" w:hanging="812"/>
        <w:spacing w:after="0"/>
        <w:tabs>
          <w:tab w:leader="none" w:pos="82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the Lease is hereby extended until February 28, 2017 (the “</w:t>
      </w:r>
      <w:r>
        <w:rPr>
          <w:rFonts w:ascii="Arial" w:cs="Arial" w:eastAsia="Arial" w:hAnsi="Arial"/>
          <w:sz w:val="22"/>
          <w:szCs w:val="22"/>
          <w:b w:val="1"/>
          <w:bCs w:val="1"/>
          <w:color w:val="auto"/>
        </w:rPr>
        <w:t>Extended Expiration Date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8"/>
        <w:spacing w:after="0" w:line="252" w:lineRule="auto"/>
        <w:tabs>
          <w:tab w:leader="none" w:pos="81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Rent</w:t>
      </w:r>
      <w:r>
        <w:rPr>
          <w:rFonts w:ascii="Arial" w:cs="Arial" w:eastAsia="Arial" w:hAnsi="Arial"/>
          <w:sz w:val="22"/>
          <w:szCs w:val="22"/>
          <w:color w:val="auto"/>
        </w:rPr>
        <w:t>. Commencing on January 1, 2017, and continuing through February 28, 2017 (the “</w:t>
      </w:r>
      <w:r>
        <w:rPr>
          <w:rFonts w:ascii="Arial" w:cs="Arial" w:eastAsia="Arial" w:hAnsi="Arial"/>
          <w:sz w:val="22"/>
          <w:szCs w:val="22"/>
          <w:b w:val="1"/>
          <w:bCs w:val="1"/>
          <w:color w:val="auto"/>
        </w:rPr>
        <w:t>Second Extended Term</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agrees to pay Landlord Base Rent for the Premises, plus applicable sales tax thereon, without demand, counter-claim or setoff, payable in equal monthly installments of $20,980.00 in advance commencing on the first day of the Second Extended Term and continuing until the Extended Expiration Date.</w:t>
      </w:r>
    </w:p>
    <w:p>
      <w:pPr>
        <w:spacing w:after="0" w:line="2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Notwithstanding the foregoing, Landlord shall abate Base Rent for the Premises for the month of January 2017 (the “</w:t>
      </w:r>
      <w:r>
        <w:rPr>
          <w:rFonts w:ascii="Arial" w:cs="Arial" w:eastAsia="Arial" w:hAnsi="Arial"/>
          <w:sz w:val="21"/>
          <w:szCs w:val="21"/>
          <w:b w:val="1"/>
          <w:bCs w:val="1"/>
          <w:color w:val="auto"/>
        </w:rPr>
        <w:t>Abatement Period</w:t>
      </w:r>
      <w:r>
        <w:rPr>
          <w:rFonts w:ascii="Arial" w:cs="Arial" w:eastAsia="Arial" w:hAnsi="Arial"/>
          <w:sz w:val="21"/>
          <w:szCs w:val="21"/>
          <w:color w:val="auto"/>
        </w:rPr>
        <w:t>”). In the event the Lease shall be terminated prior to the expiration of the full Second Extended Term, Tenant shall immediately pay to Landlord the then unamortized portion of Base Rent for the Abatement Period, together with any leasing commissions incurred by the Landlord relating to this Amendment, and ten percent (10%) per annum interest on all such sums. Tenant acknowledges that it shall be responsible for the payment of Additional Rent for the Premises during the Abatement Period. This provision shall survive the termination of the Lease.</w:t>
      </w:r>
    </w:p>
    <w:p>
      <w:pPr>
        <w:spacing w:after="0" w:line="174" w:lineRule="exact"/>
        <w:rPr>
          <w:sz w:val="20"/>
          <w:szCs w:val="20"/>
          <w:color w:val="auto"/>
        </w:rPr>
      </w:pPr>
    </w:p>
    <w:p>
      <w:pPr>
        <w:ind w:firstLine="8"/>
        <w:spacing w:after="0" w:line="269" w:lineRule="auto"/>
        <w:tabs>
          <w:tab w:leader="none" w:pos="81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Building Operating Expenses</w:t>
      </w:r>
      <w:r>
        <w:rPr>
          <w:rFonts w:ascii="Arial" w:cs="Arial" w:eastAsia="Arial" w:hAnsi="Arial"/>
          <w:sz w:val="22"/>
          <w:szCs w:val="22"/>
          <w:color w:val="auto"/>
        </w:rPr>
        <w:t>. Tenant shall continue to pay Additional Rent in accordance with Tenant’s pro rata share</w:t>
      </w:r>
      <w:r>
        <w:rPr>
          <w:rFonts w:ascii="Arial" w:cs="Arial" w:eastAsia="Arial" w:hAnsi="Arial"/>
          <w:sz w:val="22"/>
          <w:szCs w:val="22"/>
          <w:b w:val="1"/>
          <w:bCs w:val="1"/>
          <w:color w:val="auto"/>
        </w:rPr>
        <w:t xml:space="preserve"> </w:t>
      </w:r>
      <w:r>
        <w:rPr>
          <w:rFonts w:ascii="Arial" w:cs="Arial" w:eastAsia="Arial" w:hAnsi="Arial"/>
          <w:sz w:val="22"/>
          <w:szCs w:val="22"/>
          <w:color w:val="auto"/>
        </w:rPr>
        <w:t>of Operating Expenses during the Second Extended Term.</w:t>
      </w:r>
    </w:p>
    <w:p>
      <w:pPr>
        <w:spacing w:after="0" w:line="202" w:lineRule="exact"/>
        <w:rPr>
          <w:rFonts w:ascii="Arial" w:cs="Arial" w:eastAsia="Arial" w:hAnsi="Arial"/>
          <w:sz w:val="22"/>
          <w:szCs w:val="22"/>
          <w:color w:val="auto"/>
        </w:rPr>
      </w:pPr>
    </w:p>
    <w:p>
      <w:pPr>
        <w:jc w:val="both"/>
        <w:ind w:firstLine="8"/>
        <w:spacing w:after="0" w:line="264" w:lineRule="auto"/>
        <w:tabs>
          <w:tab w:leader="none" w:pos="810"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expressly set forth herein, all of the terms and conditions of the Lease, shall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full force and effect and shall apply to this Amendment. This Amendment embodies the entire agreement between the parties relative to the subject matter hereof, and there are no oral or written agreements between the parties, nor any representations made by either party relative to the subject matter hereof, which are not expressly set forth herein. This Amendment may be modified only by a written instrument executed by the parties hereto.</w:t>
      </w:r>
    </w:p>
    <w:p>
      <w:pPr>
        <w:spacing w:after="0" w:line="211" w:lineRule="exact"/>
        <w:rPr>
          <w:rFonts w:ascii="Arial" w:cs="Arial" w:eastAsia="Arial" w:hAnsi="Arial"/>
          <w:sz w:val="21"/>
          <w:szCs w:val="21"/>
          <w:color w:val="auto"/>
        </w:rPr>
      </w:pPr>
    </w:p>
    <w:p>
      <w:pPr>
        <w:jc w:val="both"/>
        <w:ind w:firstLine="8"/>
        <w:spacing w:after="0" w:line="264" w:lineRule="auto"/>
        <w:tabs>
          <w:tab w:leader="none" w:pos="810"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Brokerage.</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represents as to itself that, except for Avison Young representing Landlord, the parties hereto have</w:t>
      </w:r>
      <w:r>
        <w:rPr>
          <w:rFonts w:ascii="Arial" w:cs="Arial" w:eastAsia="Arial" w:hAnsi="Arial"/>
          <w:sz w:val="21"/>
          <w:szCs w:val="21"/>
          <w:b w:val="1"/>
          <w:bCs w:val="1"/>
          <w:color w:val="auto"/>
        </w:rPr>
        <w:t xml:space="preserve"> </w:t>
      </w:r>
      <w:r>
        <w:rPr>
          <w:rFonts w:ascii="Arial" w:cs="Arial" w:eastAsia="Arial" w:hAnsi="Arial"/>
          <w:sz w:val="21"/>
          <w:szCs w:val="21"/>
          <w:color w:val="auto"/>
        </w:rPr>
        <w:t>not dealt with any real estate broker, sales person or finder in connection with this transaction, and no other real estate broker initiated or participated in the negotiation of this transaction. Each party agrees to indemnify and hold harmless the other party from and against any liabilities (including, without limitation, reasonable attorneys’ fees and expenses) and claims for commissions and fees arising out of its breach of the foregoing representation.</w:t>
      </w:r>
    </w:p>
    <w:p>
      <w:pPr>
        <w:spacing w:after="0" w:line="211" w:lineRule="exact"/>
        <w:rPr>
          <w:rFonts w:ascii="Arial" w:cs="Arial" w:eastAsia="Arial" w:hAnsi="Arial"/>
          <w:sz w:val="21"/>
          <w:szCs w:val="21"/>
          <w:color w:val="auto"/>
        </w:rPr>
      </w:pPr>
    </w:p>
    <w:p>
      <w:pPr>
        <w:jc w:val="both"/>
        <w:ind w:firstLine="8"/>
        <w:spacing w:after="0" w:line="304" w:lineRule="auto"/>
        <w:tabs>
          <w:tab w:leader="none" w:pos="810"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Ratification of Lease</w:t>
      </w:r>
      <w:r>
        <w:rPr>
          <w:rFonts w:ascii="Arial" w:cs="Arial" w:eastAsia="Arial" w:hAnsi="Arial"/>
          <w:sz w:val="19"/>
          <w:szCs w:val="19"/>
          <w:color w:val="auto"/>
        </w:rPr>
        <w:t>. The undersigned parties hereby ratify and reaffirm their rights and obligations under the Lease as</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by this Amendment. In the event of a conflict or ambiguity between the Lease and this Amendment, the terms and provisions of this Amendment shall control. Landlord and Tenant each represent and warrant to the other: (i) that the execution and delivery of this Amendment has been fully authorized by all necessary corporate actions; (ii) that the person</w:t>
      </w:r>
    </w:p>
    <w:p>
      <w:pPr>
        <w:sectPr>
          <w:pgSz w:w="11900" w:h="16838" w:orient="portrait"/>
          <w:cols w:equalWidth="0" w:num="1">
            <w:col w:w="11420"/>
          </w:cols>
          <w:pgMar w:left="240" w:top="625"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9"/>
          <w:szCs w:val="19"/>
          <w:color w:val="auto"/>
        </w:rPr>
        <w:t>signing this Amendment has requisite authority to do so and the authority and power to bind the company of whose behalf they have signed; and (iii) that to the best of their knowledge and belief, this Amendment is valid, binding and legally enforceable in accordance with its terms. Each party hereby warrants and represents that, to the best of its knowledge: (w) as of the date hereof the parties have complied with all of the terms and conditions of the Lease; (x) Tenant has no right to any credit, claim, cause of action, offset or similar charge against Landlord or the Rent existing as of the date hereof; (y) neither party is in default of any of the terms or conditions of the Lease as of the date of this Amendment nor knows of any facts which, given the passage of time, would constitute a default by either party under the Lease; and (z) neither party has assigned any of its right, title and interest in, to and under the Lease to any other party. Each party further agrees to indemnify and hold the other party harmless from and against any and all claims losses, demands, liabilities, damages and expenses of any kind or nature whatsoever, including, without limitation, attorneys’ fees and costs paid or incurred in connection therewith at both trial and appellate levels, incurred or arising by reason of a breach or violation of any of the agreements, obligations, duties or representations and warranties of such party contained in this Amendment. Tenant and its successors and assigns hereby release, acquit, satisfy, and forever discharge Landlord and its employees, agents, officers, directors, shareholders, subsidiaries, affiliates, successors and assigns, from any and all actions, causes of action, claims, demands, rights, damages, costs, losses, expenses, occurrences and liabilities of any kind or nature whatsoever, both known and unknown, arising out of any matter, happening or thing, from the beginning of time and relating to the Lease, as amended hereby.</w:t>
      </w:r>
    </w:p>
    <w:p>
      <w:pPr>
        <w:spacing w:after="0" w:line="200" w:lineRule="exact"/>
        <w:rPr>
          <w:sz w:val="20"/>
          <w:szCs w:val="20"/>
          <w:color w:val="auto"/>
        </w:rPr>
      </w:pPr>
    </w:p>
    <w:p>
      <w:pPr>
        <w:spacing w:after="0" w:line="251" w:lineRule="exact"/>
        <w:rPr>
          <w:sz w:val="20"/>
          <w:szCs w:val="20"/>
          <w:color w:val="auto"/>
        </w:rPr>
      </w:pPr>
    </w:p>
    <w:p>
      <w:pPr>
        <w:jc w:val="both"/>
        <w:ind w:firstLine="8"/>
        <w:spacing w:after="0" w:line="256" w:lineRule="auto"/>
        <w:tabs>
          <w:tab w:leader="none" w:pos="81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multiple counterparts, each of which shall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shall constitute but one and the same instrument. A facsimile signature shall be deemed to constitute an original signature for the purposes of this Amendment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THE FOLLOWING PAGE]</w:t>
      </w:r>
    </w:p>
    <w:p>
      <w:pPr>
        <w:sectPr>
          <w:pgSz w:w="11900" w:h="16838" w:orient="portrait"/>
          <w:cols w:equalWidth="0" w:num="1">
            <w:col w:w="11420"/>
          </w:cols>
          <w:pgMar w:left="240" w:top="631" w:right="2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22"/>
          <w:szCs w:val="22"/>
          <w:color w:val="auto"/>
        </w:rPr>
        <w:t>IN WITNESS WHEREOF, the parties hereto have executed this Amendment as of the date first hereinabove written.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40" w:type="dxa"/>
            <w:vAlign w:val="bottom"/>
            <w:gridSpan w:val="4"/>
          </w:tcPr>
          <w:p>
            <w:pPr>
              <w:spacing w:after="0"/>
              <w:rPr>
                <w:sz w:val="20"/>
                <w:szCs w:val="20"/>
                <w:color w:val="auto"/>
              </w:rPr>
            </w:pPr>
            <w:r>
              <w:rPr>
                <w:rFonts w:ascii="Arial" w:cs="Arial" w:eastAsia="Arial" w:hAnsi="Arial"/>
                <w:sz w:val="22"/>
                <w:szCs w:val="22"/>
                <w:b w:val="1"/>
                <w:bCs w:val="1"/>
                <w:color w:val="auto"/>
              </w:rPr>
              <w:t>LANDLORD:</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4"/>
        </w:trPr>
        <w:tc>
          <w:tcPr>
            <w:tcW w:w="4540" w:type="dxa"/>
            <w:vAlign w:val="bottom"/>
            <w:gridSpan w:val="7"/>
          </w:tcPr>
          <w:p>
            <w:pPr>
              <w:spacing w:after="0"/>
              <w:rPr>
                <w:sz w:val="20"/>
                <w:szCs w:val="20"/>
                <w:color w:val="auto"/>
              </w:rPr>
            </w:pPr>
            <w:r>
              <w:rPr>
                <w:rFonts w:ascii="Arial" w:cs="Arial" w:eastAsia="Arial" w:hAnsi="Arial"/>
                <w:sz w:val="22"/>
                <w:szCs w:val="22"/>
                <w:color w:val="auto"/>
              </w:rPr>
              <w:t>Signed, sealed and delivered</w:t>
            </w:r>
          </w:p>
        </w:tc>
        <w:tc>
          <w:tcPr>
            <w:tcW w:w="12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22"/>
                <w:szCs w:val="22"/>
                <w:color w:val="auto"/>
              </w:rPr>
              <w:t>in the presence of:</w:t>
            </w:r>
          </w:p>
        </w:tc>
        <w:tc>
          <w:tcPr>
            <w:tcW w:w="6300" w:type="dxa"/>
            <w:vAlign w:val="bottom"/>
            <w:gridSpan w:val="5"/>
            <w:vMerge w:val="restart"/>
          </w:tcPr>
          <w:p>
            <w:pPr>
              <w:ind w:left="1220"/>
              <w:spacing w:after="0"/>
              <w:rPr>
                <w:sz w:val="20"/>
                <w:szCs w:val="20"/>
                <w:color w:val="auto"/>
              </w:rPr>
            </w:pPr>
            <w:r>
              <w:rPr>
                <w:rFonts w:ascii="Arial" w:cs="Arial" w:eastAsia="Arial" w:hAnsi="Arial"/>
                <w:sz w:val="22"/>
                <w:szCs w:val="22"/>
                <w:color w:val="auto"/>
                <w:w w:val="93"/>
              </w:rPr>
              <w:t>MAINSTREET CV NORTH 40, LLC, a Delaware limited</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00" w:type="dxa"/>
            <w:vAlign w:val="bottom"/>
            <w:gridSpan w:val="6"/>
          </w:tcPr>
          <w:p>
            <w:pPr>
              <w:spacing w:after="0" w:line="224" w:lineRule="exact"/>
              <w:rPr>
                <w:sz w:val="20"/>
                <w:szCs w:val="20"/>
                <w:color w:val="auto"/>
              </w:rPr>
            </w:pPr>
            <w:r>
              <w:rPr>
                <w:rFonts w:ascii="Arial" w:cs="Arial" w:eastAsia="Arial" w:hAnsi="Arial"/>
                <w:sz w:val="22"/>
                <w:szCs w:val="22"/>
                <w:color w:val="auto"/>
              </w:rPr>
              <w:t>/s/ Tamar Jacobs</w:t>
            </w:r>
          </w:p>
        </w:tc>
        <w:tc>
          <w:tcPr>
            <w:tcW w:w="5240" w:type="dxa"/>
            <w:vAlign w:val="bottom"/>
            <w:gridSpan w:val="4"/>
          </w:tcPr>
          <w:p>
            <w:pPr>
              <w:ind w:left="1220"/>
              <w:spacing w:after="0" w:line="224" w:lineRule="exact"/>
              <w:rPr>
                <w:sz w:val="20"/>
                <w:szCs w:val="20"/>
                <w:color w:val="auto"/>
              </w:rPr>
            </w:pPr>
            <w:r>
              <w:rPr>
                <w:rFonts w:ascii="Arial" w:cs="Arial" w:eastAsia="Arial" w:hAnsi="Arial"/>
                <w:sz w:val="22"/>
                <w:szCs w:val="22"/>
                <w:color w:val="auto"/>
              </w:rPr>
              <w:t>liability company</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gridSpan w:val="6"/>
          </w:tcPr>
          <w:p>
            <w:pPr>
              <w:spacing w:after="0" w:line="223" w:lineRule="exact"/>
              <w:rPr>
                <w:sz w:val="20"/>
                <w:szCs w:val="20"/>
                <w:color w:val="auto"/>
              </w:rPr>
            </w:pPr>
            <w:r>
              <w:rPr>
                <w:rFonts w:ascii="Arial" w:cs="Arial" w:eastAsia="Arial" w:hAnsi="Arial"/>
                <w:sz w:val="22"/>
                <w:szCs w:val="22"/>
                <w:color w:val="auto"/>
              </w:rPr>
              <w:t>Witness: Tamar Jacobs</w:t>
            </w:r>
          </w:p>
        </w:tc>
        <w:tc>
          <w:tcPr>
            <w:tcW w:w="5240" w:type="dxa"/>
            <w:vAlign w:val="bottom"/>
            <w:gridSpan w:val="4"/>
            <w:vMerge w:val="restart"/>
          </w:tcPr>
          <w:p>
            <w:pPr>
              <w:ind w:left="1220"/>
              <w:spacing w:after="0"/>
              <w:rPr>
                <w:sz w:val="20"/>
                <w:szCs w:val="20"/>
                <w:color w:val="auto"/>
              </w:rPr>
            </w:pPr>
            <w:r>
              <w:rPr>
                <w:rFonts w:ascii="Arial" w:cs="Arial" w:eastAsia="Arial" w:hAnsi="Arial"/>
                <w:sz w:val="22"/>
                <w:szCs w:val="22"/>
                <w:color w:val="auto"/>
              </w:rPr>
              <w:t>By: Mainstreet 40, Ltd, a Florida limited</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40" w:type="dxa"/>
            <w:vAlign w:val="bottom"/>
            <w:gridSpan w:val="4"/>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620" w:type="dxa"/>
            <w:vAlign w:val="bottom"/>
            <w:tcBorders>
              <w:bottom w:val="single" w:sz="8" w:color="auto"/>
            </w:tcBorders>
            <w:gridSpan w:val="3"/>
          </w:tcPr>
          <w:p>
            <w:pPr>
              <w:spacing w:after="0" w:line="224" w:lineRule="exact"/>
              <w:rPr>
                <w:sz w:val="20"/>
                <w:szCs w:val="20"/>
                <w:color w:val="auto"/>
              </w:rPr>
            </w:pPr>
            <w:r>
              <w:rPr>
                <w:rFonts w:ascii="Arial" w:cs="Arial" w:eastAsia="Arial" w:hAnsi="Arial"/>
                <w:sz w:val="22"/>
                <w:szCs w:val="22"/>
                <w:color w:val="auto"/>
                <w:w w:val="88"/>
              </w:rPr>
              <w:t>/s/ Stephanie Brito</w:t>
            </w:r>
          </w:p>
        </w:tc>
        <w:tc>
          <w:tcPr>
            <w:tcW w:w="2880" w:type="dxa"/>
            <w:vAlign w:val="bottom"/>
            <w:gridSpan w:val="3"/>
          </w:tcPr>
          <w:p>
            <w:pPr>
              <w:spacing w:after="0"/>
              <w:rPr>
                <w:sz w:val="19"/>
                <w:szCs w:val="19"/>
                <w:color w:val="auto"/>
              </w:rPr>
            </w:pPr>
          </w:p>
        </w:tc>
        <w:tc>
          <w:tcPr>
            <w:tcW w:w="1240" w:type="dxa"/>
            <w:vAlign w:val="bottom"/>
          </w:tcPr>
          <w:p>
            <w:pPr>
              <w:spacing w:after="0"/>
              <w:rPr>
                <w:sz w:val="19"/>
                <w:szCs w:val="19"/>
                <w:color w:val="auto"/>
              </w:rPr>
            </w:pPr>
          </w:p>
        </w:tc>
        <w:tc>
          <w:tcPr>
            <w:tcW w:w="4000" w:type="dxa"/>
            <w:vAlign w:val="bottom"/>
            <w:gridSpan w:val="3"/>
          </w:tcPr>
          <w:p>
            <w:pPr>
              <w:ind w:left="140"/>
              <w:spacing w:after="0" w:line="224" w:lineRule="exact"/>
              <w:rPr>
                <w:sz w:val="20"/>
                <w:szCs w:val="20"/>
                <w:color w:val="auto"/>
              </w:rPr>
            </w:pPr>
            <w:r>
              <w:rPr>
                <w:rFonts w:ascii="Arial" w:cs="Arial" w:eastAsia="Arial" w:hAnsi="Arial"/>
                <w:sz w:val="22"/>
                <w:szCs w:val="22"/>
                <w:color w:val="auto"/>
              </w:rPr>
              <w:t>partnership, Manager</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gridSpan w:val="6"/>
          </w:tcPr>
          <w:p>
            <w:pPr>
              <w:spacing w:after="0" w:line="223" w:lineRule="exact"/>
              <w:rPr>
                <w:sz w:val="20"/>
                <w:szCs w:val="20"/>
                <w:color w:val="auto"/>
              </w:rPr>
            </w:pPr>
            <w:r>
              <w:rPr>
                <w:rFonts w:ascii="Arial" w:cs="Arial" w:eastAsia="Arial" w:hAnsi="Arial"/>
                <w:sz w:val="22"/>
                <w:szCs w:val="22"/>
                <w:color w:val="auto"/>
              </w:rPr>
              <w:t>Witness: Stephanie Brito</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20" w:type="dxa"/>
            <w:vAlign w:val="bottom"/>
            <w:gridSpan w:val="2"/>
          </w:tcPr>
          <w:p>
            <w:pPr>
              <w:ind w:left="440"/>
              <w:spacing w:after="0" w:line="223" w:lineRule="exact"/>
              <w:rPr>
                <w:sz w:val="20"/>
                <w:szCs w:val="20"/>
                <w:color w:val="auto"/>
              </w:rPr>
            </w:pPr>
            <w:r>
              <w:rPr>
                <w:rFonts w:ascii="Arial" w:cs="Arial" w:eastAsia="Arial" w:hAnsi="Arial"/>
                <w:sz w:val="22"/>
                <w:szCs w:val="22"/>
                <w:color w:val="auto"/>
              </w:rPr>
              <w:t>By: Mainstreet N40, Inc., a</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Florida corporation, General</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ind w:left="300"/>
              <w:spacing w:after="0"/>
              <w:rPr>
                <w:sz w:val="20"/>
                <w:szCs w:val="20"/>
                <w:color w:val="auto"/>
              </w:rPr>
            </w:pPr>
            <w:r>
              <w:rPr>
                <w:rFonts w:ascii="Arial" w:cs="Arial" w:eastAsia="Arial" w:hAnsi="Arial"/>
                <w:sz w:val="22"/>
                <w:szCs w:val="22"/>
                <w:color w:val="auto"/>
              </w:rPr>
              <w:t>Partner</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ind w:left="300"/>
              <w:spacing w:after="0"/>
              <w:rPr>
                <w:sz w:val="20"/>
                <w:szCs w:val="20"/>
                <w:color w:val="auto"/>
              </w:rPr>
            </w:pPr>
            <w:r>
              <w:rPr>
                <w:rFonts w:ascii="Arial" w:cs="Arial" w:eastAsia="Arial" w:hAnsi="Arial"/>
                <w:sz w:val="22"/>
                <w:szCs w:val="22"/>
                <w:color w:val="auto"/>
              </w:rPr>
              <w:t>By: /s/ Paul J. Kilgallon</w:t>
            </w:r>
          </w:p>
        </w:tc>
        <w:tc>
          <w:tcPr>
            <w:tcW w:w="1060" w:type="dxa"/>
            <w:vAlign w:val="bottom"/>
          </w:tcPr>
          <w:p>
            <w:pPr>
              <w:ind w:left="480"/>
              <w:spacing w:after="0"/>
              <w:rPr>
                <w:sz w:val="20"/>
                <w:szCs w:val="20"/>
                <w:color w:val="auto"/>
              </w:rPr>
            </w:pPr>
            <w:r>
              <w:rPr>
                <w:rFonts w:ascii="Arial" w:cs="Arial" w:eastAsia="Arial" w:hAnsi="Arial"/>
                <w:sz w:val="22"/>
                <w:szCs w:val="22"/>
                <w:color w:val="auto"/>
                <w:w w:val="83"/>
              </w:rPr>
              <w:t>Paul J.</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40" w:type="dxa"/>
            <w:vAlign w:val="bottom"/>
            <w:gridSpan w:val="4"/>
          </w:tcPr>
          <w:p>
            <w:pPr>
              <w:ind w:left="1220"/>
              <w:spacing w:after="0"/>
              <w:rPr>
                <w:sz w:val="20"/>
                <w:szCs w:val="20"/>
                <w:color w:val="auto"/>
              </w:rPr>
            </w:pPr>
            <w:r>
              <w:rPr>
                <w:rFonts w:ascii="Arial" w:cs="Arial" w:eastAsia="Arial" w:hAnsi="Arial"/>
                <w:sz w:val="22"/>
                <w:szCs w:val="22"/>
                <w:color w:val="auto"/>
              </w:rPr>
              <w:t>Kilgallon, President</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840" w:type="dxa"/>
            <w:vAlign w:val="bottom"/>
            <w:gridSpan w:val="8"/>
          </w:tcPr>
          <w:p>
            <w:pPr>
              <w:spacing w:after="0"/>
              <w:rPr>
                <w:sz w:val="20"/>
                <w:szCs w:val="20"/>
                <w:color w:val="auto"/>
              </w:rPr>
            </w:pPr>
            <w:r>
              <w:rPr>
                <w:rFonts w:ascii="Arial" w:cs="Arial" w:eastAsia="Arial" w:hAnsi="Arial"/>
                <w:sz w:val="22"/>
                <w:szCs w:val="22"/>
                <w:b w:val="1"/>
                <w:bCs w:val="1"/>
                <w:color w:val="auto"/>
              </w:rPr>
              <w:t>TENANT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31"/>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940" w:type="dxa"/>
            <w:vAlign w:val="bottom"/>
            <w:gridSpan w:val="7"/>
          </w:tcPr>
          <w:p>
            <w:pPr>
              <w:ind w:left="320"/>
              <w:spacing w:after="0"/>
              <w:rPr>
                <w:sz w:val="20"/>
                <w:szCs w:val="20"/>
                <w:color w:val="auto"/>
              </w:rPr>
            </w:pPr>
            <w:r>
              <w:rPr>
                <w:rFonts w:ascii="Arial" w:cs="Arial" w:eastAsia="Arial" w:hAnsi="Arial"/>
                <w:sz w:val="22"/>
                <w:szCs w:val="22"/>
                <w:color w:val="auto"/>
              </w:rPr>
              <w:t>CROSS  COUNTY  HEALTHCARE,  INC.,  a  Delaware</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940" w:type="dxa"/>
            <w:vAlign w:val="bottom"/>
            <w:gridSpan w:val="7"/>
          </w:tcPr>
          <w:p>
            <w:pPr>
              <w:ind w:left="32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260"/>
        </w:trPr>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1"/>
              </w:rPr>
              <w:t>/s/ Elizabeth M. Berrios</w:t>
            </w:r>
          </w:p>
        </w:tc>
        <w:tc>
          <w:tcPr>
            <w:tcW w:w="242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5940" w:type="dxa"/>
            <w:vAlign w:val="bottom"/>
            <w:gridSpan w:val="7"/>
            <w:vMerge w:val="restart"/>
          </w:tcPr>
          <w:p>
            <w:pPr>
              <w:ind w:left="320"/>
              <w:spacing w:after="0"/>
              <w:rPr>
                <w:sz w:val="20"/>
                <w:szCs w:val="20"/>
                <w:color w:val="auto"/>
              </w:rPr>
            </w:pPr>
            <w:r>
              <w:rPr>
                <w:rFonts w:ascii="Arial" w:cs="Arial" w:eastAsia="Arial" w:hAnsi="Arial"/>
                <w:sz w:val="22"/>
                <w:szCs w:val="22"/>
                <w:color w:val="auto"/>
              </w:rPr>
              <w:t>By: /s/ William J. Burns</w:t>
            </w:r>
          </w:p>
        </w:tc>
        <w:tc>
          <w:tcPr>
            <w:tcW w:w="0" w:type="dxa"/>
            <w:vAlign w:val="bottom"/>
          </w:tcPr>
          <w:p>
            <w:pPr>
              <w:spacing w:after="0"/>
              <w:rPr>
                <w:sz w:val="1"/>
                <w:szCs w:val="1"/>
                <w:color w:val="auto"/>
              </w:rPr>
            </w:pPr>
          </w:p>
        </w:tc>
      </w:tr>
      <w:tr>
        <w:trPr>
          <w:trHeight w:val="223"/>
        </w:trPr>
        <w:tc>
          <w:tcPr>
            <w:tcW w:w="4500" w:type="dxa"/>
            <w:vAlign w:val="bottom"/>
            <w:gridSpan w:val="6"/>
          </w:tcPr>
          <w:p>
            <w:pPr>
              <w:spacing w:after="0" w:line="223" w:lineRule="exact"/>
              <w:rPr>
                <w:sz w:val="20"/>
                <w:szCs w:val="20"/>
                <w:color w:val="auto"/>
              </w:rPr>
            </w:pPr>
            <w:r>
              <w:rPr>
                <w:rFonts w:ascii="Arial" w:cs="Arial" w:eastAsia="Arial" w:hAnsi="Arial"/>
                <w:sz w:val="22"/>
                <w:szCs w:val="22"/>
                <w:color w:val="auto"/>
              </w:rPr>
              <w:t>Witness: Elizabeth M. Berrios</w:t>
            </w:r>
          </w:p>
        </w:tc>
        <w:tc>
          <w:tcPr>
            <w:tcW w:w="900" w:type="dxa"/>
            <w:vAlign w:val="bottom"/>
          </w:tcPr>
          <w:p>
            <w:pPr>
              <w:spacing w:after="0"/>
              <w:rPr>
                <w:sz w:val="19"/>
                <w:szCs w:val="19"/>
                <w:color w:val="auto"/>
              </w:rPr>
            </w:pPr>
          </w:p>
        </w:tc>
        <w:tc>
          <w:tcPr>
            <w:tcW w:w="59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6"/>
            <w:vMerge w:val="restart"/>
          </w:tcPr>
          <w:p>
            <w:pPr>
              <w:spacing w:after="0"/>
              <w:rPr>
                <w:sz w:val="20"/>
                <w:szCs w:val="20"/>
                <w:color w:val="auto"/>
              </w:rPr>
            </w:pPr>
            <w:r>
              <w:rPr>
                <w:rFonts w:ascii="Arial" w:cs="Arial" w:eastAsia="Arial" w:hAnsi="Arial"/>
                <w:sz w:val="22"/>
                <w:szCs w:val="22"/>
                <w:color w:val="auto"/>
              </w:rPr>
              <w:t>/s/ Jerry Chico</w:t>
            </w:r>
          </w:p>
        </w:tc>
        <w:tc>
          <w:tcPr>
            <w:tcW w:w="900" w:type="dxa"/>
            <w:vAlign w:val="bottom"/>
          </w:tcPr>
          <w:p>
            <w:pPr>
              <w:spacing w:after="0"/>
              <w:rPr>
                <w:sz w:val="19"/>
                <w:szCs w:val="19"/>
                <w:color w:val="auto"/>
              </w:rPr>
            </w:pPr>
          </w:p>
        </w:tc>
        <w:tc>
          <w:tcPr>
            <w:tcW w:w="5940" w:type="dxa"/>
            <w:vAlign w:val="bottom"/>
            <w:gridSpan w:val="7"/>
          </w:tcPr>
          <w:p>
            <w:pPr>
              <w:ind w:left="320"/>
              <w:spacing w:after="0" w:line="223" w:lineRule="exact"/>
              <w:rPr>
                <w:sz w:val="20"/>
                <w:szCs w:val="20"/>
                <w:color w:val="auto"/>
              </w:rPr>
            </w:pPr>
            <w:r>
              <w:rPr>
                <w:rFonts w:ascii="Arial" w:cs="Arial" w:eastAsia="Arial" w:hAnsi="Arial"/>
                <w:sz w:val="22"/>
                <w:szCs w:val="22"/>
                <w:color w:val="auto"/>
              </w:rPr>
              <w:t>Name: William J. Burns</w:t>
            </w:r>
          </w:p>
        </w:tc>
        <w:tc>
          <w:tcPr>
            <w:tcW w:w="0" w:type="dxa"/>
            <w:vAlign w:val="bottom"/>
          </w:tcPr>
          <w:p>
            <w:pPr>
              <w:spacing w:after="0"/>
              <w:rPr>
                <w:sz w:val="1"/>
                <w:szCs w:val="1"/>
                <w:color w:val="auto"/>
              </w:rPr>
            </w:pPr>
          </w:p>
        </w:tc>
      </w:tr>
      <w:tr>
        <w:trPr>
          <w:trHeight w:val="20"/>
        </w:trPr>
        <w:tc>
          <w:tcPr>
            <w:tcW w:w="4500" w:type="dxa"/>
            <w:vAlign w:val="bottom"/>
            <w:gridSpan w:val="6"/>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6"/>
            <w:vMerge w:val="continue"/>
          </w:tcPr>
          <w:p>
            <w:pPr>
              <w:spacing w:after="0"/>
              <w:rPr>
                <w:sz w:val="19"/>
                <w:szCs w:val="19"/>
                <w:color w:val="auto"/>
              </w:rPr>
            </w:pPr>
          </w:p>
        </w:tc>
        <w:tc>
          <w:tcPr>
            <w:tcW w:w="900" w:type="dxa"/>
            <w:vAlign w:val="bottom"/>
          </w:tcPr>
          <w:p>
            <w:pPr>
              <w:spacing w:after="0"/>
              <w:rPr>
                <w:sz w:val="19"/>
                <w:szCs w:val="19"/>
                <w:color w:val="auto"/>
              </w:rPr>
            </w:pPr>
          </w:p>
        </w:tc>
        <w:tc>
          <w:tcPr>
            <w:tcW w:w="5940" w:type="dxa"/>
            <w:vAlign w:val="bottom"/>
            <w:gridSpan w:val="7"/>
          </w:tcPr>
          <w:p>
            <w:pPr>
              <w:ind w:left="320"/>
              <w:spacing w:after="0" w:line="223" w:lineRule="exact"/>
              <w:rPr>
                <w:sz w:val="20"/>
                <w:szCs w:val="20"/>
                <w:color w:val="auto"/>
              </w:rPr>
            </w:pPr>
            <w:r>
              <w:rPr>
                <w:rFonts w:ascii="Arial" w:cs="Arial" w:eastAsia="Arial" w:hAnsi="Arial"/>
                <w:sz w:val="22"/>
                <w:szCs w:val="22"/>
                <w:color w:val="auto"/>
              </w:rPr>
              <w:t>Title: CFO</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6"/>
          </w:tcPr>
          <w:p>
            <w:pPr>
              <w:spacing w:after="0" w:line="223" w:lineRule="exact"/>
              <w:rPr>
                <w:sz w:val="20"/>
                <w:szCs w:val="20"/>
                <w:color w:val="auto"/>
              </w:rPr>
            </w:pPr>
            <w:r>
              <w:rPr>
                <w:rFonts w:ascii="Arial" w:cs="Arial" w:eastAsia="Arial" w:hAnsi="Arial"/>
                <w:sz w:val="22"/>
                <w:szCs w:val="22"/>
                <w:color w:val="auto"/>
              </w:rPr>
              <w:t>Witness: Jerry Chico</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631" w:right="279" w:bottom="1440" w:gutter="0" w:footer="0" w:header="0"/>
        </w:sectPr>
      </w:pPr>
    </w:p>
    <w:bookmarkStart w:id="49" w:name="page50"/>
    <w:bookmarkEnd w:id="49"/>
    <w:p>
      <w:pPr>
        <w:ind w:left="10060"/>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OFFICE LEASE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THIS AMENDMENT TO OFFICE LEASE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made effective as of this 19th day of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2016, by and between </w:t>
      </w:r>
      <w:r>
        <w:rPr>
          <w:rFonts w:ascii="Arial" w:cs="Arial" w:eastAsia="Arial" w:hAnsi="Arial"/>
          <w:sz w:val="22"/>
          <w:szCs w:val="22"/>
          <w:b w:val="1"/>
          <w:bCs w:val="1"/>
          <w:color w:val="auto"/>
        </w:rPr>
        <w:t>MAINSTREET CV NORTH 40, LLC</w:t>
      </w:r>
      <w:r>
        <w:rPr>
          <w:rFonts w:ascii="Arial" w:cs="Arial" w:eastAsia="Arial" w:hAnsi="Arial"/>
          <w:sz w:val="22"/>
          <w:szCs w:val="22"/>
          <w:color w:val="auto"/>
        </w:rPr>
        <w:t>,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CROSS</w:t>
      </w:r>
      <w:r>
        <w:rPr>
          <w:rFonts w:ascii="Arial" w:cs="Arial" w:eastAsia="Arial" w:hAnsi="Arial"/>
          <w:sz w:val="22"/>
          <w:szCs w:val="22"/>
          <w:color w:val="auto"/>
        </w:rPr>
        <w:t xml:space="preserve"> </w:t>
      </w:r>
      <w:r>
        <w:rPr>
          <w:rFonts w:ascii="Arial" w:cs="Arial" w:eastAsia="Arial" w:hAnsi="Arial"/>
          <w:sz w:val="22"/>
          <w:szCs w:val="22"/>
          <w:b w:val="1"/>
          <w:bCs w:val="1"/>
          <w:color w:val="auto"/>
        </w:rPr>
        <w:t>COUNTRY HEALTHCARE,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entered into that certain Office Lease, dated September 29, 2015 (the “</w:t>
      </w:r>
      <w:r>
        <w:rPr>
          <w:rFonts w:ascii="Arial" w:cs="Arial" w:eastAsia="Arial" w:hAnsi="Arial"/>
          <w:sz w:val="22"/>
          <w:szCs w:val="22"/>
          <w:b w:val="1"/>
          <w:bCs w:val="1"/>
          <w:color w:val="auto"/>
        </w:rPr>
        <w:t>Lease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certain premises located on the first floor of the Building and consisting of a Rentable Area of 36,919 rentable square feet (the “</w:t>
      </w:r>
      <w:r>
        <w:rPr>
          <w:rFonts w:ascii="Arial" w:cs="Arial" w:eastAsia="Arial" w:hAnsi="Arial"/>
          <w:sz w:val="22"/>
          <w:szCs w:val="22"/>
          <w:b w:val="1"/>
          <w:bCs w:val="1"/>
          <w:color w:val="auto"/>
        </w:rPr>
        <w:t>Existing Premises</w:t>
      </w:r>
      <w:r>
        <w:rPr>
          <w:rFonts w:ascii="Arial" w:cs="Arial" w:eastAsia="Arial" w:hAnsi="Arial"/>
          <w:sz w:val="22"/>
          <w:szCs w:val="22"/>
          <w:color w:val="auto"/>
        </w:rPr>
        <w: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Landlord and Tenant desire to enter into this Amendment to expand the Existing Premises and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modify the Lease as hereinafter set forth.</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contained herein,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parties hereto agree as follows:</w:t>
      </w:r>
    </w:p>
    <w:p>
      <w:pPr>
        <w:spacing w:after="0" w:line="203" w:lineRule="exact"/>
        <w:rPr>
          <w:sz w:val="20"/>
          <w:szCs w:val="20"/>
          <w:color w:val="auto"/>
        </w:rPr>
      </w:pPr>
    </w:p>
    <w:p>
      <w:pPr>
        <w:jc w:val="both"/>
        <w:ind w:firstLine="656"/>
        <w:spacing w:after="0" w:line="256" w:lineRule="auto"/>
        <w:tabs>
          <w:tab w:leader="none" w:pos="1459"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Recitations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foregoing recitations of fact are true and correct and are incorporated herein by</w:t>
      </w:r>
      <w:r>
        <w:rPr>
          <w:rFonts w:ascii="Arial" w:cs="Arial" w:eastAsia="Arial" w:hAnsi="Arial"/>
          <w:sz w:val="22"/>
          <w:szCs w:val="22"/>
          <w:b w:val="1"/>
          <w:bCs w:val="1"/>
          <w:color w:val="auto"/>
        </w:rPr>
        <w:t xml:space="preserve"> </w:t>
      </w:r>
      <w:r>
        <w:rPr>
          <w:rFonts w:ascii="Arial" w:cs="Arial" w:eastAsia="Arial" w:hAnsi="Arial"/>
          <w:sz w:val="22"/>
          <w:szCs w:val="22"/>
          <w:color w:val="auto"/>
        </w:rPr>
        <w:t>this reference. All capitalized terms contained in this Amendment shall have the meaning ascribed to them in the Lease unless otherwise defined herein.</w:t>
      </w:r>
    </w:p>
    <w:p>
      <w:pPr>
        <w:spacing w:after="0" w:line="216" w:lineRule="exact"/>
        <w:rPr>
          <w:rFonts w:ascii="Arial" w:cs="Arial" w:eastAsia="Arial" w:hAnsi="Arial"/>
          <w:sz w:val="22"/>
          <w:szCs w:val="22"/>
          <w:color w:val="auto"/>
        </w:rPr>
      </w:pPr>
    </w:p>
    <w:p>
      <w:pPr>
        <w:ind w:firstLine="656"/>
        <w:spacing w:after="0" w:line="269" w:lineRule="auto"/>
        <w:tabs>
          <w:tab w:leader="none" w:pos="1459"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Lease Commencement Date.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9 of the Basic Lease Provisions and Section 1 of the Standard Lease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Lease are hereby amended to provide that the Commencement Date is September 1, 2016.</w:t>
      </w:r>
    </w:p>
    <w:p>
      <w:pPr>
        <w:spacing w:after="0" w:line="202" w:lineRule="exact"/>
        <w:rPr>
          <w:rFonts w:ascii="Arial" w:cs="Arial" w:eastAsia="Arial" w:hAnsi="Arial"/>
          <w:sz w:val="22"/>
          <w:szCs w:val="22"/>
          <w:b w:val="1"/>
          <w:bCs w:val="1"/>
          <w:color w:val="auto"/>
        </w:rPr>
      </w:pPr>
    </w:p>
    <w:p>
      <w:pPr>
        <w:jc w:val="both"/>
        <w:ind w:firstLine="656"/>
        <w:spacing w:after="0" w:line="246" w:lineRule="auto"/>
        <w:tabs>
          <w:tab w:leader="none" w:pos="1459"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Expansion of Premises</w:t>
      </w:r>
      <w:r>
        <w:rPr>
          <w:rFonts w:ascii="Arial" w:cs="Arial" w:eastAsia="Arial" w:hAnsi="Arial"/>
          <w:sz w:val="22"/>
          <w:szCs w:val="22"/>
          <w:color w:val="auto"/>
        </w:rPr>
        <w:t>. Commencing on the earlier to occur of (i) March 1, 2017, or (ii) the substantial</w:t>
      </w:r>
      <w:r>
        <w:rPr>
          <w:rFonts w:ascii="Arial" w:cs="Arial" w:eastAsia="Arial" w:hAnsi="Arial"/>
          <w:sz w:val="22"/>
          <w:szCs w:val="22"/>
          <w:b w:val="1"/>
          <w:bCs w:val="1"/>
          <w:color w:val="auto"/>
        </w:rPr>
        <w:t xml:space="preserve"> </w:t>
      </w:r>
      <w:r>
        <w:rPr>
          <w:rFonts w:ascii="Arial" w:cs="Arial" w:eastAsia="Arial" w:hAnsi="Arial"/>
          <w:sz w:val="22"/>
          <w:szCs w:val="22"/>
          <w:color w:val="auto"/>
        </w:rPr>
        <w:t>completion (i.e. the issuance of a certificate of occupancy by the applicable governmental agency) of the Expansion Premises Improvements (hereinafter defined) (the “</w:t>
      </w:r>
      <w:r>
        <w:rPr>
          <w:rFonts w:ascii="Arial" w:cs="Arial" w:eastAsia="Arial" w:hAnsi="Arial"/>
          <w:sz w:val="22"/>
          <w:szCs w:val="22"/>
          <w:b w:val="1"/>
          <w:bCs w:val="1"/>
          <w:color w:val="auto"/>
        </w:rPr>
        <w:t>Expansion Premises Commencement Date</w:t>
      </w:r>
      <w:r>
        <w:rPr>
          <w:rFonts w:ascii="Arial" w:cs="Arial" w:eastAsia="Arial" w:hAnsi="Arial"/>
          <w:sz w:val="22"/>
          <w:szCs w:val="22"/>
          <w:color w:val="auto"/>
        </w:rPr>
        <w:t>), the Existing Premises under the Lease shall be expanded to include certain space which is located on the first floor of the Building, consisting of a Rentable Area of 11,235 rentable square feet (the “</w:t>
      </w:r>
      <w:r>
        <w:rPr>
          <w:rFonts w:ascii="Arial" w:cs="Arial" w:eastAsia="Arial" w:hAnsi="Arial"/>
          <w:sz w:val="22"/>
          <w:szCs w:val="22"/>
          <w:b w:val="1"/>
          <w:bCs w:val="1"/>
          <w:color w:val="auto"/>
        </w:rPr>
        <w:t>Expansion Premises</w:t>
      </w:r>
      <w:r>
        <w:rPr>
          <w:rFonts w:ascii="Arial" w:cs="Arial" w:eastAsia="Arial" w:hAnsi="Arial"/>
          <w:sz w:val="22"/>
          <w:szCs w:val="22"/>
          <w:color w:val="auto"/>
        </w:rPr>
        <w:t>”). Wherever the term “</w:t>
      </w:r>
      <w:r>
        <w:rPr>
          <w:rFonts w:ascii="Arial" w:cs="Arial" w:eastAsia="Arial" w:hAnsi="Arial"/>
          <w:sz w:val="22"/>
          <w:szCs w:val="22"/>
          <w:b w:val="1"/>
          <w:bCs w:val="1"/>
          <w:color w:val="auto"/>
        </w:rPr>
        <w:t>Premises</w:t>
      </w:r>
      <w:r>
        <w:rPr>
          <w:rFonts w:ascii="Arial" w:cs="Arial" w:eastAsia="Arial" w:hAnsi="Arial"/>
          <w:sz w:val="22"/>
          <w:szCs w:val="22"/>
          <w:color w:val="auto"/>
        </w:rPr>
        <w:t xml:space="preserve">” is used in this Amendment or in the Lease it shall be deemed to mean the Existing Premises and the Expansion Premises, for a sum total Rentable Area of 48,154 rentable square feet. The Expansion Premises is depicted in the sketch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made a part hereof. Except as modified hereby, Tenant's use and occupancy of the Premises shall be under and subject to all the terms and conditions of the Lease.</w:t>
      </w:r>
    </w:p>
    <w:p>
      <w:pPr>
        <w:spacing w:after="0" w:line="232" w:lineRule="exact"/>
        <w:rPr>
          <w:rFonts w:ascii="Arial" w:cs="Arial" w:eastAsia="Arial" w:hAnsi="Arial"/>
          <w:sz w:val="22"/>
          <w:szCs w:val="22"/>
          <w:color w:val="auto"/>
        </w:rPr>
      </w:pPr>
    </w:p>
    <w:p>
      <w:pPr>
        <w:ind w:firstLine="656"/>
        <w:spacing w:after="0" w:line="269" w:lineRule="auto"/>
        <w:tabs>
          <w:tab w:leader="none" w:pos="1459"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lease term for the Expansion Premises shall be coterminous with the Term for the Existing Premises</w:t>
      </w:r>
      <w:r>
        <w:rPr>
          <w:rFonts w:ascii="Arial" w:cs="Arial" w:eastAsia="Arial" w:hAnsi="Arial"/>
          <w:sz w:val="22"/>
          <w:szCs w:val="22"/>
          <w:b w:val="1"/>
          <w:bCs w:val="1"/>
          <w:color w:val="auto"/>
        </w:rPr>
        <w:t xml:space="preserve"> </w:t>
      </w:r>
      <w:r>
        <w:rPr>
          <w:rFonts w:ascii="Arial" w:cs="Arial" w:eastAsia="Arial" w:hAnsi="Arial"/>
          <w:sz w:val="22"/>
          <w:szCs w:val="22"/>
          <w:color w:val="auto"/>
        </w:rPr>
        <w:t>(i.e. shall expire on November 30, 2025).</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50" w:name="page51"/>
    <w:bookmarkEnd w:id="50"/>
    <w:p>
      <w:pPr>
        <w:ind w:firstLine="656"/>
        <w:spacing w:after="0" w:line="350" w:lineRule="auto"/>
        <w:tabs>
          <w:tab w:leader="none" w:pos="1459"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Rent</w:t>
      </w:r>
      <w:r>
        <w:rPr>
          <w:rFonts w:ascii="Arial" w:cs="Arial" w:eastAsia="Arial" w:hAnsi="Arial"/>
          <w:sz w:val="19"/>
          <w:szCs w:val="19"/>
          <w:color w:val="auto"/>
        </w:rPr>
        <w:t>: Commencing upon the Expansion Premises Commencement Date and continuing until the Expiration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Tenant agrees to pay Landlord Base Rent for the Expansion Premises as follows, without demand, counter-claim or setoff:</w:t>
      </w:r>
    </w:p>
    <w:p>
      <w:pPr>
        <w:spacing w:after="0" w:line="1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Base Rent for the Expansion Premises shall be $179,760.00 (i.e. $16.00 per square foot of Rentable Area calculated on the basis of 11,235 square feet of Rentable Area), and shall be payable in equal monthly installments of $14,980.00 per month, in advance on or before the first day of every month throughout the Term. In the event the Expansion Premises Commencement Date occurs on any date other than on the first day of a month, the Base Rent for such partial month shall be prorated and calculated at a daily rate. The Base Rent for the Expansion Premises shall be increased by three percent (3.0%) on each yearly anniversary of the Commencement Date of the Lease throughout the Term.</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Notwithstanding the foregoing, Landlord shall abate Base Rent for the Expansion Premises </w:t>
      </w:r>
      <w:r>
        <w:rPr>
          <w:rFonts w:ascii="Arial" w:cs="Arial" w:eastAsia="Arial" w:hAnsi="Arial"/>
          <w:sz w:val="21"/>
          <w:szCs w:val="21"/>
          <w:u w:val="single" w:color="auto"/>
          <w:color w:val="auto"/>
        </w:rPr>
        <w:t>only</w:t>
      </w:r>
      <w:r>
        <w:rPr>
          <w:rFonts w:ascii="Arial" w:cs="Arial" w:eastAsia="Arial" w:hAnsi="Arial"/>
          <w:sz w:val="21"/>
          <w:szCs w:val="21"/>
          <w:color w:val="auto"/>
        </w:rPr>
        <w:t xml:space="preserve"> for the first five (5) months immediately following the Expansion Premises Commencement Date (the “</w:t>
      </w:r>
      <w:r>
        <w:rPr>
          <w:rFonts w:ascii="Arial" w:cs="Arial" w:eastAsia="Arial" w:hAnsi="Arial"/>
          <w:sz w:val="21"/>
          <w:szCs w:val="21"/>
          <w:b w:val="1"/>
          <w:bCs w:val="1"/>
          <w:color w:val="auto"/>
        </w:rPr>
        <w:t>Abatement Period</w:t>
      </w:r>
      <w:r>
        <w:rPr>
          <w:rFonts w:ascii="Arial" w:cs="Arial" w:eastAsia="Arial" w:hAnsi="Arial"/>
          <w:sz w:val="21"/>
          <w:szCs w:val="21"/>
          <w:color w:val="auto"/>
        </w:rPr>
        <w:t>”). In the event the Lease shall be terminated by Landlord for Tenant's default prior to the expiration of the full Term under the Lease, Tenant shall immediately pay to Landlord the then unamortized portion of Base Rent for the Abatement Period. Tenant acknowledges that it shall be responsible for the payment of Additional Rent for the Expansion Premises during the Abatement Period. Tenant also acknowledges that it shall be responsible for the payment of Rent for the Existing Premises during the Abatement Period. This provision shall survive the termination of the Lease.</w:t>
      </w:r>
    </w:p>
    <w:p>
      <w:pPr>
        <w:spacing w:after="0" w:line="175" w:lineRule="exact"/>
        <w:rPr>
          <w:sz w:val="20"/>
          <w:szCs w:val="20"/>
          <w:color w:val="auto"/>
        </w:rPr>
      </w:pPr>
    </w:p>
    <w:p>
      <w:pPr>
        <w:jc w:val="both"/>
        <w:ind w:firstLine="656"/>
        <w:spacing w:after="0" w:line="315" w:lineRule="auto"/>
        <w:tabs>
          <w:tab w:leader="none" w:pos="1459"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Additional Rent</w:t>
      </w:r>
      <w:r>
        <w:rPr>
          <w:rFonts w:ascii="Arial" w:cs="Arial" w:eastAsia="Arial" w:hAnsi="Arial"/>
          <w:sz w:val="19"/>
          <w:szCs w:val="19"/>
          <w:color w:val="auto"/>
        </w:rPr>
        <w:t>. Commencing on the Expansion Premises Commencement Date, Tenant shall continue to pay</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Rent in accordance with the Lease, except that Tenant’s Proportionate Share of Operating Expenses shall be calculated based upon a Rentable Area of 48,154 rentable square feet, and Tenant's Share shall be increased to 23.76%.</w:t>
      </w:r>
    </w:p>
    <w:p>
      <w:pPr>
        <w:spacing w:after="0" w:line="166" w:lineRule="exact"/>
        <w:rPr>
          <w:rFonts w:ascii="Arial" w:cs="Arial" w:eastAsia="Arial" w:hAnsi="Arial"/>
          <w:sz w:val="19"/>
          <w:szCs w:val="19"/>
          <w:color w:val="auto"/>
        </w:rPr>
      </w:pPr>
    </w:p>
    <w:p>
      <w:pPr>
        <w:jc w:val="both"/>
        <w:ind w:firstLine="656"/>
        <w:spacing w:after="0" w:line="248" w:lineRule="auto"/>
        <w:tabs>
          <w:tab w:leader="none" w:pos="1459"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 of the Premises</w:t>
      </w:r>
      <w:r>
        <w:rPr>
          <w:rFonts w:ascii="Arial" w:cs="Arial" w:eastAsia="Arial" w:hAnsi="Arial"/>
          <w:sz w:val="22"/>
          <w:szCs w:val="22"/>
          <w:color w:val="auto"/>
        </w:rPr>
        <w:t>. Tenant acknowledges that Landlord has made no representation or promise as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condition of the Expansion Premises. Landlord shall not perform any alterations, additions, or improvements in order to make the Expansion Premises suitable for Tenant. Tenant further acknowledges that it is currently in possession of the Existing Premises and is fully familiar with the physical condition thereof as well as the condition of the Expansion Premises and accepts both the Existing Premises and Expansion Premises “AS IS.” Landlord shall not be liable for any latent or patent defect in the Expansion Premises.</w:t>
      </w:r>
    </w:p>
    <w:p>
      <w:pPr>
        <w:spacing w:after="0" w:line="234" w:lineRule="exact"/>
        <w:rPr>
          <w:sz w:val="20"/>
          <w:szCs w:val="20"/>
          <w:color w:val="auto"/>
        </w:rPr>
      </w:pPr>
    </w:p>
    <w:p>
      <w:pPr>
        <w:jc w:val="both"/>
        <w:ind w:firstLine="656"/>
        <w:spacing w:after="0" w:line="294" w:lineRule="auto"/>
        <w:tabs>
          <w:tab w:leader="none" w:pos="1154" w:val="left"/>
        </w:tabs>
        <w:numPr>
          <w:ilvl w:val="0"/>
          <w:numId w:val="28"/>
        </w:numPr>
        <w:rPr>
          <w:rFonts w:ascii="Arial" w:cs="Arial" w:eastAsia="Arial" w:hAnsi="Arial"/>
          <w:sz w:val="19"/>
          <w:szCs w:val="19"/>
          <w:color w:val="auto"/>
        </w:rPr>
      </w:pPr>
      <w:r>
        <w:rPr>
          <w:rFonts w:ascii="Arial" w:cs="Arial" w:eastAsia="Arial" w:hAnsi="Arial"/>
          <w:sz w:val="19"/>
          <w:szCs w:val="19"/>
          <w:color w:val="auto"/>
        </w:rPr>
        <w:t>Tenant shall, at its sole cost and expense, perform all work necessary or desirable in connection with Tenant’s occupancy of the Expansion Premises and the Existing Premises (collectively, the “</w:t>
      </w:r>
      <w:r>
        <w:rPr>
          <w:rFonts w:ascii="Arial" w:cs="Arial" w:eastAsia="Arial" w:hAnsi="Arial"/>
          <w:sz w:val="19"/>
          <w:szCs w:val="19"/>
          <w:b w:val="1"/>
          <w:bCs w:val="1"/>
          <w:color w:val="auto"/>
        </w:rPr>
        <w:t>Expansion Premises Improvements</w:t>
      </w:r>
      <w:r>
        <w:rPr>
          <w:rFonts w:ascii="Arial" w:cs="Arial" w:eastAsia="Arial" w:hAnsi="Arial"/>
          <w:sz w:val="19"/>
          <w:szCs w:val="19"/>
          <w:color w:val="auto"/>
        </w:rPr>
        <w:t>”). Tenant shall furnish to Landlord, for Landlord’s written approval, plans and specifications for the Expansion Premises Improvements, showing a layout, lighting plan, fixture plan, interior finish and material samples, signage plan, and any work to be done or equipment to be installed by Tenant affecting any structural, mechanical, or electrical portion of the Premises or the Building. The plans and specifications will be prepared by a licensed architect and the electrical and mechanical plans will be prepared by a licensed professional engineer. The plans and specifications shall comply with all applicable laws,</w:t>
      </w: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51" w:name="page52"/>
    <w:bookmarkEnd w:id="51"/>
    <w:p>
      <w:pPr>
        <w:jc w:val="both"/>
        <w:spacing w:after="0" w:line="286" w:lineRule="auto"/>
        <w:rPr>
          <w:sz w:val="20"/>
          <w:szCs w:val="20"/>
          <w:color w:val="auto"/>
        </w:rPr>
      </w:pPr>
      <w:r>
        <w:rPr>
          <w:rFonts w:ascii="Arial" w:cs="Arial" w:eastAsia="Arial" w:hAnsi="Arial"/>
          <w:sz w:val="19"/>
          <w:szCs w:val="19"/>
          <w:color w:val="auto"/>
        </w:rPr>
        <w:t>ordinances, directives, rules, regulations, and other requirements imposed by any and all governmental authorities having or asserting jurisdiction over the Expansion Premises and the Existing Premises. Landlord shall review the plans and specifications and either approve or disapprove them, in Landlord’s sole discretion, within a reasonable period of time not exceeding five (5) business days from receipt by Landlord thereof. The Expansion Premises Improvements shall be constructed by a licensed general contractor selected and paid by Tenant and approved by Landlord in writing, which approval shall not be unreasonably withheld or delayed. Tenant shall cooperate as reasonably necessary so that its general contractor will cause the Expansion Premises Improvements to be completed promptly and with due diligence. The Expansion Premises Improvements shall be performed in accordance with the plans and specifications as approved by Landlord and shall be done in a good and workmanlike manner using new materials. All such work shall be done in compliance with all other applicable provisions of the Lease and with all applicable laws, ordinances, directives, rules, regulations, and other requirements of any governmental authorities having or asserting jurisdiction over the Premises, and Tenant shall, prior to the commencement of any such work, at its sole cost and expense, obtain and exhibit to Landlord all building and/or other governmental permits required in connection with such work. Prior to the commencement of any work by Tenant, Tenant shall furnish to Landlord a certificate of insurance in accordance with the requirements set forth in the Lease. Any damage to any part of the Premises Building which occurs as a result of the Expansion Premises Improvements shall be promptly repaired by Tenant.</w:t>
      </w:r>
    </w:p>
    <w:p>
      <w:pPr>
        <w:spacing w:after="0" w:line="312" w:lineRule="exact"/>
        <w:rPr>
          <w:sz w:val="20"/>
          <w:szCs w:val="20"/>
          <w:color w:val="auto"/>
        </w:rPr>
      </w:pPr>
    </w:p>
    <w:p>
      <w:pPr>
        <w:jc w:val="both"/>
        <w:ind w:firstLine="656"/>
        <w:spacing w:after="0" w:line="286" w:lineRule="auto"/>
        <w:tabs>
          <w:tab w:leader="none" w:pos="1017"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Provided Tenant shall not be in default under the terms of the Lease as hereby amended beyond any applicable notice, grace and cure periods, Landlord shall pay an improvement allowance equal to the </w:t>
      </w:r>
      <w:r>
        <w:rPr>
          <w:rFonts w:ascii="Arial" w:cs="Arial" w:eastAsia="Arial" w:hAnsi="Arial"/>
          <w:sz w:val="19"/>
          <w:szCs w:val="19"/>
          <w:u w:val="single" w:color="auto"/>
          <w:color w:val="auto"/>
        </w:rPr>
        <w:t>lesser</w:t>
      </w:r>
      <w:r>
        <w:rPr>
          <w:rFonts w:ascii="Arial" w:cs="Arial" w:eastAsia="Arial" w:hAnsi="Arial"/>
          <w:sz w:val="19"/>
          <w:szCs w:val="19"/>
          <w:color w:val="auto"/>
        </w:rPr>
        <w:t xml:space="preserve"> of (i) the actual cost of the Expansion Premises Improvements (including Soft Costs, as defined in the Lease) and any other costs relating to Tenant's relocation, or (ii) the product of the Rentable Area of the Expansion Premises (11,235 rentable square feet) and $40.00 (i.e. $449,400.00) (the " </w:t>
      </w:r>
      <w:r>
        <w:rPr>
          <w:rFonts w:ascii="Arial" w:cs="Arial" w:eastAsia="Arial" w:hAnsi="Arial"/>
          <w:sz w:val="19"/>
          <w:szCs w:val="19"/>
          <w:b w:val="1"/>
          <w:bCs w:val="1"/>
          <w:color w:val="auto"/>
        </w:rPr>
        <w:t>Expansion Premises Improvements Allowance</w:t>
      </w:r>
      <w:r>
        <w:rPr>
          <w:rFonts w:ascii="Arial" w:cs="Arial" w:eastAsia="Arial" w:hAnsi="Arial"/>
          <w:sz w:val="19"/>
          <w:szCs w:val="19"/>
          <w:color w:val="auto"/>
        </w:rPr>
        <w:t>"), as partial payment for the costs of the Expansion Premises Improvements.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may apply the Expansion Premises Improvements Allowance towards Soft Costs (as defined in the Lease) at either the Expansion Premises or the Existing Premises. Landlord’s payment of the Expansion Premises Improvements Allowance to Tenant is conditioned upon (a) Landlord’s receipt and approval of copies of verifiable paid invoices from the parties performing the work and/or the space planning in connection with the Expansion Premises Improvements and/or the Tenant Improvements to the Existing Premises, and, (b) if required by Landlord, final contractor's affidavits and final lien waivers from Tenant’s contractors, subcontractors and others supplying materials for and performing the work in any portion of the Premises for Tenant. The Expansion Premises Improvements Allowance, or the applicable portion thereof, shall be paid to Tenant within thirty (30) days of Tenant’s delivery of all of the required invoices and any applicable lien waivers to Landlord. Tenant shall be responsible for all costs associated with the design and construction of the Expansion Premises Improvements over and above the Expansion Premises Improvements Allowance. Any portion of the Expansion Premises Improvement Allowance which is not applied by December 31, 2017 shall be retained by Landlord, and no credit shall be given to Tenant for any such unused portion thereof. Landlord shall assess a construction management fee from the Tenant in the amount of three percent (3%) of the Expansion Premises Improvements Allowance in connection with Landlord’s supervision of the Expansion Premises Improvements, which shall be paid from the Expansion</w:t>
      </w: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22"/>
          <w:szCs w:val="22"/>
          <w:color w:val="auto"/>
        </w:rPr>
        <w:t>Premises Improvements Allowance</w:t>
      </w:r>
      <w:r>
        <w:rPr>
          <w:rFonts w:ascii="Arial" w:cs="Arial" w:eastAsia="Arial" w:hAnsi="Arial"/>
          <w:sz w:val="22"/>
          <w:szCs w:val="22"/>
          <w:i w:val="1"/>
          <w:iCs w:val="1"/>
          <w:color w:val="auto"/>
        </w:rPr>
        <w:t>.</w:t>
      </w:r>
      <w:r>
        <w:rPr>
          <w:rFonts w:ascii="Arial" w:cs="Arial" w:eastAsia="Arial" w:hAnsi="Arial"/>
          <w:sz w:val="22"/>
          <w:szCs w:val="22"/>
          <w:color w:val="auto"/>
        </w:rPr>
        <w:t xml:space="preserve"> Within thirty (30) days after the Expansion Premises Improvements have been substantially completed, Tenant shall promptly deliver to Landlord a copy of the certificate of occupancy issued by the appropriate governmental authority.</w:t>
      </w:r>
    </w:p>
    <w:p>
      <w:pPr>
        <w:spacing w:after="0" w:line="78" w:lineRule="exact"/>
        <w:rPr>
          <w:sz w:val="20"/>
          <w:szCs w:val="20"/>
          <w:color w:val="auto"/>
        </w:rPr>
      </w:pPr>
    </w:p>
    <w:p>
      <w:pPr>
        <w:jc w:val="both"/>
        <w:ind w:firstLine="656"/>
        <w:spacing w:after="0" w:line="254" w:lineRule="auto"/>
        <w:tabs>
          <w:tab w:leader="none" w:pos="108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At Landlord's option, if Landlord receives notice that a lien has been filed with respect to the Expansion Premises Improvements, the Expansion Premises Improvements Allowance, or any portion thereof, may be paid by Landlord directly to the general contractor performing the Expansion Premises Improvements or to any lienor giving notice as defined in the Florida Construction Lien Law.</w:t>
      </w:r>
    </w:p>
    <w:p>
      <w:pPr>
        <w:spacing w:after="0" w:line="77" w:lineRule="exact"/>
        <w:rPr>
          <w:rFonts w:ascii="Arial" w:cs="Arial" w:eastAsia="Arial" w:hAnsi="Arial"/>
          <w:sz w:val="22"/>
          <w:szCs w:val="22"/>
          <w:color w:val="auto"/>
        </w:rPr>
      </w:pPr>
    </w:p>
    <w:p>
      <w:pPr>
        <w:jc w:val="both"/>
        <w:ind w:firstLine="656"/>
        <w:spacing w:after="0" w:line="285" w:lineRule="auto"/>
        <w:tabs>
          <w:tab w:leader="none" w:pos="1071"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Tenant shall never, under any circumstances, have the power to subject the interest of Landlord in the Premises, the Building, or the Land (hereinafter defined) to any mechanic’s, materialmen’s, or construction liens of any kind. In order to comply with the provisions of Chapter 713.10, Florida Statutes, it is specifically provided that neither Tenant nor anyone claiming by, through or under Tenant, including, but not limited to, contractors, subcontractors, materialmen, mechanics and/or laborers, shall have any right to file or place any mechanics’, materialmen’s or construction liens of any kind whatsoever upon the Premises, the Building, the Land, or improvements thereon, and any such liens are hereby specifically prohibited. All parties with whom Tenant may deal are put on notice that Tenant has no power to subject Landlord’s interest to any mechanics’, materialmen’s or construction lien of any kind or character, and all such persons so dealing with Tenant must look solely to the credit of Tenant, and not to Landlord’s interest or assets. IN ADDITION, THE INTEREST OF LANDLORD IN THE PREMISES, THE BUILDING, AND THE LAND SHALL NOT BE SUBJECT TO LIENS FOR IMPROVEMENTS TO THE PREMISES, THE BUILDING, AND/OR THE LAND MADE BY TENANT, NOTWITHSTANDING ANY APPROVAL BY LANDLORD OF ANY CONTRACT(S) WITH ANY CONTRACTOR(S), AND/OR LANDLORD’S APPROVAL OF ANY SUCH IMPROVEMENT(S) AND/OR PLANS. PRIOR TO ENTERING INTO ANY CONTRACT FOR THE CONSTRUCTION OF ANY ALTERATION OR IMPROVEMENT, TENANT SHALL NOTIFY THE CONTRACTOR MAKING IMPROVEMENTS TO THE PREMISES, THE BUILDING AND/OR THE LAND OF THE FOREGOING PROVISION, AND TENANT’S KNOWING OR WILLFUL FAILURE TO PROVIDE SUCH NOTICE TO THE CONTRACTOR SHALL RENDER THE CONTRACT BETWEEN TENANT AND THE CONTRACTOR VOIDABLE AT THE OPTION OF THE CONTRACTOR. Simultaneously with the Landlord’s and Tenant’s execution of this Lease, but in no event, later than the filing of any notice of commencement against the Premises, Tenant agrees to execute and deliver to Landlord a memorandum of lease in such form as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made a part hereof, which, among other things, sets forth the covenant against liens as described in this Section 7 for purposes of compliance with Florida Statute 713.10. Tenant agrees that in no event shall a notice of commencement be recorded in the public records of Palm Beach County, Florida against the Premises prior to the recording of the memorandum of lease. Landlord shall have the right, in its sole and absolute discretion, to record the memorandum of lease in the public records of Palm Beach County, Florida. Further, Tenant appoints Landlord its attorney in fact coupled with an interest to terminate any such memorandum of lease which, if any, has been recorded, upon the expiration or termination of this Lease due to the lapse of time or otherwise.</w:t>
      </w:r>
    </w:p>
    <w:p>
      <w:pPr>
        <w:spacing w:after="0" w:line="304" w:lineRule="exact"/>
        <w:rPr>
          <w:sz w:val="20"/>
          <w:szCs w:val="20"/>
          <w:color w:val="auto"/>
        </w:rPr>
      </w:pPr>
    </w:p>
    <w:p>
      <w:pPr>
        <w:ind w:right="20" w:firstLine="656"/>
        <w:spacing w:after="0" w:line="269" w:lineRule="auto"/>
        <w:tabs>
          <w:tab w:leader="none" w:pos="1459"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Permitted Use.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use the Expansion Premises only for the permitted use identified Section 6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Lease Provisions of the Lease.</w:t>
      </w:r>
    </w:p>
    <w:p>
      <w:pPr>
        <w:spacing w:after="0" w:line="1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53" w:name="page54"/>
    <w:bookmarkEnd w:id="53"/>
    <w:p>
      <w:pPr>
        <w:jc w:val="both"/>
        <w:ind w:left="-656" w:firstLine="656"/>
        <w:spacing w:after="0" w:line="249" w:lineRule="auto"/>
        <w:tabs>
          <w:tab w:leader="none" w:pos="802"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Brokers</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and Tenant represent that, except for Avison Young, representing Landlord, the parties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dealt with any real estate broker, sales person or finder in connection with this Amendment, and no other real estate broker initiated or participated in the negotiation of this Amendment. Tenant agrees to indemnify and hold harmless Landlord from and against any liabilities (including, without limitation, reasonable attorneys’ fees and expenses) and claims for commissions and fees arising out of a breach of the foregoing representation.</w:t>
      </w:r>
    </w:p>
    <w:p>
      <w:pPr>
        <w:spacing w:after="0" w:line="227" w:lineRule="exact"/>
        <w:rPr>
          <w:rFonts w:ascii="Arial" w:cs="Arial" w:eastAsia="Arial" w:hAnsi="Arial"/>
          <w:sz w:val="22"/>
          <w:szCs w:val="22"/>
          <w:color w:val="auto"/>
        </w:rPr>
      </w:pPr>
    </w:p>
    <w:p>
      <w:pPr>
        <w:ind w:left="-656" w:firstLine="656"/>
        <w:spacing w:after="0" w:line="269" w:lineRule="auto"/>
        <w:tabs>
          <w:tab w:leader="none" w:pos="910"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expressly set forth herein, all of the terms and conditions of the Lease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full force and effect and shall apply to this Amendment.</w:t>
      </w:r>
    </w:p>
    <w:p>
      <w:pPr>
        <w:spacing w:after="0" w:line="202" w:lineRule="exact"/>
        <w:rPr>
          <w:rFonts w:ascii="Arial" w:cs="Arial" w:eastAsia="Arial" w:hAnsi="Arial"/>
          <w:sz w:val="22"/>
          <w:szCs w:val="22"/>
          <w:color w:val="auto"/>
        </w:rPr>
      </w:pPr>
    </w:p>
    <w:p>
      <w:pPr>
        <w:jc w:val="both"/>
        <w:ind w:left="-656" w:firstLine="656"/>
        <w:spacing w:after="0" w:line="285" w:lineRule="auto"/>
        <w:tabs>
          <w:tab w:leader="none" w:pos="902"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Ratification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undersigned parties hereby ratify and reaffirm their rights and obligations under the Lease as</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by this Amendment. In the event of a conflict or ambiguity between the Lease and this Amendment, the terms and provisions of this Amendment shall control. Landlord and Tenant each represent and warrant to the other: (i) that the execution and delivery of this Amendment has been fully authorized by all necessary corporate actions; (ii) that the person signing this Amendment has requisite authority to do so and the authority and power to bind the company of whose behalf they have signed; and (iii) that to the best of their knowledge and belief, this Amendment is valid, binding and legally enforceable in accordance with its terms. Each party hereby warrants and represents that, to the best of its knowledge: (w) as of the date hereof the parties have complied with all of the terms and conditions of the Lease; (x) Tenant has no right to any credit, claim, cause of action, offset or similar charge against Landlord, Base Rent or Additional Rent existing as of the date hereof; (y) neither party is in default of any of the terms or conditions of the Lease as of the date of this Amendment nor knows of any facts which, given the passage of time, would constitute a default by either party under the Lease; and (z) neither party has assigned any of its right, title and interest in, to and under the Lease to any other party. Each party further agrees to indemnify and hold the other party harmless from and against any and all claims losses, demands, liabilities, damages and expenses of any kind or nature whatsoever, including, without limitation, attorneys’ fees and costs paid or incurred in connection therewith at both trial and appellate levels, incurred or arising by reason of a breach or violation of any of the agreements, obligations, duties or representations and warranties of such party contained in this Amendment. As of the date hereof, Tenant and its successors and assigns hereby release, acquit, satisfy, and forever discharge Landlord and its employees, agents, officers, directors, shareholders, subsidiaries, affiliates, successors and assigns, from any and all actions, causes of action, claims, demands, rights, damages, costs, losses, expenses, occurrences and liabilities of any kind or nature whatsoever, both known and unknown, arising out of any matter, happening or thing, from the beginning of time and relating to the Existing Premises and the Lease, as amended hereby.</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left="-656" w:firstLine="656"/>
        <w:spacing w:after="0" w:line="274" w:lineRule="auto"/>
        <w:tabs>
          <w:tab w:leader="none" w:pos="910"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may be executed in several counterparts, each of which shall be fully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as an original and all of which together shall constitute one and the same instrument. Signature pages may be detached from the counterparts and attached to a single copy of this document to physically form 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882" w:right="239" w:bottom="1440" w:gutter="0" w:footer="0" w:header="0"/>
        </w:sectPr>
      </w:pPr>
    </w:p>
    <w:bookmarkStart w:id="54" w:name="page55"/>
    <w:bookmarkEnd w:id="54"/>
    <w:p>
      <w:pPr>
        <w:ind w:left="2520"/>
        <w:spacing w:after="0"/>
        <w:rPr>
          <w:sz w:val="20"/>
          <w:szCs w:val="20"/>
          <w:color w:val="auto"/>
        </w:rPr>
      </w:pPr>
      <w:r>
        <w:rPr>
          <w:rFonts w:ascii="Arial" w:cs="Arial" w:eastAsia="Arial" w:hAnsi="Arial"/>
          <w:sz w:val="19"/>
          <w:szCs w:val="19"/>
          <w:color w:val="auto"/>
        </w:rPr>
        <w:t>[SIGNATURES APPEAR ON FOLLOWING PAGE]</w:t>
      </w:r>
    </w:p>
    <w:p>
      <w:pPr>
        <w:sectPr>
          <w:pgSz w:w="11900" w:h="16838" w:orient="portrait"/>
          <w:cols w:equalWidth="0" w:num="1">
            <w:col w:w="9019"/>
          </w:cols>
          <w:pgMar w:left="14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631" w:right="1440" w:bottom="1440" w:gutter="0" w:footer="0" w:header="0"/>
          <w:type w:val="continuous"/>
        </w:sectPr>
      </w:pPr>
    </w:p>
    <w:bookmarkStart w:id="55" w:name="page56"/>
    <w:bookmarkEnd w:id="55"/>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by Landlord and Tenant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LANDLORD:</w:t>
      </w: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MAINSTREET CV NORTH 40, LLC</w:t>
      </w:r>
      <w:r>
        <w:rPr>
          <w:rFonts w:ascii="Arial" w:cs="Arial" w:eastAsia="Arial" w:hAnsi="Arial"/>
          <w:sz w:val="22"/>
          <w:szCs w:val="22"/>
          <w:color w:val="auto"/>
        </w:rPr>
        <w:t>, a Delaware limited liability company</w:t>
      </w:r>
    </w:p>
    <w:p>
      <w:pPr>
        <w:spacing w:after="0" w:line="239"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 Mainstreet 40, Ltd., a Florida limited partnership,</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Manager</w:t>
      </w:r>
    </w:p>
    <w:p>
      <w:pPr>
        <w:spacing w:after="0" w:line="21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 Mainstreet N40, Inc., a Florida corporation, General Partner</w:t>
      </w:r>
    </w:p>
    <w:p>
      <w:pPr>
        <w:spacing w:after="0" w:line="23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J. Kilgallon</w:t>
      </w:r>
    </w:p>
    <w:p>
      <w:pPr>
        <w:ind w:left="458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Paul J. Kilgallon</w:t>
      </w:r>
    </w:p>
    <w:p>
      <w:pPr>
        <w:ind w:left="4560"/>
        <w:spacing w:after="0" w:line="230"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September 19, 2016</w:t>
      </w:r>
    </w:p>
    <w:p>
      <w:pPr>
        <w:spacing w:after="0" w:line="263"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CROSS COUNTRY HEALTHCARE, INC.</w:t>
      </w:r>
      <w:r>
        <w:rPr>
          <w:rFonts w:ascii="Arial" w:cs="Arial" w:eastAsia="Arial" w:hAnsi="Arial"/>
          <w:sz w:val="22"/>
          <w:szCs w:val="22"/>
          <w:color w:val="auto"/>
        </w:rPr>
        <w:t>, a Delaware</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corporation</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J. Burns</w:t>
      </w:r>
    </w:p>
    <w:p>
      <w:pPr>
        <w:ind w:left="458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William J. Burns</w:t>
      </w:r>
    </w:p>
    <w:p>
      <w:pPr>
        <w:ind w:left="45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31" w:right="2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1881505</wp:posOffset>
            </wp:positionH>
            <wp:positionV relativeFrom="page">
              <wp:posOffset>406400</wp:posOffset>
            </wp:positionV>
            <wp:extent cx="3799205" cy="7409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79920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44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MEMORANDUM OF LEASE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4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631"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Prepared By and 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Itskovich,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and Cassel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7777 Glades Road,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 33434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MEMORANDUM OF LEASE</w:t>
      </w:r>
    </w:p>
    <w:p>
      <w:pPr>
        <w:spacing w:after="0" w:line="22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Lease</w:t>
      </w:r>
      <w:r>
        <w:rPr>
          <w:rFonts w:ascii="Arial" w:cs="Arial" w:eastAsia="Arial" w:hAnsi="Arial"/>
          <w:sz w:val="18"/>
          <w:szCs w:val="18"/>
          <w:color w:val="auto"/>
        </w:rPr>
        <w:t>: Lease Agreement dated ________________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MAINSTREET CV NORTH 40, LLC,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  CROSS COUNTRY HEALTHCARE, INC.,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Certain space containing 48,154 rentable square feet located on the ground floor (the “</w:t>
      </w:r>
      <w:r>
        <w:rPr>
          <w:rFonts w:ascii="Arial" w:cs="Arial" w:eastAsia="Arial" w:hAnsi="Arial"/>
          <w:sz w:val="18"/>
          <w:szCs w:val="18"/>
          <w:b w:val="1"/>
          <w:bCs w:val="1"/>
          <w:color w:val="auto"/>
        </w:rPr>
        <w:t>Premises</w:t>
      </w:r>
      <w:r>
        <w:rPr>
          <w:rFonts w:ascii="Arial" w:cs="Arial" w:eastAsia="Arial" w:hAnsi="Arial"/>
          <w:sz w:val="18"/>
          <w:szCs w:val="18"/>
          <w:color w:val="auto"/>
        </w:rPr>
        <w:t>”) of the building located at 5201 Congress Road (the “</w:t>
      </w:r>
      <w:r>
        <w:rPr>
          <w:rFonts w:ascii="Arial" w:cs="Arial" w:eastAsia="Arial" w:hAnsi="Arial"/>
          <w:sz w:val="18"/>
          <w:szCs w:val="18"/>
          <w:b w:val="1"/>
          <w:bCs w:val="1"/>
          <w:color w:val="auto"/>
        </w:rPr>
        <w:t>Building</w:t>
      </w:r>
      <w:r>
        <w:rPr>
          <w:rFonts w:ascii="Arial" w:cs="Arial" w:eastAsia="Arial" w:hAnsi="Arial"/>
          <w:sz w:val="18"/>
          <w:szCs w:val="18"/>
          <w:color w:val="auto"/>
        </w:rPr>
        <w:t>”), which building is situated in the land (the “</w:t>
      </w:r>
      <w:r>
        <w:rPr>
          <w:rFonts w:ascii="Arial" w:cs="Arial" w:eastAsia="Arial" w:hAnsi="Arial"/>
          <w:sz w:val="18"/>
          <w:szCs w:val="18"/>
          <w:b w:val="1"/>
          <w:bCs w:val="1"/>
          <w:color w:val="auto"/>
        </w:rPr>
        <w:t>Land</w:t>
      </w:r>
      <w:r>
        <w:rPr>
          <w:rFonts w:ascii="Arial" w:cs="Arial" w:eastAsia="Arial" w:hAnsi="Arial"/>
          <w:sz w:val="18"/>
          <w:szCs w:val="18"/>
          <w:color w:val="auto"/>
        </w:rPr>
        <w:t>”) legally described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PARCEL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in Section 6, Township 47 South, Range 43 East, Palm Beach County, Florida, described as follows:</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Commence at the Southwest corner of said Section 6; thence North 0 degrees 29 minutes 15 seconds East, along the West line of said Section 6, 20.00 feet; thence South 89 degrees 42 minutes 30 seconds East, parallel with the South line of said Section 6, 117.50 feet to the Point of Beginning; thence South 89 degrees 42 minutes 30 seconds East, 190.00 feet; thence North 0 degrees 17 minutes 30 seconds East, 290.79 feet; thence North 30 degrees 29 minutes 15 seconds East, 325.02 feet; thence South 89 degrees 30 minutes 45 seconds East, 401.00 feet to the West right-of-way line of Congress Avenue according to the plat thereof recorded in Road Plat Book 4, Page 143 of the Public Records of Palm Beach County, Florida; thence North 0 degrees 29 minutes 15 seconds East along said West right-of-way line, 135.00 feet to the Southeast corner of Parcel U, Arvida Park of Commerce Plat No. 5, according to the plat thereof recorded in Plat Book 44, at pages 111 and 112 of the Public Records of Palm Beach County, Florida; thence North 0 degrees 29 minutes 15 seconds East, along the East line of said Parcel U, 563.50 feet; thence North 44 degrees 30 minutes 45 seconds West, along the Northeasterly line of said Parcel U, 35.36 feet; thence North 89 degrees 30 minutes 45 seconds West, along the North line of Parcel U, 229.01 feet to a point of curvature of a curve concave Northerly with a radius of 341.19 feet and a central angle of 23 degrees 14 minutes 51 seconds; thence Westerly, along the arc of said curve and the North line of said Parcel U, 138.44 feet; thence South 23 degrees 44 minutes 06 seconds West, along the West line of said Parcel U, 46.45 feet; thence South 19 degrees 17 minutes 46 seconds West, 69.99 feet to a point of curvature on a curve concave Westerly with a radius of 25 feet and a central angle of 2 degrees 49 minutes 54 seconds, thence Southerly along the arc of said curve, 1.24 feet; thence North 0 degrees 29 minutes 15 seconds East, 13.89 feet; thence North 89 degrees 30 minutes 45 seconds West, 440.00 feet to the West line of said Section 6; thence South 0 degrees 29 minutes 15 seconds West, along said West line, 515.97 feet; thence South 88 degrees 35 minutes 00 seconds East, 57.50 feet; thence South 0 degrees 29 minutes 15 seconds West, parallel with the said West line of Section 6, 250.00 feet; thence South 88 degrees 35 minutes 00 seconds East, 20.00 feet; thence South 0 degrees 29 minutes 15 seconds West, parallel with the said West line of Section 6, 435.82 feet to a line 45.00 feet North of and parallel with the South line of said Section 6; thence South 89 degrees 42 minutes 30 seconds East, along said parallel line, 40.00 feet; thence South 0 degrees 29 minutes 15 seconds West, parallel with the said West line of Section 6, 25.00 feet to the Point of Beginning.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that certain Grant of Easement filed in Official Records Book 3489, Page 939.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non-exclusive easement of enjoyment to the Common area as described and granted in Declaration of Covenants and Restrictions for Arvida Park of Commerce recorded in Official Records Book 3047, page 1110, as amended.</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PARCEL 2:</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parcel of land lying and being in Sections 1 and 12, Township 47 South, Range 42 East and Sections 6 and 7, Township 47 South, Range 43 East, Palm Beach County, Florida, described as follows: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Commence at the Northeast corner of said Section 12; thence South 00 degrees 29 minutes 15 seconds West, along the East line of said Section 12, a distance of 80.01 feet to the North right-of-way line of N.W. 51st Street and the Point of Beginning of this description; thence North 88 degrees 35 minutes 00 seconds West, along a line 80.00 feet South of, and parallel with, as measured at right angles to the North line of said Section 12, a distance of 453.93 feet; thence North 00 degrees 24 minutes 40 seconds East, a distance of 149.73 feet; thence North 89 degrees 35 minutes 20 seconds West, a distance of 4.27 feet; thence North 00 degrees 24 minutes 40 seconds East, a distance of 69.93 feet; thence North 89 degrees 35 minutes 20 seconds West, a distance of 2.46 feet; thence North 00 degrees 24 minutes 40 seconds East, a distance of 578.59 feet; thence South 89 degrees 35 minutes 20 seconds East, a distance of 14.51 feet; thence North 00 degrees 24 minutes 40 seconds West, a distance of 13.99 feet; thence South 88 degrees 35 minutes 00 seconds East, a distance of 447.44 feet to the East line of said Section 1; thence continue South 88 degrees 35 minutes 00 seconds East, a distance of 57.50 feet; thence South 00 degrees 29 minutes 15 seconds West, parallel with the East line of said Section 1, a distance of 250.00 feet; thence South 88 degrees 35 minutes 00 seconds East, a distance of 20.00 feet; thence South 00 degrees 29 minutes 15 seconds West, a distance of 435.82 feet to a line 45.00 feet North of and parallel with the South line of said Section 6; thence South 89 degrees 42 minutes 30 seconds East, along said parallel line, a distance of 40.00 feet; thence South 00 degrees 29 minutes 15 seconds West, a distance of 45.00 feet to the South line of said Section 6; thence continue South 00 degrees 29 minutes 15 seconds West, a distance of 80.00 feet to a line 80.00 feet South of and parallel with the South line of said Section 6, said point being further described as being the North right-of-way line of N.W. 51st Street; thence North 89 degrees 42 minutes 30 seconds West, along said parallel line, a distance of 117.50 feet to the said Point of Beginning of this description.</w:t>
      </w:r>
    </w:p>
    <w:p>
      <w:pPr>
        <w:spacing w:after="0" w:line="3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TOGETHER WITH perpetual non-exclusive rights, privileges and easements (to the extent that they constitute an interest in real property) as described in granted in Declaration of Reciprocal Easements and Covenants filed July 18, 1995 in Official Records Book 8841, page 423.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Said land situate, lying and being in Palm Beach County, Florida.</w:t>
      </w:r>
    </w:p>
    <w:p>
      <w:pPr>
        <w:spacing w:after="0" w:line="200" w:lineRule="exact"/>
        <w:rPr>
          <w:sz w:val="20"/>
          <w:szCs w:val="20"/>
          <w:color w:val="auto"/>
        </w:rPr>
      </w:pPr>
    </w:p>
    <w:p>
      <w:pPr>
        <w:spacing w:after="0" w:line="214" w:lineRule="exact"/>
        <w:rPr>
          <w:sz w:val="20"/>
          <w:szCs w:val="20"/>
          <w:color w:val="auto"/>
        </w:rPr>
      </w:pPr>
    </w:p>
    <w:p>
      <w:pPr>
        <w:jc w:val="both"/>
        <w:ind w:left="1300" w:hanging="644"/>
        <w:spacing w:after="0" w:line="268"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Lien on Landlord’s Interest Prohibited</w:t>
      </w:r>
      <w:r>
        <w:rPr>
          <w:rFonts w:ascii="Arial" w:cs="Arial" w:eastAsia="Arial" w:hAnsi="Arial"/>
          <w:sz w:val="17"/>
          <w:szCs w:val="17"/>
          <w:color w:val="auto"/>
        </w:rPr>
        <w:t>. Tenant shall never, under any circumstances, have the power to subject the interest of Landlord in the Premises, the Building, or the Land to any mechanic’s, materialmen’s, or construction liens of any kind. In order to comply with the provisions of Chapter 713.10, Florida Statutes, it is specifically provided that neither Tenant nor anyone claiming by, through or under Tenant, including, but not limited to, contractors, subcontractors, materialmen, mechanics and/or laborers, shall have any right to file or place any mechanics’, materialmen’s or construction liens of any kind whatsoever upon the Premises, the Building, the Land, or improvements thereon, and any such liens are hereby specifically prohibited. All parties with whom Tenant may deal are put on notice that Tenant has no power to subject Landlord’s interest to any mechanics’, materialmen’s or construction lien of any kind or character, and all such persons so dealing with Tenant must look solely to the credit of Tenant, and not to Landlord’s interest or assets. IN ADDITION, THE INTEREST OF LANDLORD IN THE PREMISES, THE BUILDING, AND THE LAND SHALL NOT BE SUBJECT TO LIENS FOR IMPROVEMENTS TO THE PREMISES, THE BUILDING, AND/OR THE LAND MADE BY TENANT, NOTWITHSTANDING ANY APPROVAL BY LANDLORD OF ANY CONTRACT(S) WITH ANY CONTRACTOR(S), AND/OR LANDLORD’S APPROVAL OF ANY SUCH IMPROVEMENT(S) AND/OR PLANS. PRIOR TO ENTERING INTO ANY CONTRACT FOR THE CONSTRUCTION OF ANY ALTERATION OR IMPROVEMENT, TENANT SHALL NOTIFY THE CONTRACTOR MAKING IMPROVEMENTS TO THE PREMISES, THE BUILDING AND/OR THE LAND OF THE FOREGOING PROVISION, AND TENANT’S KNOWING OR WILLFUL FAILURE TO PROVIDE SUCH NOTICE TO THE CONTRACTOR SHALL RENDER THE CONTRACT BETWEEN TENANT AND THE CONTRACTOR VOIDABLE AT THE OPTION OF THE CONTRACTOR.</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color w:val="auto"/>
        </w:rPr>
        <w:t>[Signature Pages Follow]</w:t>
      </w:r>
    </w:p>
    <w:p>
      <w:pPr>
        <w:spacing w:after="0" w:line="28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1057"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 PAGE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LEASE]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and Tenant have signed this Memorandum of Lease as of the day and year first above written.</w:t>
      </w:r>
    </w:p>
    <w:p>
      <w:pPr>
        <w:spacing w:after="0" w:line="225"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WITNESS/ATTEST:</w:t>
      </w:r>
      <w:r>
        <w:rPr>
          <w:sz w:val="20"/>
          <w:szCs w:val="20"/>
          <w:color w:val="auto"/>
        </w:rPr>
        <w:tab/>
      </w:r>
      <w:r>
        <w:rPr>
          <w:rFonts w:ascii="Arial" w:cs="Arial" w:eastAsia="Arial" w:hAnsi="Arial"/>
          <w:sz w:val="18"/>
          <w:szCs w:val="18"/>
          <w:color w:val="auto"/>
        </w:rPr>
        <w:t>LANDLORD:</w:t>
      </w:r>
    </w:p>
    <w:p>
      <w:pPr>
        <w:spacing w:after="0" w:line="221"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MAINSTREET CV NORTH 40, LLC</w:t>
      </w:r>
      <w:r>
        <w:rPr>
          <w:rFonts w:ascii="Arial" w:cs="Arial" w:eastAsia="Arial" w:hAnsi="Arial"/>
          <w:sz w:val="17"/>
          <w:szCs w:val="17"/>
          <w:color w:val="auto"/>
        </w:rPr>
        <w:t>, a Delaware limited liability company</w:t>
      </w:r>
    </w:p>
    <w:p>
      <w:pPr>
        <w:sectPr>
          <w:pgSz w:w="11900" w:h="16838" w:orient="portrait"/>
          <w:cols w:equalWidth="0" w:num="1">
            <w:col w:w="11420"/>
          </w:cols>
          <w:pgMar w:left="240" w:top="621" w:right="239" w:bottom="1440" w:gutter="0" w:footer="0" w:header="0"/>
        </w:sect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Mainstreet 40, Ltd., a Florida limited partnership, Manager</w:t>
      </w:r>
    </w:p>
    <w:p>
      <w:pPr>
        <w:spacing w:after="0" w:line="211" w:lineRule="exact"/>
        <w:rPr>
          <w:sz w:val="20"/>
          <w:szCs w:val="20"/>
          <w:color w:val="auto"/>
        </w:rPr>
      </w:pPr>
    </w:p>
    <w:p>
      <w:pPr>
        <w:sectPr>
          <w:pgSz w:w="11900" w:h="16838" w:orient="portrait"/>
          <w:cols w:equalWidth="0" w:num="2">
            <w:col w:w="4800" w:space="400"/>
            <w:col w:w="6220"/>
          </w:cols>
          <w:pgMar w:left="240" w:top="621" w:right="239" w:bottom="1440" w:gutter="0" w:footer="0" w:header="0"/>
          <w:type w:val="continuous"/>
        </w:sectPr>
      </w:pPr>
    </w:p>
    <w:p>
      <w:pPr>
        <w:spacing w:after="0" w:line="3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Mainstreet N40, Inc., a Florida corporation, General Partner</w:t>
      </w:r>
    </w:p>
    <w:p>
      <w:pPr>
        <w:spacing w:after="0" w:line="211" w:lineRule="exact"/>
        <w:rPr>
          <w:sz w:val="20"/>
          <w:szCs w:val="20"/>
          <w:color w:val="auto"/>
        </w:rPr>
      </w:pPr>
    </w:p>
    <w:p>
      <w:pPr>
        <w:sectPr>
          <w:pgSz w:w="11900" w:h="16838" w:orient="portrait"/>
          <w:cols w:equalWidth="0" w:num="2">
            <w:col w:w="4800" w:space="400"/>
            <w:col w:w="6220"/>
          </w:cols>
          <w:pgMar w:left="240" w:top="621" w:right="239" w:bottom="1440" w:gutter="0" w:footer="0" w:header="0"/>
          <w:type w:val="continuous"/>
        </w:sectPr>
      </w:pPr>
    </w:p>
    <w:p>
      <w:pPr>
        <w:spacing w:after="0" w:line="37" w:lineRule="exact"/>
        <w:rPr>
          <w:sz w:val="20"/>
          <w:szCs w:val="20"/>
          <w:color w:val="auto"/>
        </w:rPr>
      </w:pPr>
    </w:p>
    <w:p>
      <w:pPr>
        <w:spacing w:after="0"/>
        <w:tabs>
          <w:tab w:leader="none" w:pos="2780" w:val="left"/>
          <w:tab w:leader="none" w:pos="3220" w:val="left"/>
          <w:tab w:leader="none" w:pos="5920" w:val="left"/>
        </w:tabs>
        <w:rPr>
          <w:sz w:val="20"/>
          <w:szCs w:val="20"/>
          <w:color w:val="auto"/>
        </w:rPr>
      </w:pPr>
      <w:r>
        <w:rPr>
          <w:rFonts w:ascii="Arial" w:cs="Arial" w:eastAsia="Arial" w:hAnsi="Arial"/>
          <w:sz w:val="18"/>
          <w:szCs w:val="18"/>
          <w:color w:val="auto"/>
        </w:rPr>
        <w:t>________________________</w:t>
      </w:r>
      <w:r>
        <w:rPr>
          <w:sz w:val="20"/>
          <w:szCs w:val="20"/>
          <w:color w:val="auto"/>
        </w:rPr>
        <w:tab/>
      </w:r>
      <w:r>
        <w:rPr>
          <w:rFonts w:ascii="Arial" w:cs="Arial" w:eastAsia="Arial" w:hAnsi="Arial"/>
          <w:sz w:val="18"/>
          <w:szCs w:val="18"/>
          <w:color w:val="auto"/>
        </w:rPr>
        <w:t>By:</w:t>
        <w:tab/>
        <w:t>____________________________</w:t>
      </w:r>
      <w:r>
        <w:rPr>
          <w:sz w:val="20"/>
          <w:szCs w:val="20"/>
          <w:color w:val="auto"/>
        </w:rPr>
        <w:tab/>
      </w:r>
      <w:r>
        <w:rPr>
          <w:rFonts w:ascii="Arial" w:cs="Arial" w:eastAsia="Arial" w:hAnsi="Arial"/>
          <w:sz w:val="17"/>
          <w:szCs w:val="17"/>
          <w:color w:val="auto"/>
        </w:rPr>
        <w:t>(SEAL)</w:t>
      </w:r>
    </w:p>
    <w:p>
      <w:pPr>
        <w:spacing w:after="0" w:line="23" w:lineRule="exact"/>
        <w:rPr>
          <w:sz w:val="20"/>
          <w:szCs w:val="20"/>
          <w:color w:val="auto"/>
        </w:rPr>
      </w:pPr>
    </w:p>
    <w:p>
      <w:pPr>
        <w:spacing w:after="0"/>
        <w:tabs>
          <w:tab w:leader="none" w:pos="1640" w:val="left"/>
          <w:tab w:leader="none" w:pos="2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____________________________</w:t>
      </w:r>
    </w:p>
    <w:p>
      <w:pPr>
        <w:spacing w:after="0" w:line="9" w:lineRule="exact"/>
        <w:rPr>
          <w:sz w:val="20"/>
          <w:szCs w:val="20"/>
          <w:color w:val="auto"/>
        </w:rPr>
      </w:pPr>
    </w:p>
    <w:p>
      <w:pPr>
        <w:spacing w:after="0"/>
        <w:tabs>
          <w:tab w:leader="none" w:pos="1540" w:val="left"/>
          <w:tab w:leader="none" w:pos="2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____________________________</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 OF ____________________</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COUNTY OF</w:t>
      </w:r>
      <w:r>
        <w:rPr>
          <w:sz w:val="20"/>
          <w:szCs w:val="20"/>
          <w:color w:val="auto"/>
        </w:rPr>
        <w:tab/>
      </w:r>
      <w:r>
        <w:rPr>
          <w:rFonts w:ascii="Arial" w:cs="Arial" w:eastAsia="Arial" w:hAnsi="Arial"/>
          <w:sz w:val="16"/>
          <w:szCs w:val="16"/>
          <w:color w:val="auto"/>
        </w:rPr>
        <w:t>__________________</w:t>
      </w:r>
    </w:p>
    <w:p>
      <w:pPr>
        <w:sectPr>
          <w:pgSz w:w="11900" w:h="16838" w:orient="portrait"/>
          <w:cols w:equalWidth="0" w:num="1">
            <w:col w:w="11420"/>
          </w:cols>
          <w:pgMar w:left="240" w:top="621" w:right="239" w:bottom="1440" w:gutter="0" w:footer="0" w:header="0"/>
          <w:type w:val="continuous"/>
        </w:sectPr>
      </w:pPr>
    </w:p>
    <w:p>
      <w:pPr>
        <w:spacing w:after="0" w:line="211" w:lineRule="exact"/>
        <w:rPr>
          <w:sz w:val="20"/>
          <w:szCs w:val="20"/>
          <w:color w:val="auto"/>
        </w:rPr>
      </w:pPr>
    </w:p>
    <w:p>
      <w:pPr>
        <w:ind w:left="660"/>
        <w:spacing w:after="0"/>
        <w:tabs>
          <w:tab w:leader="none" w:pos="1100" w:val="left"/>
          <w:tab w:leader="none" w:pos="1960" w:val="left"/>
          <w:tab w:leader="none" w:pos="2920" w:val="left"/>
          <w:tab w:leader="none" w:pos="3360" w:val="left"/>
          <w:tab w:leader="none" w:pos="4580" w:val="left"/>
          <w:tab w:leader="none" w:pos="5220" w:val="left"/>
          <w:tab w:leader="none" w:pos="5620" w:val="left"/>
          <w:tab w:leader="none" w:pos="6040" w:val="left"/>
          <w:tab w:leader="none" w:pos="6580" w:val="left"/>
          <w:tab w:leader="none" w:pos="7020" w:val="left"/>
          <w:tab w:leader="none" w:pos="7340" w:val="left"/>
          <w:tab w:leader="none" w:pos="8640" w:val="left"/>
          <w:tab w:leader="none" w:pos="9220" w:val="left"/>
          <w:tab w:leader="none" w:pos="9580" w:val="left"/>
          <w:tab w:leader="none" w:pos="11240" w:val="left"/>
        </w:tabs>
        <w:rPr>
          <w:sz w:val="20"/>
          <w:szCs w:val="20"/>
          <w:color w:val="auto"/>
        </w:rPr>
      </w:pPr>
      <w:r>
        <w:rPr>
          <w:rFonts w:ascii="Arial" w:cs="Arial" w:eastAsia="Arial" w:hAnsi="Arial"/>
          <w:sz w:val="18"/>
          <w:szCs w:val="18"/>
          <w:color w:val="auto"/>
        </w:rPr>
        <w:t>The</w:t>
        <w:tab/>
        <w:t>foregoing</w:t>
        <w:tab/>
        <w:t>instrument</w:t>
        <w:tab/>
        <w:t>was</w:t>
        <w:tab/>
        <w:t>acknowledged</w:t>
        <w:tab/>
        <w:t>before</w:t>
        <w:tab/>
        <w:t>me</w:t>
        <w:tab/>
        <w:t>this</w:t>
        <w:tab/>
        <w:t>____</w:t>
        <w:tab/>
        <w:t>day</w:t>
        <w:tab/>
        <w:t>of</w:t>
        <w:tab/>
        <w:t>____________,</w:t>
        <w:tab/>
        <w:t>20__,</w:t>
        <w:tab/>
        <w:t>by</w:t>
        <w:tab/>
        <w:t>________________,</w:t>
      </w:r>
      <w:r>
        <w:rPr>
          <w:sz w:val="20"/>
          <w:szCs w:val="20"/>
          <w:color w:val="auto"/>
        </w:rPr>
        <w:tab/>
      </w:r>
      <w:r>
        <w:rPr>
          <w:rFonts w:ascii="Arial" w:cs="Arial" w:eastAsia="Arial" w:hAnsi="Arial"/>
          <w:sz w:val="15"/>
          <w:szCs w:val="15"/>
          <w:color w:val="auto"/>
        </w:rPr>
        <w:t>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 of MAINSTREET CV NORTH 40, LLC, a Delaware limited liability company, on behalf of the company. S/He is personally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known to me or has produced _____________________________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528955</wp:posOffset>
            </wp:positionV>
            <wp:extent cx="685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571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-19050</wp:posOffset>
            </wp:positionV>
            <wp:extent cx="457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-19050</wp:posOffset>
            </wp:positionV>
            <wp:extent cx="342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21"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 PAGE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w w:val="94"/>
              </w:rPr>
              <w:t>WITNESS/ATTEST: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20" w:type="dxa"/>
            <w:vAlign w:val="bottom"/>
            <w:gridSpan w:val="6"/>
          </w:tcPr>
          <w:p>
            <w:pPr>
              <w:ind w:left="140"/>
              <w:spacing w:after="0"/>
              <w:rPr>
                <w:sz w:val="20"/>
                <w:szCs w:val="20"/>
                <w:color w:val="auto"/>
              </w:rPr>
            </w:pPr>
            <w:r>
              <w:rPr>
                <w:rFonts w:ascii="Arial" w:cs="Arial" w:eastAsia="Arial" w:hAnsi="Arial"/>
                <w:sz w:val="18"/>
                <w:szCs w:val="18"/>
                <w:color w:val="auto"/>
              </w:rPr>
              <w:t>TENANT:</w:t>
            </w:r>
          </w:p>
        </w:tc>
      </w:tr>
      <w:tr>
        <w:trPr>
          <w:trHeight w:val="432"/>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CROSS COUNTRY HEALTHCARE, INC., a Delaware corporation</w:t>
            </w:r>
          </w:p>
        </w:tc>
      </w:tr>
      <w:tr>
        <w:trPr>
          <w:trHeight w:val="392"/>
        </w:trPr>
        <w:tc>
          <w:tcPr>
            <w:tcW w:w="2800" w:type="dxa"/>
            <w:vAlign w:val="bottom"/>
            <w:gridSpan w:val="6"/>
          </w:tcPr>
          <w:p>
            <w:pPr>
              <w:spacing w:after="0"/>
              <w:rPr>
                <w:sz w:val="20"/>
                <w:szCs w:val="20"/>
                <w:color w:val="auto"/>
              </w:rPr>
            </w:pPr>
            <w:r>
              <w:rPr>
                <w:rFonts w:ascii="Arial" w:cs="Arial" w:eastAsia="Arial" w:hAnsi="Arial"/>
                <w:sz w:val="18"/>
                <w:szCs w:val="18"/>
                <w:color w:val="auto"/>
                <w:w w:val="95"/>
              </w:rPr>
              <w:t>_____________________________</w:t>
            </w:r>
          </w:p>
        </w:tc>
        <w:tc>
          <w:tcPr>
            <w:tcW w:w="6320" w:type="dxa"/>
            <w:vAlign w:val="bottom"/>
            <w:gridSpan w:val="4"/>
          </w:tcPr>
          <w:p>
            <w:pPr>
              <w:ind w:left="180"/>
              <w:spacing w:after="0"/>
              <w:rPr>
                <w:sz w:val="20"/>
                <w:szCs w:val="20"/>
                <w:color w:val="auto"/>
              </w:rPr>
            </w:pPr>
            <w:r>
              <w:rPr>
                <w:rFonts w:ascii="Arial" w:cs="Arial" w:eastAsia="Arial" w:hAnsi="Arial"/>
                <w:sz w:val="18"/>
                <w:szCs w:val="18"/>
                <w:color w:val="auto"/>
              </w:rPr>
              <w:t>By:  /s/ William J. Burns</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560" w:type="dxa"/>
            <w:vAlign w:val="bottom"/>
          </w:tcPr>
          <w:p>
            <w:pPr>
              <w:spacing w:after="0"/>
              <w:rPr>
                <w:sz w:val="17"/>
                <w:szCs w:val="17"/>
                <w:color w:val="auto"/>
              </w:rPr>
            </w:pPr>
          </w:p>
        </w:tc>
        <w:tc>
          <w:tcPr>
            <w:tcW w:w="1880" w:type="dxa"/>
            <w:vAlign w:val="bottom"/>
            <w:gridSpan w:val="6"/>
          </w:tcPr>
          <w:p>
            <w:pPr>
              <w:ind w:left="20"/>
              <w:spacing w:after="0" w:line="196" w:lineRule="exact"/>
              <w:rPr>
                <w:sz w:val="20"/>
                <w:szCs w:val="20"/>
                <w:color w:val="auto"/>
              </w:rPr>
            </w:pPr>
            <w:r>
              <w:rPr>
                <w:rFonts w:ascii="Arial" w:cs="Arial" w:eastAsia="Arial" w:hAnsi="Arial"/>
                <w:sz w:val="18"/>
                <w:szCs w:val="18"/>
                <w:color w:val="auto"/>
                <w:w w:val="98"/>
              </w:rPr>
              <w:t>Name: William J. Burns</w:t>
            </w:r>
          </w:p>
        </w:tc>
        <w:tc>
          <w:tcPr>
            <w:tcW w:w="1440" w:type="dxa"/>
            <w:vAlign w:val="bottom"/>
            <w:tcBorders>
              <w:top w:val="single" w:sz="8" w:color="auto"/>
            </w:tcBorders>
          </w:tcPr>
          <w:p>
            <w:pPr>
              <w:spacing w:after="0"/>
              <w:rPr>
                <w:sz w:val="17"/>
                <w:szCs w:val="17"/>
                <w:color w:val="auto"/>
              </w:rPr>
            </w:pPr>
          </w:p>
        </w:tc>
        <w:tc>
          <w:tcPr>
            <w:tcW w:w="42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1820" w:type="dxa"/>
            <w:vAlign w:val="bottom"/>
            <w:gridSpan w:val="5"/>
          </w:tcPr>
          <w:p>
            <w:pPr>
              <w:ind w:left="480"/>
              <w:spacing w:after="0" w:line="196" w:lineRule="exact"/>
              <w:rPr>
                <w:sz w:val="20"/>
                <w:szCs w:val="20"/>
                <w:color w:val="auto"/>
              </w:rPr>
            </w:pPr>
            <w:r>
              <w:rPr>
                <w:rFonts w:ascii="Arial" w:cs="Arial" w:eastAsia="Arial" w:hAnsi="Arial"/>
                <w:sz w:val="18"/>
                <w:szCs w:val="18"/>
                <w:color w:val="auto"/>
              </w:rPr>
              <w:t>Title: CFO</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 OF </w:t>
      </w:r>
      <w:r>
        <w:rPr>
          <w:rFonts w:ascii="Arial" w:cs="Arial" w:eastAsia="Arial" w:hAnsi="Arial"/>
          <w:sz w:val="18"/>
          <w:szCs w:val="18"/>
          <w:u w:val="single" w:color="auto"/>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COUNTY OF </w:t>
      </w:r>
      <w:r>
        <w:rPr>
          <w:rFonts w:ascii="Arial" w:cs="Arial" w:eastAsia="Arial" w:hAnsi="Arial"/>
          <w:sz w:val="18"/>
          <w:szCs w:val="18"/>
          <w:u w:val="single" w:color="auto"/>
          <w:color w:val="auto"/>
        </w:rPr>
        <w:t>Palm Beach</w:t>
      </w:r>
    </w:p>
    <w:p>
      <w:pPr>
        <w:spacing w:after="0" w:line="21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The foregoing instrument was acknowledged before me this </w:t>
      </w:r>
      <w:r>
        <w:rPr>
          <w:rFonts w:ascii="Arial" w:cs="Arial" w:eastAsia="Arial" w:hAnsi="Arial"/>
          <w:sz w:val="17"/>
          <w:szCs w:val="17"/>
          <w:u w:val="single" w:color="auto"/>
          <w:color w:val="auto"/>
        </w:rPr>
        <w:t>19th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September 2016</w:t>
      </w:r>
      <w:r>
        <w:rPr>
          <w:rFonts w:ascii="Arial" w:cs="Arial" w:eastAsia="Arial" w:hAnsi="Arial"/>
          <w:sz w:val="17"/>
          <w:szCs w:val="17"/>
          <w:color w:val="auto"/>
        </w:rPr>
        <w:t xml:space="preserve">, by </w:t>
      </w:r>
      <w:r>
        <w:rPr>
          <w:rFonts w:ascii="Arial" w:cs="Arial" w:eastAsia="Arial" w:hAnsi="Arial"/>
          <w:sz w:val="17"/>
          <w:szCs w:val="17"/>
          <w:u w:val="single" w:color="auto"/>
          <w:color w:val="auto"/>
        </w:rPr>
        <w:t>William J. Burns</w:t>
      </w:r>
      <w:r>
        <w:rPr>
          <w:rFonts w:ascii="Arial" w:cs="Arial" w:eastAsia="Arial" w:hAnsi="Arial"/>
          <w:sz w:val="17"/>
          <w:szCs w:val="17"/>
          <w:color w:val="auto"/>
        </w:rPr>
        <w:t xml:space="preserve">, as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Cross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Country Healthcare, Inc</w:t>
      </w:r>
      <w:r>
        <w:rPr>
          <w:rFonts w:ascii="Arial" w:cs="Arial" w:eastAsia="Arial" w:hAnsi="Arial"/>
          <w:sz w:val="17"/>
          <w:szCs w:val="17"/>
          <w:color w:val="auto"/>
        </w:rPr>
        <w:t>., a ____________________________, on behalf of the company. S/</w:t>
      </w:r>
      <w:r>
        <w:rPr>
          <w:rFonts w:ascii="Arial" w:cs="Arial" w:eastAsia="Arial" w:hAnsi="Arial"/>
          <w:sz w:val="17"/>
          <w:szCs w:val="17"/>
          <w:u w:val="single" w:color="auto"/>
          <w:color w:val="auto"/>
        </w:rPr>
        <w:t>He is personally known to me</w:t>
      </w:r>
      <w:r>
        <w:rPr>
          <w:rFonts w:ascii="Arial" w:cs="Arial" w:eastAsia="Arial" w:hAnsi="Arial"/>
          <w:sz w:val="17"/>
          <w:szCs w:val="17"/>
          <w:color w:val="auto"/>
        </w:rPr>
        <w:t xml:space="preserve"> or has produced</w:t>
      </w:r>
    </w:p>
    <w:p>
      <w:pPr>
        <w:spacing w:after="0"/>
        <w:rPr>
          <w:sz w:val="20"/>
          <w:szCs w:val="20"/>
          <w:color w:val="auto"/>
        </w:rPr>
      </w:pPr>
      <w:r>
        <w:rPr>
          <w:rFonts w:ascii="Arial" w:cs="Arial" w:eastAsia="Arial" w:hAnsi="Arial"/>
          <w:sz w:val="18"/>
          <w:szCs w:val="18"/>
          <w:color w:val="auto"/>
        </w:rPr>
        <w:t>_____________________________________ as identification.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Elizabeth M. Berrios Brown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Elizabeth M. Berrios Brown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Commission No. </w:t>
      </w:r>
      <w:r>
        <w:rPr>
          <w:rFonts w:ascii="Arial" w:cs="Arial" w:eastAsia="Arial" w:hAnsi="Arial"/>
          <w:sz w:val="18"/>
          <w:szCs w:val="18"/>
          <w:u w:val="single" w:color="auto"/>
          <w:color w:val="auto"/>
        </w:rPr>
        <w:t>FF021538</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My commission expires: </w:t>
      </w:r>
      <w:r>
        <w:rPr>
          <w:rFonts w:ascii="Arial" w:cs="Arial" w:eastAsia="Arial" w:hAnsi="Arial"/>
          <w:sz w:val="18"/>
          <w:szCs w:val="18"/>
          <w:u w:val="single" w:color="auto"/>
          <w:color w:val="auto"/>
        </w:rPr>
        <w:t>September 15, 2017</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NOTE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62245828v2</w:t>
      </w:r>
    </w:p>
    <w:p>
      <w:pPr>
        <w:spacing w:after="0" w:line="1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b w:val="1"/>
          <w:bCs w:val="1"/>
          <w:color w:val="auto"/>
        </w:rPr>
        <w:t>AMENDMENT NO. 2 TO NOTE PURCHASE AGREEMENT</w:t>
      </w:r>
      <w:r>
        <w:rPr>
          <w:rFonts w:ascii="Arial" w:cs="Arial" w:eastAsia="Arial" w:hAnsi="Arial"/>
          <w:sz w:val="19"/>
          <w:szCs w:val="19"/>
          <w:color w:val="auto"/>
        </w:rPr>
        <w:t>, dated as of October 31, 2016 (this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to the Convertible Note Purchase Agreement, dated as of June 30, 2014 and amended by Amendment No. 1 thereto, dated as of June 22, 2016 (as amended, restated, supplemented or otherwise modified from time to time, the “</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by and among Cross Country Healthcare,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Cejka Search, Inc., a Delaware corporation (“</w:t>
      </w:r>
      <w:r>
        <w:rPr>
          <w:rFonts w:ascii="Arial" w:cs="Arial" w:eastAsia="Arial" w:hAnsi="Arial"/>
          <w:sz w:val="19"/>
          <w:szCs w:val="19"/>
          <w:u w:val="single" w:color="auto"/>
          <w:color w:val="auto"/>
        </w:rPr>
        <w:t>Cejka</w:t>
      </w:r>
      <w:r>
        <w:rPr>
          <w:rFonts w:ascii="Arial" w:cs="Arial" w:eastAsia="Arial" w:hAnsi="Arial"/>
          <w:sz w:val="19"/>
          <w:szCs w:val="19"/>
          <w:color w:val="auto"/>
        </w:rPr>
        <w:t>”), Cross Country Staffing, Inc., a Delaware corporation (“</w:t>
      </w:r>
      <w:r>
        <w:rPr>
          <w:rFonts w:ascii="Arial" w:cs="Arial" w:eastAsia="Arial" w:hAnsi="Arial"/>
          <w:sz w:val="19"/>
          <w:szCs w:val="19"/>
          <w:u w:val="single" w:color="auto"/>
          <w:color w:val="auto"/>
        </w:rPr>
        <w:t>Staffing</w:t>
      </w:r>
      <w:r>
        <w:rPr>
          <w:rFonts w:ascii="Arial" w:cs="Arial" w:eastAsia="Arial" w:hAnsi="Arial"/>
          <w:sz w:val="19"/>
          <w:szCs w:val="19"/>
          <w:color w:val="auto"/>
        </w:rPr>
        <w:t>”), MDA Holdings, Inc., a Delaware corporation (“</w:t>
      </w:r>
      <w:r>
        <w:rPr>
          <w:rFonts w:ascii="Arial" w:cs="Arial" w:eastAsia="Arial" w:hAnsi="Arial"/>
          <w:sz w:val="19"/>
          <w:szCs w:val="19"/>
          <w:u w:val="single" w:color="auto"/>
          <w:color w:val="auto"/>
        </w:rPr>
        <w:t>MDA</w:t>
      </w:r>
      <w:r>
        <w:rPr>
          <w:rFonts w:ascii="Arial" w:cs="Arial" w:eastAsia="Arial" w:hAnsi="Arial"/>
          <w:sz w:val="19"/>
          <w:szCs w:val="19"/>
          <w:color w:val="auto"/>
        </w:rPr>
        <w:t>”), Assignment America, LLC, a Delaware limited liability company (“</w:t>
      </w:r>
      <w:r>
        <w:rPr>
          <w:rFonts w:ascii="Arial" w:cs="Arial" w:eastAsia="Arial" w:hAnsi="Arial"/>
          <w:sz w:val="19"/>
          <w:szCs w:val="19"/>
          <w:u w:val="single" w:color="auto"/>
          <w:color w:val="auto"/>
        </w:rPr>
        <w:t>Assignment</w:t>
      </w:r>
      <w:r>
        <w:rPr>
          <w:rFonts w:ascii="Arial" w:cs="Arial" w:eastAsia="Arial" w:hAnsi="Arial"/>
          <w:sz w:val="19"/>
          <w:szCs w:val="19"/>
          <w:color w:val="auto"/>
        </w:rPr>
        <w:t>”), Travel Staff, LLC, a Delaware limited liability company (“</w:t>
      </w:r>
      <w:r>
        <w:rPr>
          <w:rFonts w:ascii="Arial" w:cs="Arial" w:eastAsia="Arial" w:hAnsi="Arial"/>
          <w:sz w:val="19"/>
          <w:szCs w:val="19"/>
          <w:u w:val="single" w:color="auto"/>
          <w:color w:val="auto"/>
        </w:rPr>
        <w:t>Travel</w:t>
      </w:r>
      <w:r>
        <w:rPr>
          <w:rFonts w:ascii="Arial" w:cs="Arial" w:eastAsia="Arial" w:hAnsi="Arial"/>
          <w:sz w:val="19"/>
          <w:szCs w:val="19"/>
          <w:color w:val="auto"/>
        </w:rPr>
        <w:t>”), Local Staff, LLC, a Delaware limited liability company (“</w:t>
      </w:r>
      <w:r>
        <w:rPr>
          <w:rFonts w:ascii="Arial" w:cs="Arial" w:eastAsia="Arial" w:hAnsi="Arial"/>
          <w:sz w:val="19"/>
          <w:szCs w:val="19"/>
          <w:u w:val="single" w:color="auto"/>
          <w:color w:val="auto"/>
        </w:rPr>
        <w:t>Local</w:t>
      </w:r>
      <w:r>
        <w:rPr>
          <w:rFonts w:ascii="Arial" w:cs="Arial" w:eastAsia="Arial" w:hAnsi="Arial"/>
          <w:sz w:val="19"/>
          <w:szCs w:val="19"/>
          <w:color w:val="auto"/>
        </w:rPr>
        <w:t>”), Medical Doctor Associates, LLC, a Delaware limited liability company (“</w:t>
      </w:r>
      <w:r>
        <w:rPr>
          <w:rFonts w:ascii="Arial" w:cs="Arial" w:eastAsia="Arial" w:hAnsi="Arial"/>
          <w:sz w:val="19"/>
          <w:szCs w:val="19"/>
          <w:u w:val="single" w:color="auto"/>
          <w:color w:val="auto"/>
        </w:rPr>
        <w:t>Doctor</w:t>
      </w:r>
      <w:r>
        <w:rPr>
          <w:rFonts w:ascii="Arial" w:cs="Arial" w:eastAsia="Arial" w:hAnsi="Arial"/>
          <w:sz w:val="19"/>
          <w:szCs w:val="19"/>
          <w:color w:val="auto"/>
        </w:rPr>
        <w:t>”), OWS, LLC, a Delaware limited liability company (“</w:t>
      </w:r>
      <w:r>
        <w:rPr>
          <w:rFonts w:ascii="Arial" w:cs="Arial" w:eastAsia="Arial" w:hAnsi="Arial"/>
          <w:sz w:val="19"/>
          <w:szCs w:val="19"/>
          <w:u w:val="single" w:color="auto"/>
          <w:color w:val="auto"/>
        </w:rPr>
        <w:t>OWS</w:t>
      </w:r>
      <w:r>
        <w:rPr>
          <w:rFonts w:ascii="Arial" w:cs="Arial" w:eastAsia="Arial" w:hAnsi="Arial"/>
          <w:sz w:val="19"/>
          <w:szCs w:val="19"/>
          <w:color w:val="auto"/>
        </w:rPr>
        <w:t>”), Credent Verification and Licensing Service, LLC, a Delaware limited liability company (“</w:t>
      </w:r>
      <w:r>
        <w:rPr>
          <w:rFonts w:ascii="Arial" w:cs="Arial" w:eastAsia="Arial" w:hAnsi="Arial"/>
          <w:sz w:val="19"/>
          <w:szCs w:val="19"/>
          <w:u w:val="single" w:color="auto"/>
          <w:color w:val="auto"/>
        </w:rPr>
        <w:t>Credent</w:t>
      </w:r>
      <w:r>
        <w:rPr>
          <w:rFonts w:ascii="Arial" w:cs="Arial" w:eastAsia="Arial" w:hAnsi="Arial"/>
          <w:sz w:val="19"/>
          <w:szCs w:val="19"/>
          <w:color w:val="auto"/>
        </w:rPr>
        <w:t>; together with Cejka, Staffing, MDA, Assignment, Travel, Local, Doctor, OWS and each other Subsidiary of Issuer that thereafter becomes a party thereto as a “Guarantor”, each individually,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and, together with the Issuer, each an “</w:t>
      </w:r>
      <w:r>
        <w:rPr>
          <w:rFonts w:ascii="Arial" w:cs="Arial" w:eastAsia="Arial" w:hAnsi="Arial"/>
          <w:sz w:val="19"/>
          <w:szCs w:val="19"/>
          <w:u w:val="single" w:color="auto"/>
          <w:color w:val="auto"/>
        </w:rPr>
        <w:t>Obligor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the financial institutions party to the Note Purchase Agreement from time to time as holders of the Notes (collectively, the “</w:t>
      </w:r>
      <w:r>
        <w:rPr>
          <w:rFonts w:ascii="Arial" w:cs="Arial" w:eastAsia="Arial" w:hAnsi="Arial"/>
          <w:sz w:val="19"/>
          <w:szCs w:val="19"/>
          <w:u w:val="single" w:color="auto"/>
          <w:color w:val="auto"/>
        </w:rPr>
        <w:t>Noteholders</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Obligors have requested that the Required Noteholders amend certain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Note Purchase Agreement; and</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Required Noteholders are willing to amend such terms and conditions of the Note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on the terms and conditions set forth herein.</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other good and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the parties hereto hereby agree as follows:</w:t>
      </w:r>
    </w:p>
    <w:p>
      <w:pPr>
        <w:spacing w:after="0" w:line="168" w:lineRule="exact"/>
        <w:rPr>
          <w:sz w:val="20"/>
          <w:szCs w:val="20"/>
          <w:color w:val="auto"/>
        </w:rPr>
      </w:pPr>
    </w:p>
    <w:p>
      <w:pPr>
        <w:ind w:firstLine="1305"/>
        <w:spacing w:after="0" w:line="263" w:lineRule="auto"/>
        <w:tabs>
          <w:tab w:leader="none" w:pos="218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terms used herein that are defined in the Note Purchase Agreement and not otherwise defined herein shall have the meanings assigned to them in the Note Purchase Agreement.</w:t>
      </w:r>
    </w:p>
    <w:p>
      <w:pPr>
        <w:spacing w:after="0" w:line="174" w:lineRule="exact"/>
        <w:rPr>
          <w:rFonts w:ascii="Arial" w:cs="Arial" w:eastAsia="Arial" w:hAnsi="Arial"/>
          <w:sz w:val="22"/>
          <w:szCs w:val="22"/>
          <w:color w:val="auto"/>
        </w:rPr>
      </w:pPr>
    </w:p>
    <w:p>
      <w:pPr>
        <w:ind w:left="1700" w:hanging="395"/>
        <w:spacing w:after="0"/>
        <w:tabs>
          <w:tab w:leader="none" w:pos="17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953"/>
        <w:spacing w:after="0" w:line="276" w:lineRule="auto"/>
        <w:tabs>
          <w:tab w:leader="none" w:pos="2567"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New Definitions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Note Purchase Agreement is hereby amended by adding the following definition, in appropriate alphabetical order:</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Cap</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7.3.1</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64" w:name="page65"/>
    <w:bookmarkEnd w:id="64"/>
    <w:p>
      <w:pPr>
        <w:ind w:right="580" w:firstLine="1953"/>
        <w:spacing w:after="0" w:line="276" w:lineRule="auto"/>
        <w:tabs>
          <w:tab w:leader="none" w:pos="243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Existing Definitions</w:t>
      </w:r>
      <w:r>
        <w:rPr>
          <w:rFonts w:ascii="Arial" w:cs="Arial" w:eastAsia="Arial" w:hAnsi="Arial"/>
          <w:sz w:val="22"/>
          <w:szCs w:val="22"/>
          <w:color w:val="auto"/>
        </w:rPr>
        <w:t xml:space="preserve">. The following definition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Note Purchase Agreement is hereby amended and restated in its entirety to read as follows:</w:t>
      </w:r>
    </w:p>
    <w:p>
      <w:pPr>
        <w:spacing w:after="0" w:line="161" w:lineRule="exact"/>
        <w:rPr>
          <w:sz w:val="20"/>
          <w:szCs w:val="20"/>
          <w:color w:val="auto"/>
        </w:rPr>
      </w:pPr>
    </w:p>
    <w:p>
      <w:pPr>
        <w:jc w:val="both"/>
        <w:ind w:left="660"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Proportionate Percentage</w:t>
      </w:r>
      <w:r>
        <w:rPr>
          <w:rFonts w:ascii="Arial" w:cs="Arial" w:eastAsia="Arial" w:hAnsi="Arial"/>
          <w:sz w:val="19"/>
          <w:szCs w:val="19"/>
          <w:color w:val="auto"/>
        </w:rPr>
        <w:t xml:space="preserve">”: means with respect to a Noteholder, a percentage expressed as a fraction the numerator of which is the sum of the aggregate number of shares of Common Stock then held by such Noteholder and the aggregate number of shares of Common Stock that the Noteholder’s Notes are then convertible into at such time (without giving effect to the application of the Share Cap pursuant to </w:t>
      </w:r>
      <w:r>
        <w:rPr>
          <w:rFonts w:ascii="Arial" w:cs="Arial" w:eastAsia="Arial" w:hAnsi="Arial"/>
          <w:sz w:val="19"/>
          <w:szCs w:val="19"/>
          <w:u w:val="single" w:color="auto"/>
          <w:color w:val="auto"/>
        </w:rPr>
        <w:t>Section 7.3.1</w:t>
      </w:r>
      <w:r>
        <w:rPr>
          <w:rFonts w:ascii="Arial" w:cs="Arial" w:eastAsia="Arial" w:hAnsi="Arial"/>
          <w:sz w:val="19"/>
          <w:szCs w:val="19"/>
          <w:color w:val="auto"/>
        </w:rPr>
        <w:t>), and the denominator of which is the aggregate number of shares of Common Stock then outstanding on a fully diluted basis (assuming without duplication the exercise of all Option Securities then outstanding, the conversion of all Notes then outstanding and the conversion or exchange of all Convertible Securities then outstanding, in each case in accordance with their respective terms).</w:t>
      </w:r>
    </w:p>
    <w:p>
      <w:pPr>
        <w:spacing w:after="0" w:line="151" w:lineRule="exact"/>
        <w:rPr>
          <w:sz w:val="20"/>
          <w:szCs w:val="20"/>
          <w:color w:val="auto"/>
        </w:rPr>
      </w:pPr>
    </w:p>
    <w:p>
      <w:pPr>
        <w:ind w:left="2420" w:hanging="467"/>
        <w:spacing w:after="0"/>
        <w:tabs>
          <w:tab w:leader="none" w:pos="242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of the Note Purchase Agreement is hereby amended and restated in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 to read as follows:</w:t>
      </w:r>
    </w:p>
    <w:p>
      <w:pPr>
        <w:spacing w:after="0" w:line="215" w:lineRule="exact"/>
        <w:rPr>
          <w:sz w:val="20"/>
          <w:szCs w:val="20"/>
          <w:color w:val="auto"/>
        </w:rPr>
      </w:pPr>
    </w:p>
    <w:p>
      <w:pPr>
        <w:jc w:val="both"/>
        <w:ind w:left="660" w:firstLine="1945"/>
        <w:spacing w:after="0" w:line="259" w:lineRule="auto"/>
        <w:rPr>
          <w:sz w:val="20"/>
          <w:szCs w:val="20"/>
          <w:color w:val="auto"/>
        </w:rPr>
      </w:pPr>
      <w:r>
        <w:rPr>
          <w:rFonts w:ascii="Arial" w:cs="Arial" w:eastAsia="Arial" w:hAnsi="Arial"/>
          <w:sz w:val="21"/>
          <w:szCs w:val="21"/>
          <w:color w:val="auto"/>
        </w:rPr>
        <w:t xml:space="preserve">To exercise its conversion rights under this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Issuer shall provide the Noteholders with a written notice, which notice shall specify that Issuer is exercising the option contemplated by this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the Forced Conversion Trigger Date and the Conversion Date on which the conversion shall occur (which Conversion Date shall be not less than ten (10) Business Days following the date such notice is provided to the Noteholders), and, if the issuance of shares of Common Stock upon conversion of the Forced Conversion Amount on the Conversion Date will result in the Issuer delivering fewer shares of Common Stock than otherwise required as a result of the application of the Share Cap pursuant to </w:t>
      </w:r>
      <w:r>
        <w:rPr>
          <w:rFonts w:ascii="Arial" w:cs="Arial" w:eastAsia="Arial" w:hAnsi="Arial"/>
          <w:sz w:val="21"/>
          <w:szCs w:val="21"/>
          <w:u w:val="single" w:color="auto"/>
          <w:color w:val="auto"/>
        </w:rPr>
        <w:t>Section 7.3.1</w:t>
      </w:r>
      <w:r>
        <w:rPr>
          <w:rFonts w:ascii="Arial" w:cs="Arial" w:eastAsia="Arial" w:hAnsi="Arial"/>
          <w:sz w:val="21"/>
          <w:szCs w:val="21"/>
          <w:color w:val="auto"/>
        </w:rPr>
        <w:t>, the notice shall also specify (x) the number of shares of Common Stock that will actually be issuable as a result of the application of the Share Cap, and (y) the number of shares of Common Stock that would have been issuable if the Share Cap were not applicable.</w:t>
      </w:r>
    </w:p>
    <w:p>
      <w:pPr>
        <w:spacing w:after="0" w:line="180" w:lineRule="exact"/>
        <w:rPr>
          <w:sz w:val="20"/>
          <w:szCs w:val="20"/>
          <w:color w:val="auto"/>
        </w:rPr>
      </w:pPr>
    </w:p>
    <w:p>
      <w:pPr>
        <w:ind w:left="2440" w:hanging="487"/>
        <w:spacing w:after="0"/>
        <w:tabs>
          <w:tab w:leader="none" w:pos="24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Section 7.3.1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7.3.1</w:t>
      </w:r>
      <w:r>
        <w:rPr>
          <w:rFonts w:ascii="Arial" w:cs="Arial" w:eastAsia="Arial" w:hAnsi="Arial"/>
          <w:sz w:val="19"/>
          <w:szCs w:val="19"/>
          <w:color w:val="auto"/>
        </w:rPr>
        <w:t xml:space="preserve"> of the Note Purchase Agreement is hereby amended and restated in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 to read as follows:</w:t>
      </w:r>
    </w:p>
    <w:p>
      <w:pPr>
        <w:spacing w:after="0" w:line="215" w:lineRule="exact"/>
        <w:rPr>
          <w:sz w:val="20"/>
          <w:szCs w:val="20"/>
          <w:color w:val="auto"/>
        </w:rPr>
      </w:pPr>
    </w:p>
    <w:p>
      <w:pPr>
        <w:jc w:val="both"/>
        <w:ind w:left="660" w:firstLine="1945"/>
        <w:spacing w:after="0" w:line="288" w:lineRule="auto"/>
        <w:rPr>
          <w:sz w:val="20"/>
          <w:szCs w:val="20"/>
          <w:color w:val="auto"/>
        </w:rPr>
      </w:pPr>
      <w:r>
        <w:rPr>
          <w:rFonts w:ascii="Arial" w:cs="Arial" w:eastAsia="Arial" w:hAnsi="Arial"/>
          <w:sz w:val="19"/>
          <w:szCs w:val="19"/>
          <w:color w:val="auto"/>
        </w:rPr>
        <w:t xml:space="preserve">Upon any conversion of the Notes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(such Notes to be converted, the “</w:t>
      </w:r>
      <w:r>
        <w:rPr>
          <w:rFonts w:ascii="Arial" w:cs="Arial" w:eastAsia="Arial" w:hAnsi="Arial"/>
          <w:sz w:val="19"/>
          <w:szCs w:val="19"/>
          <w:u w:val="single" w:color="auto"/>
          <w:color w:val="auto"/>
        </w:rPr>
        <w:t>Conversion Notes</w:t>
      </w:r>
      <w:r>
        <w:rPr>
          <w:rFonts w:ascii="Arial" w:cs="Arial" w:eastAsia="Arial" w:hAnsi="Arial"/>
          <w:sz w:val="19"/>
          <w:szCs w:val="19"/>
          <w:color w:val="auto"/>
        </w:rPr>
        <w:t xml:space="preserve">”), the Noteholder owning such Conversion Notes shall receive in exchange for the applicable Conversion Amount thereof a number of shares of Common Stock equal to the amount determined by dividing (i) such Conversion Amount by (ii) the Conversion Price in effect at the time of conversion; provided, that the number of shares of Common Stock issued upon conversion with respect to any Conversion Notes pursuant to this </w:t>
      </w:r>
      <w:r>
        <w:rPr>
          <w:rFonts w:ascii="Arial" w:cs="Arial" w:eastAsia="Arial" w:hAnsi="Arial"/>
          <w:sz w:val="19"/>
          <w:szCs w:val="19"/>
          <w:u w:val="single" w:color="auto"/>
          <w:color w:val="auto"/>
        </w:rPr>
        <w:t>Section 7.3.1</w:t>
      </w:r>
      <w:r>
        <w:rPr>
          <w:rFonts w:ascii="Arial" w:cs="Arial" w:eastAsia="Arial" w:hAnsi="Arial"/>
          <w:sz w:val="19"/>
          <w:szCs w:val="19"/>
          <w:color w:val="auto"/>
        </w:rPr>
        <w:t>, when aggregated with the aggregate number of shares of Common Stock previously delivered or required to be delivered in respect of all Notes converted or surrendered for conversion prior to such conversion, shall not exceed 6,420,028 shares of Common Stock (the “</w:t>
      </w:r>
      <w:r>
        <w:rPr>
          <w:rFonts w:ascii="Arial" w:cs="Arial" w:eastAsia="Arial" w:hAnsi="Arial"/>
          <w:sz w:val="19"/>
          <w:szCs w:val="19"/>
          <w:u w:val="single" w:color="auto"/>
          <w:color w:val="auto"/>
        </w:rPr>
        <w:t>Share Cap</w:t>
      </w:r>
      <w:r>
        <w:rPr>
          <w:rFonts w:ascii="Arial" w:cs="Arial" w:eastAsia="Arial" w:hAnsi="Arial"/>
          <w:sz w:val="19"/>
          <w:szCs w:val="19"/>
          <w:color w:val="auto"/>
        </w:rPr>
        <w:t>”). If the application of the Share Cap results in the Issuer delivering fewer shares of Common Stock upon any conversion of Conversion Notes than otherwise required pursuant to this Section 7.3.1, the Issuer shall pay an additional amount in cash in respect of such conversion of such Conversion Notes equal to such</w:t>
      </w:r>
    </w:p>
    <w:p>
      <w:pPr>
        <w:sectPr>
          <w:pgSz w:w="11900" w:h="16838" w:orient="portrait"/>
          <w:cols w:equalWidth="0" w:num="1">
            <w:col w:w="11420"/>
          </w:cols>
          <w:pgMar w:left="240" w:top="375" w:right="239" w:bottom="1440" w:gutter="0" w:footer="0" w:header="0"/>
        </w:sectPr>
      </w:pPr>
    </w:p>
    <w:bookmarkStart w:id="65" w:name="page66"/>
    <w:bookmarkEnd w:id="65"/>
    <w:p>
      <w:pPr>
        <w:jc w:val="both"/>
        <w:ind w:left="660" w:right="20"/>
        <w:spacing w:after="0" w:line="253" w:lineRule="auto"/>
        <w:rPr>
          <w:sz w:val="20"/>
          <w:szCs w:val="20"/>
          <w:color w:val="auto"/>
        </w:rPr>
      </w:pPr>
      <w:r>
        <w:rPr>
          <w:rFonts w:ascii="Arial" w:cs="Arial" w:eastAsia="Arial" w:hAnsi="Arial"/>
          <w:sz w:val="22"/>
          <w:szCs w:val="22"/>
          <w:color w:val="auto"/>
        </w:rPr>
        <w:t>shortfall (which amount shall be equal to the product of the number of shares of Common Stock not delivered as a result of the application of the Share Cap, multiplied by the Thirty Day VWAP as of the closing of business on the Business Day immediately preceding the Conversion Date).</w:t>
      </w:r>
    </w:p>
    <w:p>
      <w:pPr>
        <w:spacing w:after="0" w:line="186" w:lineRule="exact"/>
        <w:rPr>
          <w:sz w:val="20"/>
          <w:szCs w:val="20"/>
          <w:color w:val="auto"/>
        </w:rPr>
      </w:pPr>
    </w:p>
    <w:p>
      <w:pPr>
        <w:ind w:left="2420" w:hanging="467"/>
        <w:spacing w:after="0"/>
        <w:tabs>
          <w:tab w:leader="none" w:pos="242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Section 7.3.2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7.3.2</w:t>
      </w:r>
      <w:r>
        <w:rPr>
          <w:rFonts w:ascii="Arial" w:cs="Arial" w:eastAsia="Arial" w:hAnsi="Arial"/>
          <w:sz w:val="19"/>
          <w:szCs w:val="19"/>
          <w:color w:val="auto"/>
        </w:rPr>
        <w:t xml:space="preserve"> of the Note Purchase Agreement is hereby amended and restated in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 to read as follows:</w:t>
      </w:r>
    </w:p>
    <w:p>
      <w:pPr>
        <w:spacing w:after="0" w:line="215" w:lineRule="exact"/>
        <w:rPr>
          <w:sz w:val="20"/>
          <w:szCs w:val="20"/>
          <w:color w:val="auto"/>
        </w:rPr>
      </w:pPr>
    </w:p>
    <w:p>
      <w:pPr>
        <w:jc w:val="both"/>
        <w:ind w:left="660" w:firstLine="1297"/>
        <w:spacing w:after="0" w:line="286" w:lineRule="auto"/>
        <w:rPr>
          <w:sz w:val="20"/>
          <w:szCs w:val="20"/>
          <w:color w:val="auto"/>
        </w:rPr>
      </w:pPr>
      <w:r>
        <w:rPr>
          <w:rFonts w:ascii="Arial" w:cs="Arial" w:eastAsia="Arial" w:hAnsi="Arial"/>
          <w:sz w:val="19"/>
          <w:szCs w:val="19"/>
          <w:color w:val="auto"/>
        </w:rPr>
        <w:t xml:space="preserve">Upon any conversion of the Notes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all accrued and unpaid interest in relation to the Conversion Amount thereof that is being converted shall be due and payable in cash by Issuer to such Noteholder on the relevant Share Delivery Date; provided that, to the extent Issuer is prohibited by law or by contract from paying such amount in cash, then Issuer shall provide written notice to the applicable Noteholder of such inability to pay, and at the written election of the Noteholder (which written election shall be delivered to Issuer within five (5) Business Days of receipt of such written notice from Issuer), Issuer shall either pay such amount as soon as payment in cash is no longer so prohibited or, unless prohibited as a result of the application of the Share Cap, issue Common Stock in the manner specified in </w:t>
      </w:r>
      <w:r>
        <w:rPr>
          <w:rFonts w:ascii="Arial" w:cs="Arial" w:eastAsia="Arial" w:hAnsi="Arial"/>
          <w:sz w:val="19"/>
          <w:szCs w:val="19"/>
          <w:u w:val="single" w:color="auto"/>
          <w:color w:val="auto"/>
        </w:rPr>
        <w:t>Section 7.3.1</w:t>
      </w:r>
      <w:r>
        <w:rPr>
          <w:rFonts w:ascii="Arial" w:cs="Arial" w:eastAsia="Arial" w:hAnsi="Arial"/>
          <w:sz w:val="19"/>
          <w:szCs w:val="19"/>
          <w:color w:val="auto"/>
        </w:rPr>
        <w:t xml:space="preserve"> as if the amount of such accrued but unpaid interest were added to the principal and included in the Conversion Amount. If such interest or any cash payable to the Noteholder as a result of the application of the Share Cap pursuant to </w:t>
      </w:r>
      <w:r>
        <w:rPr>
          <w:rFonts w:ascii="Arial" w:cs="Arial" w:eastAsia="Arial" w:hAnsi="Arial"/>
          <w:sz w:val="19"/>
          <w:szCs w:val="19"/>
          <w:u w:val="single" w:color="auto"/>
          <w:color w:val="auto"/>
        </w:rPr>
        <w:t>Section 7.3.1</w:t>
      </w:r>
      <w:r>
        <w:rPr>
          <w:rFonts w:ascii="Arial" w:cs="Arial" w:eastAsia="Arial" w:hAnsi="Arial"/>
          <w:sz w:val="19"/>
          <w:szCs w:val="19"/>
          <w:color w:val="auto"/>
        </w:rPr>
        <w:t xml:space="preserve"> is not paid by Issuer on the Share Delivery Date, then such unpaid interest or cash payable to the Noteholder as a result of the application of the Share Cap shall be deemed as a debt due by Issuer to the Noteholder which shall be payable as interest on demand and which will bear interest at the Default Rate from the date such interest or cash payable to the Noteholder as a result of the application of the Share Cap was due and payable to the date when such interest or cash payable to the Noteholder as a result of the application of the Share Cap is paid in full together with interest thereon to the Noteholder.</w:t>
      </w:r>
    </w:p>
    <w:p>
      <w:pPr>
        <w:spacing w:after="0" w:line="200" w:lineRule="exact"/>
        <w:rPr>
          <w:sz w:val="20"/>
          <w:szCs w:val="20"/>
          <w:color w:val="auto"/>
        </w:rPr>
      </w:pPr>
    </w:p>
    <w:p>
      <w:pPr>
        <w:spacing w:after="0" w:line="220" w:lineRule="exact"/>
        <w:rPr>
          <w:sz w:val="20"/>
          <w:szCs w:val="20"/>
          <w:color w:val="auto"/>
        </w:rPr>
      </w:pPr>
    </w:p>
    <w:p>
      <w:pPr>
        <w:ind w:left="2400" w:hanging="447"/>
        <w:spacing w:after="0"/>
        <w:tabs>
          <w:tab w:leader="none" w:pos="24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Section 7.5.1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7.5.1</w:t>
      </w:r>
      <w:r>
        <w:rPr>
          <w:rFonts w:ascii="Arial" w:cs="Arial" w:eastAsia="Arial" w:hAnsi="Arial"/>
          <w:sz w:val="19"/>
          <w:szCs w:val="19"/>
          <w:color w:val="auto"/>
        </w:rPr>
        <w:t xml:space="preserve"> of the Note Purchase Agreement is hereby amended and restated in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 to read as follows:</w:t>
      </w:r>
    </w:p>
    <w:p>
      <w:pPr>
        <w:spacing w:after="0" w:line="215" w:lineRule="exact"/>
        <w:rPr>
          <w:sz w:val="20"/>
          <w:szCs w:val="20"/>
          <w:color w:val="auto"/>
        </w:rPr>
      </w:pPr>
    </w:p>
    <w:p>
      <w:pPr>
        <w:jc w:val="both"/>
        <w:ind w:left="660" w:firstLine="1945"/>
        <w:spacing w:after="0" w:line="288" w:lineRule="auto"/>
        <w:rPr>
          <w:sz w:val="20"/>
          <w:szCs w:val="20"/>
          <w:color w:val="auto"/>
        </w:rPr>
      </w:pPr>
      <w:r>
        <w:rPr>
          <w:rFonts w:ascii="Arial" w:cs="Arial" w:eastAsia="Arial" w:hAnsi="Arial"/>
          <w:sz w:val="19"/>
          <w:szCs w:val="19"/>
          <w:color w:val="auto"/>
        </w:rPr>
        <w:t>As soon as reasonably practicable after the Conversion Date (and in any event within four (4) Business Days after such date, such date being the “</w:t>
      </w:r>
      <w:r>
        <w:rPr>
          <w:rFonts w:ascii="Arial" w:cs="Arial" w:eastAsia="Arial" w:hAnsi="Arial"/>
          <w:sz w:val="19"/>
          <w:szCs w:val="19"/>
          <w:u w:val="single" w:color="auto"/>
          <w:color w:val="auto"/>
        </w:rPr>
        <w:t>Share Delivery Date</w:t>
      </w:r>
      <w:r>
        <w:rPr>
          <w:rFonts w:ascii="Arial" w:cs="Arial" w:eastAsia="Arial" w:hAnsi="Arial"/>
          <w:sz w:val="19"/>
          <w:szCs w:val="19"/>
          <w:color w:val="auto"/>
        </w:rPr>
        <w:t xml:space="preserve">”), Issuer shall issue and deliver to the applicable Noteholder one or more certificates for the number of shares of Common Stock to which such Noteholder is entitled, together with, at the option of the Noteholder, a check or wire transfer of immediately available funds for payment of fractional shares and any payment required by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in exchange for the converted Conversion Notes (including any cash payable to the applicable Noteholder as a result of the application of the Share Cap), and, if the issuance of shares of Common Stock upon conversion of Conversion Notes on the Conversion Date will result in the Issuer delivering fewer shares of Common Stock than otherwise required as a result of the application of the Share Cap pursuant to </w:t>
      </w:r>
      <w:r>
        <w:rPr>
          <w:rFonts w:ascii="Arial" w:cs="Arial" w:eastAsia="Arial" w:hAnsi="Arial"/>
          <w:sz w:val="19"/>
          <w:szCs w:val="19"/>
          <w:u w:val="single" w:color="auto"/>
          <w:color w:val="auto"/>
        </w:rPr>
        <w:t>Section 7.3.1</w:t>
      </w:r>
      <w:r>
        <w:rPr>
          <w:rFonts w:ascii="Arial" w:cs="Arial" w:eastAsia="Arial" w:hAnsi="Arial"/>
          <w:sz w:val="19"/>
          <w:szCs w:val="19"/>
          <w:color w:val="auto"/>
        </w:rPr>
        <w:t>, the payment shall be accompanied by a written calculation specifying (x) the amount of cash payable to the Noteholder as a result of the application of the Share Cap, and (y) the number of shares of Common Stock that would have been issuable if the Share Cap were not applicable. Such con</w:t>
      </w:r>
    </w:p>
    <w:p>
      <w:pPr>
        <w:sectPr>
          <w:pgSz w:w="11900" w:h="16838" w:orient="portrait"/>
          <w:cols w:equalWidth="0" w:num="1">
            <w:col w:w="11420"/>
          </w:cols>
          <w:pgMar w:left="240" w:top="375" w:right="239" w:bottom="1440" w:gutter="0" w:footer="0" w:header="0"/>
        </w:sectPr>
      </w:pPr>
    </w:p>
    <w:bookmarkStart w:id="66" w:name="page67"/>
    <w:bookmarkEnd w:id="66"/>
    <w:p>
      <w:pPr>
        <w:jc w:val="both"/>
        <w:ind w:left="652"/>
        <w:spacing w:after="0" w:line="289" w:lineRule="auto"/>
        <w:rPr>
          <w:sz w:val="20"/>
          <w:szCs w:val="20"/>
          <w:color w:val="auto"/>
        </w:rPr>
      </w:pPr>
      <w:r>
        <w:rPr>
          <w:rFonts w:ascii="Arial" w:cs="Arial" w:eastAsia="Arial" w:hAnsi="Arial"/>
          <w:sz w:val="19"/>
          <w:szCs w:val="19"/>
          <w:color w:val="auto"/>
        </w:rPr>
        <w:t xml:space="preserve">version will be deemed to have been made on the Conversion Date, and the Person entitled to receive the shares of Common Stock issuable upon such conversion shall be treated for all purposes as the record holder of such shares of Common Stock beginning on such date. The delivery of the Common Stock upon conversion of Conversion Notes shall be made, at the option of the applicable Noteholder, in certificated form or by book-entry. Any such certificate or certificates shall be delivered by Issuer to the appropriate Noteholder on a book-entry basis or by mailing certificates evidencing the shares to such Noteholder at its address as set forth in </w:t>
      </w:r>
      <w:r>
        <w:rPr>
          <w:rFonts w:ascii="Arial" w:cs="Arial" w:eastAsia="Arial" w:hAnsi="Arial"/>
          <w:sz w:val="19"/>
          <w:szCs w:val="19"/>
          <w:u w:val="single" w:color="auto"/>
          <w:color w:val="auto"/>
        </w:rPr>
        <w:t>Section 14.3</w:t>
      </w:r>
      <w:r>
        <w:rPr>
          <w:rFonts w:ascii="Arial" w:cs="Arial" w:eastAsia="Arial" w:hAnsi="Arial"/>
          <w:sz w:val="19"/>
          <w:szCs w:val="19"/>
          <w:color w:val="auto"/>
        </w:rPr>
        <w:t>. In cases where a portion of a Note is to be converted, a new Note (the “</w:t>
      </w:r>
      <w:r>
        <w:rPr>
          <w:rFonts w:ascii="Arial" w:cs="Arial" w:eastAsia="Arial" w:hAnsi="Arial"/>
          <w:sz w:val="19"/>
          <w:szCs w:val="19"/>
          <w:u w:val="single" w:color="auto"/>
          <w:color w:val="auto"/>
        </w:rPr>
        <w:t>Unconverted Portion Note</w:t>
      </w:r>
      <w:r>
        <w:rPr>
          <w:rFonts w:ascii="Arial" w:cs="Arial" w:eastAsia="Arial" w:hAnsi="Arial"/>
          <w:sz w:val="19"/>
          <w:szCs w:val="19"/>
          <w:color w:val="auto"/>
        </w:rPr>
        <w:t>”) shall be issued for the unconverted portion of the outstanding and unpaid principal of such Note. Issuer shall pay any documentary, stamp or similar issue or transfer tax due on the issue of Common Stock upon conversion or due upon the issuance of an Unconverted Portion Note to the converting Noteholder.</w:t>
      </w:r>
    </w:p>
    <w:p>
      <w:pPr>
        <w:spacing w:after="0" w:line="374" w:lineRule="exact"/>
        <w:rPr>
          <w:sz w:val="20"/>
          <w:szCs w:val="20"/>
          <w:color w:val="auto"/>
        </w:rPr>
      </w:pPr>
    </w:p>
    <w:p>
      <w:pPr>
        <w:ind w:left="1692" w:hanging="395"/>
        <w:spacing w:after="0"/>
        <w:tabs>
          <w:tab w:leader="none" w:pos="1692"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Obligor hereby represents and warrants to the Noteholders as follows:</w:t>
      </w:r>
    </w:p>
    <w:p>
      <w:pPr>
        <w:spacing w:after="0" w:line="267" w:lineRule="exact"/>
        <w:rPr>
          <w:rFonts w:ascii="Arial" w:cs="Arial" w:eastAsia="Arial" w:hAnsi="Arial"/>
          <w:sz w:val="19"/>
          <w:szCs w:val="19"/>
          <w:color w:val="auto"/>
        </w:rPr>
      </w:pPr>
    </w:p>
    <w:p>
      <w:pPr>
        <w:jc w:val="both"/>
        <w:ind w:left="-8" w:firstLine="1953"/>
        <w:spacing w:after="0" w:line="261" w:lineRule="auto"/>
        <w:tabs>
          <w:tab w:leader="none" w:pos="2519"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No Event of Default</w:t>
      </w:r>
      <w:r>
        <w:rPr>
          <w:rFonts w:ascii="Arial" w:cs="Arial" w:eastAsia="Arial" w:hAnsi="Arial"/>
          <w:sz w:val="21"/>
          <w:szCs w:val="21"/>
          <w:color w:val="auto"/>
        </w:rPr>
        <w:t xml:space="preserve">. The representations and warranties herein, in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of the Note Purchase Agreement and in each other Note Document, certificate or other writing delivered by or on behalf of the Obligors to any Noteholder pursuant to the Note Purchase Agreement or any other Note Document on or immediately prior to the Amendment Effective Date are true and correct in all material respects on and as of such date as though made on and as of such date, except to the extent that any such representation or warranty expressly relates solely to an earlier date (in which case such representation or warranty shall be true and correct in all material respects on and as of such earlier date), and no Default or Event of Default has occurred and is continuing as of the Amendment Effective Date or would result from this Amendment becoming effective in accordance with its terms.</w:t>
      </w:r>
    </w:p>
    <w:p>
      <w:pPr>
        <w:spacing w:after="0" w:line="181" w:lineRule="exact"/>
        <w:rPr>
          <w:rFonts w:ascii="Arial" w:cs="Arial" w:eastAsia="Arial" w:hAnsi="Arial"/>
          <w:sz w:val="21"/>
          <w:szCs w:val="21"/>
          <w:color w:val="auto"/>
        </w:rPr>
      </w:pPr>
    </w:p>
    <w:p>
      <w:pPr>
        <w:jc w:val="both"/>
        <w:ind w:left="-8" w:firstLine="1953"/>
        <w:spacing w:after="0" w:line="299" w:lineRule="auto"/>
        <w:tabs>
          <w:tab w:leader="none" w:pos="2585"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Organization, Good Standing, Etc.</w:t>
      </w:r>
      <w:r>
        <w:rPr>
          <w:rFonts w:ascii="Arial" w:cs="Arial" w:eastAsia="Arial" w:hAnsi="Arial"/>
          <w:sz w:val="19"/>
          <w:szCs w:val="19"/>
          <w:color w:val="auto"/>
        </w:rPr>
        <w:t xml:space="preserve"> Each Obligor (i) is a corporation, limited liability company or limited partnership duly organized, validly existing and in good standing under the laws of the jurisdiction of its organization,</w:t>
      </w:r>
    </w:p>
    <w:p>
      <w:pPr>
        <w:jc w:val="both"/>
        <w:ind w:left="-8" w:firstLine="8"/>
        <w:spacing w:after="0" w:line="244" w:lineRule="auto"/>
        <w:tabs>
          <w:tab w:leader="none" w:pos="326" w:val="left"/>
        </w:tabs>
        <w:numPr>
          <w:ilvl w:val="0"/>
          <w:numId w:val="42"/>
        </w:numPr>
        <w:rPr>
          <w:rFonts w:ascii="Arial" w:cs="Arial" w:eastAsia="Arial" w:hAnsi="Arial"/>
          <w:sz w:val="22"/>
          <w:szCs w:val="22"/>
          <w:color w:val="auto"/>
        </w:rPr>
      </w:pPr>
      <w:r>
        <w:rPr>
          <w:rFonts w:ascii="Arial" w:cs="Arial" w:eastAsia="Arial" w:hAnsi="Arial"/>
          <w:sz w:val="22"/>
          <w:szCs w:val="22"/>
          <w:color w:val="auto"/>
        </w:rPr>
        <w:t>has all requisite power and authority to conduct its business as now conducted and as presently contemplated, and to execute and deliver this Amendment, and to consummate the transactions contemplated hereby and by the Note Purchase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w:t>
      </w:r>
    </w:p>
    <w:p>
      <w:pPr>
        <w:spacing w:after="0" w:line="194" w:lineRule="exact"/>
        <w:rPr>
          <w:rFonts w:ascii="Arial" w:cs="Arial" w:eastAsia="Arial" w:hAnsi="Arial"/>
          <w:sz w:val="22"/>
          <w:szCs w:val="22"/>
          <w:color w:val="auto"/>
        </w:rPr>
      </w:pPr>
    </w:p>
    <w:p>
      <w:pPr>
        <w:jc w:val="both"/>
        <w:ind w:left="-8" w:firstLine="1953"/>
        <w:spacing w:after="0" w:line="248" w:lineRule="auto"/>
        <w:tabs>
          <w:tab w:leader="none" w:pos="2519"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Authorization, Etc.</w:t>
      </w:r>
      <w:r>
        <w:rPr>
          <w:rFonts w:ascii="Arial" w:cs="Arial" w:eastAsia="Arial" w:hAnsi="Arial"/>
          <w:sz w:val="22"/>
          <w:szCs w:val="22"/>
          <w:color w:val="auto"/>
        </w:rPr>
        <w:t xml:space="preserve"> The execution and delivery by each Obligor of this Amendment and each other Note Document to which it is or will be a party, and the performance by it of the Note Purchase Agreement, as amended hereby, (i) are within the power and authority of such Obligor and have been duly authorized by all necessary action, (ii) do not and will not contravene any of its Organic Documents, (iii) do not and will not result in or require the creation of any Lien (other than pursuant to any Note Document) upon or with respect to any of its properties, (iv) do not and will not result in any default, noncompliance, suspension, revocation, impairment, forfeiture or nonrenewal of any permit, license, authorization or approval applicable to its operations</w:t>
      </w:r>
    </w:p>
    <w:p>
      <w:pPr>
        <w:sectPr>
          <w:pgSz w:w="11900" w:h="16838" w:orient="portrait"/>
          <w:cols w:equalWidth="0" w:num="1">
            <w:col w:w="11412"/>
          </w:cols>
          <w:pgMar w:left="248" w:top="375" w:right="2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22"/>
          <w:szCs w:val="22"/>
          <w:color w:val="auto"/>
        </w:rPr>
        <w:t>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w:t>
      </w:r>
    </w:p>
    <w:p>
      <w:pPr>
        <w:spacing w:after="0" w:line="192" w:lineRule="exact"/>
        <w:rPr>
          <w:sz w:val="20"/>
          <w:szCs w:val="20"/>
          <w:color w:val="auto"/>
        </w:rPr>
      </w:pPr>
    </w:p>
    <w:p>
      <w:pPr>
        <w:jc w:val="both"/>
        <w:ind w:firstLine="1953"/>
        <w:spacing w:after="0" w:line="307" w:lineRule="auto"/>
        <w:tabs>
          <w:tab w:leader="none" w:pos="2471"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Enforceability of Note Documents</w:t>
      </w:r>
      <w:r>
        <w:rPr>
          <w:rFonts w:ascii="Arial" w:cs="Arial" w:eastAsia="Arial" w:hAnsi="Arial"/>
          <w:sz w:val="19"/>
          <w:szCs w:val="19"/>
          <w:color w:val="auto"/>
        </w:rPr>
        <w:t>. This Amendment is, and each other Note Document to which any Obligor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w:t>
      </w:r>
    </w:p>
    <w:p>
      <w:pPr>
        <w:spacing w:after="0" w:line="138" w:lineRule="exact"/>
        <w:rPr>
          <w:rFonts w:ascii="Arial" w:cs="Arial" w:eastAsia="Arial" w:hAnsi="Arial"/>
          <w:sz w:val="19"/>
          <w:szCs w:val="19"/>
          <w:color w:val="auto"/>
        </w:rPr>
      </w:pPr>
    </w:p>
    <w:p>
      <w:pPr>
        <w:jc w:val="both"/>
        <w:ind w:firstLine="1953"/>
        <w:spacing w:after="0" w:line="260" w:lineRule="auto"/>
        <w:tabs>
          <w:tab w:leader="none" w:pos="250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Governmental Approvals</w:t>
      </w:r>
      <w:r>
        <w:rPr>
          <w:rFonts w:ascii="Arial" w:cs="Arial" w:eastAsia="Arial" w:hAnsi="Arial"/>
          <w:sz w:val="22"/>
          <w:szCs w:val="22"/>
          <w:color w:val="auto"/>
        </w:rPr>
        <w:t>. No authorization or approval or other action by, and no notice to or filing with, any Governmental Authority is required in connection with the due execution, delivery and performance by any Obligor of any Note Document to which it is or will be a party.</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693"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Amendment shall become effective only upon satisfaction in full, in a manner satisfactory to the Required Noteholders, of the following conditions precedent (the first date upon which all such conditions shall have been satisfied being hereinafter referred to as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953"/>
        <w:spacing w:after="0" w:line="251" w:lineRule="auto"/>
        <w:tabs>
          <w:tab w:leader="none" w:pos="2459"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The representations and warranties contained in this Amendment and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of the Note Purchase Agreement and in each other Note Document shall be true and correct in all material respects on and as of the Amendment Effective Date as though made on and as of such date, except to the extent that any such representation or warranty expressly relates solely to an earlier date (in which case such representation or warranty shall be true and correct on and as of such earlier date).</w:t>
      </w:r>
    </w:p>
    <w:p>
      <w:pPr>
        <w:spacing w:after="0" w:line="189" w:lineRule="exact"/>
        <w:rPr>
          <w:rFonts w:ascii="Arial" w:cs="Arial" w:eastAsia="Arial" w:hAnsi="Arial"/>
          <w:sz w:val="22"/>
          <w:szCs w:val="22"/>
          <w:color w:val="auto"/>
        </w:rPr>
      </w:pPr>
    </w:p>
    <w:p>
      <w:pPr>
        <w:ind w:right="20" w:firstLine="1953"/>
        <w:spacing w:after="0" w:line="358" w:lineRule="auto"/>
        <w:tabs>
          <w:tab w:leader="none" w:pos="2431"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No Default; Event of Default</w:t>
      </w:r>
      <w:r>
        <w:rPr>
          <w:rFonts w:ascii="Arial" w:cs="Arial" w:eastAsia="Arial" w:hAnsi="Arial"/>
          <w:sz w:val="19"/>
          <w:szCs w:val="19"/>
          <w:color w:val="auto"/>
        </w:rPr>
        <w:t>. No Default or Event of Default shall have occurred and be continuing on the Amendment Effective Date or result from this Amendment becoming effective in accordance with its terms.</w:t>
      </w:r>
    </w:p>
    <w:p>
      <w:pPr>
        <w:spacing w:after="0" w:line="90" w:lineRule="exact"/>
        <w:rPr>
          <w:rFonts w:ascii="Arial" w:cs="Arial" w:eastAsia="Arial" w:hAnsi="Arial"/>
          <w:sz w:val="19"/>
          <w:szCs w:val="19"/>
          <w:color w:val="auto"/>
        </w:rPr>
      </w:pPr>
    </w:p>
    <w:p>
      <w:pPr>
        <w:ind w:right="20" w:firstLine="1953"/>
        <w:spacing w:after="0" w:line="276" w:lineRule="auto"/>
        <w:tabs>
          <w:tab w:leader="none" w:pos="250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Delivery of Documents</w:t>
      </w:r>
      <w:r>
        <w:rPr>
          <w:rFonts w:ascii="Arial" w:cs="Arial" w:eastAsia="Arial" w:hAnsi="Arial"/>
          <w:sz w:val="22"/>
          <w:szCs w:val="22"/>
          <w:color w:val="auto"/>
        </w:rPr>
        <w:t>. The Noteholders shall have received on or before the Amendment Effective Date this Amendment, duly executed by the Obligors and the Required Noteholders.</w:t>
      </w:r>
    </w:p>
    <w:p>
      <w:pPr>
        <w:spacing w:after="0" w:line="160" w:lineRule="exact"/>
        <w:rPr>
          <w:rFonts w:ascii="Arial" w:cs="Arial" w:eastAsia="Arial" w:hAnsi="Arial"/>
          <w:sz w:val="22"/>
          <w:szCs w:val="22"/>
          <w:color w:val="auto"/>
        </w:rPr>
      </w:pPr>
    </w:p>
    <w:p>
      <w:pPr>
        <w:jc w:val="both"/>
        <w:ind w:firstLine="1305"/>
        <w:spacing w:after="0" w:line="250" w:lineRule="auto"/>
        <w:tabs>
          <w:tab w:leader="none" w:pos="170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Continued Effectiveness of the Note Purchase Agreement and Other Note Documents</w:t>
      </w:r>
      <w:r>
        <w:rPr>
          <w:rFonts w:ascii="Arial" w:cs="Arial" w:eastAsia="Arial" w:hAnsi="Arial"/>
          <w:sz w:val="22"/>
          <w:szCs w:val="22"/>
          <w:color w:val="auto"/>
        </w:rPr>
        <w:t>. Each Obligor hereby (a) acknowledges and consents to this Amendment and (b) confirms and agrees that the Note Purchase Agreement and each other Note Document to which it is a party is, and shall continue to be, in full force and effect and is hereby ratified and confirmed in all respects, except that on and after the Amendment Effective Date, all references in any such Note Document to “the Note Purchase Agreement”, the “Agreement”, “thereto”, “thereof”, “thereunder” or words of like import referring to the Note Purchase Agreement shall mean the Note</w:t>
      </w:r>
    </w:p>
    <w:p>
      <w:pPr>
        <w:sectPr>
          <w:pgSz w:w="11900" w:h="16838" w:orient="portrait"/>
          <w:cols w:equalWidth="0" w:num="1">
            <w:col w:w="11420"/>
          </w:cols>
          <w:pgMar w:left="240" w:top="375" w:right="2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21"/>
          <w:szCs w:val="21"/>
          <w:color w:val="auto"/>
        </w:rPr>
        <w:t>Purchase Agreement as amended by this Amendment. This Amendment does not and shall not affect any of the obligations of the Obligors, other than as expressly provided herein, including, without limitation, the Obligors’ obligations to repay the Note in accordance with the terms of Note Purchase Agreement or the obligations of the Obligors under any Note Document to which they are a party, all of which obligations shall remain in full force and effect. Except as expressly provided herein, the execution, delivery and effectiveness of this Amendment shall not operate as a waiver of any right, power or remedy of any Noteholder under the Note Purchase Agreement or any other Note Document nor constitute a waiver of any provision of the Note Purchase Agreement or any other Note Document.</w:t>
      </w:r>
    </w:p>
    <w:p>
      <w:pPr>
        <w:spacing w:after="0" w:line="181" w:lineRule="exact"/>
        <w:rPr>
          <w:sz w:val="20"/>
          <w:szCs w:val="20"/>
          <w:color w:val="auto"/>
        </w:rPr>
      </w:pPr>
    </w:p>
    <w:p>
      <w:pPr>
        <w:jc w:val="both"/>
        <w:ind w:firstLine="1305"/>
        <w:spacing w:after="0" w:line="260" w:lineRule="auto"/>
        <w:tabs>
          <w:tab w:leader="none" w:pos="1828"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No Novation</w:t>
      </w:r>
      <w:r>
        <w:rPr>
          <w:rFonts w:ascii="Arial" w:cs="Arial" w:eastAsia="Arial" w:hAnsi="Arial"/>
          <w:sz w:val="22"/>
          <w:szCs w:val="22"/>
          <w:color w:val="auto"/>
        </w:rPr>
        <w:t>. Nothing herein contained shall be construed as a substitution or novation of the Obligations outstanding under the Note Purchase Agreement or instruments securing the same, which shall remain in full force and effect, except as modified hereby.</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963"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No Representations by Noteholders</w:t>
      </w:r>
      <w:r>
        <w:rPr>
          <w:rFonts w:ascii="Arial" w:cs="Arial" w:eastAsia="Arial" w:hAnsi="Arial"/>
          <w:sz w:val="22"/>
          <w:szCs w:val="22"/>
          <w:color w:val="auto"/>
        </w:rPr>
        <w:t>. Each Obligor hereby acknowledges that it has not relied on any representation, written or oral, express or implied, by any Noteholder, other than those expressly contained herein, in entering into this Amendment.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693"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The Obligors shall execute any and all further documents, agreements and instruments, and take all further actions, as may be required under Applicable Law or as any Required Noteholder may reasonably request, in order to effect the purposes of this Amendment.</w:t>
      </w:r>
    </w:p>
    <w:p>
      <w:pPr>
        <w:spacing w:after="0" w:line="177" w:lineRule="exact"/>
        <w:rPr>
          <w:rFonts w:ascii="Arial" w:cs="Arial" w:eastAsia="Arial" w:hAnsi="Arial"/>
          <w:sz w:val="22"/>
          <w:szCs w:val="22"/>
          <w:color w:val="auto"/>
        </w:rPr>
      </w:pPr>
    </w:p>
    <w:p>
      <w:pPr>
        <w:ind w:left="1700" w:hanging="395"/>
        <w:spacing w:after="0"/>
        <w:tabs>
          <w:tab w:leader="none" w:pos="1700"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513" w:val="left"/>
        </w:tabs>
        <w:numPr>
          <w:ilvl w:val="2"/>
          <w:numId w:val="45"/>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spacing w:after="0" w:line="185" w:lineRule="exact"/>
        <w:rPr>
          <w:rFonts w:ascii="Arial" w:cs="Arial" w:eastAsia="Arial" w:hAnsi="Arial"/>
          <w:sz w:val="22"/>
          <w:szCs w:val="22"/>
          <w:color w:val="auto"/>
        </w:rPr>
      </w:pPr>
    </w:p>
    <w:p>
      <w:pPr>
        <w:ind w:right="20" w:firstLine="1953"/>
        <w:spacing w:after="0" w:line="276" w:lineRule="auto"/>
        <w:tabs>
          <w:tab w:leader="none" w:pos="2525" w:val="left"/>
        </w:tabs>
        <w:numPr>
          <w:ilvl w:val="2"/>
          <w:numId w:val="45"/>
        </w:numPr>
        <w:rPr>
          <w:rFonts w:ascii="Arial" w:cs="Arial" w:eastAsia="Arial" w:hAnsi="Arial"/>
          <w:sz w:val="22"/>
          <w:szCs w:val="22"/>
          <w:color w:val="auto"/>
        </w:rPr>
      </w:pPr>
      <w:r>
        <w:rPr>
          <w:rFonts w:ascii="Arial" w:cs="Arial" w:eastAsia="Arial" w:hAnsi="Arial"/>
          <w:sz w:val="22"/>
          <w:szCs w:val="22"/>
          <w:color w:val="auto"/>
        </w:rPr>
        <w:t>Section and paragraph headings herein are included for convenience of reference only and shall not constitute a part of this Amendment for any other purpose.</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2"/>
          <w:numId w:val="45"/>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in accordance with, the laws of the State of New</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York.</w:t>
      </w:r>
    </w:p>
    <w:p>
      <w:pPr>
        <w:spacing w:after="0" w:line="215" w:lineRule="exact"/>
        <w:rPr>
          <w:rFonts w:ascii="Arial" w:cs="Arial" w:eastAsia="Arial" w:hAnsi="Arial"/>
          <w:sz w:val="19"/>
          <w:szCs w:val="19"/>
          <w:color w:val="auto"/>
        </w:rPr>
      </w:pPr>
    </w:p>
    <w:p>
      <w:pPr>
        <w:jc w:val="both"/>
        <w:ind w:firstLine="1953"/>
        <w:spacing w:after="0" w:line="299" w:lineRule="auto"/>
        <w:tabs>
          <w:tab w:leader="none" w:pos="2512" w:val="left"/>
        </w:tabs>
        <w:numPr>
          <w:ilvl w:val="2"/>
          <w:numId w:val="45"/>
        </w:numPr>
        <w:rPr>
          <w:rFonts w:ascii="Arial" w:cs="Arial" w:eastAsia="Arial" w:hAnsi="Arial"/>
          <w:sz w:val="19"/>
          <w:szCs w:val="19"/>
          <w:color w:val="auto"/>
        </w:rPr>
      </w:pPr>
      <w:r>
        <w:rPr>
          <w:rFonts w:ascii="Arial" w:cs="Arial" w:eastAsia="Arial" w:hAnsi="Arial"/>
          <w:sz w:val="19"/>
          <w:szCs w:val="19"/>
          <w:color w:val="auto"/>
        </w:rPr>
        <w:t>Each Obligor hereby acknowledges and agrees that this Amendment constitutes a “Note Document” under the Note Purchase Agreement. Accordingly, it shall be an immediate Event of Default under the Note Purchase Agreement if</w:t>
      </w:r>
    </w:p>
    <w:p>
      <w:pPr>
        <w:jc w:val="both"/>
        <w:ind w:firstLine="8"/>
        <w:spacing w:after="0" w:line="245" w:lineRule="auto"/>
        <w:tabs>
          <w:tab w:leader="none" w:pos="271"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representation or warranty made by any Obligor under or in connection with this Amendment shall have been incorrect in any respect when made or deemed made, or (ii) any Obligor shall fail to perform or observe any term, covenant or agreement contained in this Amendment.</w:t>
      </w:r>
    </w:p>
    <w:p>
      <w:pPr>
        <w:spacing w:after="0" w:line="193" w:lineRule="exact"/>
        <w:rPr>
          <w:rFonts w:ascii="Arial" w:cs="Arial" w:eastAsia="Arial" w:hAnsi="Arial"/>
          <w:sz w:val="22"/>
          <w:szCs w:val="22"/>
          <w:color w:val="auto"/>
        </w:rPr>
      </w:pPr>
    </w:p>
    <w:p>
      <w:pPr>
        <w:ind w:firstLine="1953"/>
        <w:spacing w:after="0" w:line="276" w:lineRule="auto"/>
        <w:tabs>
          <w:tab w:leader="none" w:pos="2513" w:val="left"/>
        </w:tabs>
        <w:numPr>
          <w:ilvl w:val="2"/>
          <w:numId w:val="46"/>
        </w:numPr>
        <w:rPr>
          <w:rFonts w:ascii="Arial" w:cs="Arial" w:eastAsia="Arial" w:hAnsi="Arial"/>
          <w:sz w:val="22"/>
          <w:szCs w:val="22"/>
          <w:color w:val="auto"/>
        </w:rPr>
      </w:pPr>
      <w:r>
        <w:rPr>
          <w:rFonts w:ascii="Arial" w:cs="Arial" w:eastAsia="Arial" w:hAnsi="Arial"/>
          <w:sz w:val="22"/>
          <w:szCs w:val="22"/>
          <w:color w:val="auto"/>
        </w:rPr>
        <w:t>Any provision of this Amendment that is prohibited or unenforceable in any jurisdiction shall, as to such jurisdiction, be ineffective to the extent of such prohibition or</w:t>
      </w:r>
    </w:p>
    <w:p>
      <w:pPr>
        <w:sectPr>
          <w:pgSz w:w="11900" w:h="16838" w:orient="portrait"/>
          <w:cols w:equalWidth="0" w:num="1">
            <w:col w:w="11420"/>
          </w:cols>
          <w:pgMar w:left="240" w:top="375" w:right="2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unenforceability without invalidating the remaining portions hereof or affecting the validity or enforceability of such provision in any other jurisdiction.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420"/>
          </w:cols>
          <w:pgMar w:left="240" w:top="375" w:right="239" w:bottom="1440" w:gutter="0" w:footer="0" w:header="0"/>
        </w:sectPr>
      </w:pPr>
    </w:p>
    <w:bookmarkStart w:id="70" w:name="page71"/>
    <w:bookmarkEnd w:id="70"/>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and delivered as of the date set forth on the first page hereof.</w:t>
      </w: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ISSUERS</w:t>
      </w:r>
      <w:r>
        <w:rPr>
          <w:rFonts w:ascii="Arial" w:cs="Arial" w:eastAsia="Arial" w:hAnsi="Arial"/>
          <w:sz w:val="22"/>
          <w:szCs w:val="22"/>
          <w:b w:val="1"/>
          <w:bCs w:val="1"/>
          <w:color w:val="auto"/>
        </w:rPr>
        <w:t>:</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CROSS COUNTRY HEALTHCARE,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William J. Grubbs</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CEO and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CEJKA SEARCH,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William J. Grubbs</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CROSS COUNTRY STAFFING,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Title: Executive Vice President</w:t>
      </w:r>
    </w:p>
    <w:p>
      <w:pPr>
        <w:sectPr>
          <w:pgSz w:w="11900" w:h="16838" w:orient="portrait"/>
          <w:cols w:equalWidth="0" w:num="1">
            <w:col w:w="11420"/>
          </w:cols>
          <w:pgMar w:left="240" w:top="375" w:right="239" w:bottom="1440" w:gutter="0" w:footer="0" w:header="0"/>
        </w:sectPr>
      </w:pPr>
    </w:p>
    <w:bookmarkStart w:id="71" w:name="page72"/>
    <w:bookmarkEnd w:id="71"/>
    <w:p>
      <w:pPr>
        <w:ind w:left="2700"/>
        <w:spacing w:after="0"/>
        <w:rPr>
          <w:sz w:val="20"/>
          <w:szCs w:val="20"/>
          <w:color w:val="auto"/>
        </w:rPr>
      </w:pPr>
      <w:r>
        <w:rPr>
          <w:rFonts w:ascii="Arial" w:cs="Arial" w:eastAsia="Arial" w:hAnsi="Arial"/>
          <w:sz w:val="22"/>
          <w:szCs w:val="22"/>
          <w:color w:val="auto"/>
        </w:rPr>
        <w:t>MDA HOLDINGS, INC.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ASSIGNMENT AMERICA,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TRAVEL STAFF,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MEDICAL DOCTOR ASSOCIATES, LLC</w:t>
      </w:r>
    </w:p>
    <w:p>
      <w:pPr>
        <w:spacing w:after="0" w:line="200" w:lineRule="exact"/>
        <w:rPr>
          <w:sz w:val="20"/>
          <w:szCs w:val="20"/>
          <w:color w:val="auto"/>
        </w:rPr>
      </w:pPr>
    </w:p>
    <w:p>
      <w:pPr>
        <w:spacing w:after="0" w:line="270"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OWS,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Executive Vice President</w:t>
      </w:r>
    </w:p>
    <w:p>
      <w:pPr>
        <w:sectPr>
          <w:pgSz w:w="11900" w:h="16838" w:orient="portrait"/>
          <w:cols w:equalWidth="0" w:num="1">
            <w:col w:w="9019"/>
          </w:cols>
          <w:pgMar w:left="1440" w:top="591" w:right="1440" w:bottom="1440" w:gutter="0" w:footer="0" w:header="0"/>
        </w:sectPr>
      </w:pPr>
    </w:p>
    <w:bookmarkStart w:id="72" w:name="page73"/>
    <w:bookmarkEnd w:id="72"/>
    <w:p>
      <w:pPr>
        <w:ind w:left="2700"/>
        <w:spacing w:after="0"/>
        <w:rPr>
          <w:sz w:val="20"/>
          <w:szCs w:val="20"/>
          <w:color w:val="auto"/>
        </w:rPr>
      </w:pPr>
      <w:r>
        <w:rPr>
          <w:rFonts w:ascii="Arial" w:cs="Arial" w:eastAsia="Arial" w:hAnsi="Arial"/>
          <w:sz w:val="19"/>
          <w:szCs w:val="19"/>
          <w:color w:val="auto"/>
        </w:rPr>
        <w:t>CREDENT VERIFICATION AND LICENSING SERVICES, LLC</w:t>
      </w:r>
    </w:p>
    <w:p>
      <w:pPr>
        <w:spacing w:after="0" w:line="200" w:lineRule="exact"/>
        <w:rPr>
          <w:sz w:val="20"/>
          <w:szCs w:val="20"/>
          <w:color w:val="auto"/>
        </w:rPr>
      </w:pPr>
    </w:p>
    <w:p>
      <w:pPr>
        <w:spacing w:after="0" w:line="270"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NEW MEDISCAN II,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MEDISCAN NURSING STAFFING, LLC</w:t>
      </w:r>
    </w:p>
    <w:p>
      <w:pPr>
        <w:spacing w:after="0" w:line="200" w:lineRule="exact"/>
        <w:rPr>
          <w:sz w:val="20"/>
          <w:szCs w:val="20"/>
          <w:color w:val="auto"/>
        </w:rPr>
      </w:pPr>
    </w:p>
    <w:p>
      <w:pPr>
        <w:spacing w:after="0" w:line="270"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MEDISCAN DIAGNOSTIC SERVICES,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Grubbs</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William J. Grubbs</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591" w:right="1440" w:bottom="1440" w:gutter="0" w:footer="0" w:header="0"/>
        </w:sectPr>
      </w:pPr>
    </w:p>
    <w:bookmarkStart w:id="73" w:name="page74"/>
    <w:bookmarkEnd w:id="73"/>
    <w:p>
      <w:pPr>
        <w:ind w:left="2700"/>
        <w:spacing w:after="0"/>
        <w:rPr>
          <w:sz w:val="20"/>
          <w:szCs w:val="20"/>
          <w:color w:val="auto"/>
        </w:rPr>
      </w:pPr>
      <w:r>
        <w:rPr>
          <w:rFonts w:ascii="Arial" w:cs="Arial" w:eastAsia="Arial" w:hAnsi="Arial"/>
          <w:sz w:val="22"/>
          <w:szCs w:val="22"/>
          <w:b w:val="1"/>
          <w:bCs w:val="1"/>
          <w:u w:val="single" w:color="auto"/>
          <w:color w:val="auto"/>
        </w:rPr>
        <w:t>NOTEHOLDER</w:t>
      </w:r>
      <w:r>
        <w:rPr>
          <w:rFonts w:ascii="Arial" w:cs="Arial" w:eastAsia="Arial" w:hAnsi="Arial"/>
          <w:sz w:val="22"/>
          <w:szCs w:val="22"/>
          <w:b w:val="1"/>
          <w:bCs w:val="1"/>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BENEFIT STREET PARTNERS SMA LM L.P.</w:t>
      </w:r>
    </w:p>
    <w:p>
      <w:pPr>
        <w:spacing w:after="0" w:line="200" w:lineRule="exact"/>
        <w:rPr>
          <w:sz w:val="20"/>
          <w:szCs w:val="20"/>
          <w:color w:val="auto"/>
        </w:rPr>
      </w:pPr>
    </w:p>
    <w:p>
      <w:pPr>
        <w:spacing w:after="0" w:line="270"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Bryan Martoken</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Bryan Martoken</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801" w:right="1440" w:bottom="1440" w:gutter="0" w:footer="0" w:header="0"/>
        </w:sectPr>
      </w:pPr>
    </w:p>
    <w:bookmarkStart w:id="74" w:name="page75"/>
    <w:bookmarkEnd w:id="74"/>
    <w:p>
      <w:pPr>
        <w:ind w:left="2700"/>
        <w:spacing w:after="0"/>
        <w:rPr>
          <w:sz w:val="20"/>
          <w:szCs w:val="20"/>
          <w:color w:val="auto"/>
        </w:rPr>
      </w:pPr>
      <w:r>
        <w:rPr>
          <w:rFonts w:ascii="Arial" w:cs="Arial" w:eastAsia="Arial" w:hAnsi="Arial"/>
          <w:sz w:val="22"/>
          <w:szCs w:val="22"/>
          <w:b w:val="1"/>
          <w:bCs w:val="1"/>
          <w:u w:val="single" w:color="auto"/>
          <w:color w:val="auto"/>
        </w:rPr>
        <w:t>NOTEHOLDER</w:t>
      </w:r>
      <w:r>
        <w:rPr>
          <w:rFonts w:ascii="Arial" w:cs="Arial" w:eastAsia="Arial" w:hAnsi="Arial"/>
          <w:sz w:val="22"/>
          <w:szCs w:val="22"/>
          <w:b w:val="1"/>
          <w:bCs w:val="1"/>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PECM STRATEGIC FUNDING L.P.</w:t>
      </w:r>
    </w:p>
    <w:p>
      <w:pPr>
        <w:spacing w:after="0" w:line="29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PECM Strategic Funding GP L.P.</w:t>
      </w:r>
    </w:p>
    <w:p>
      <w:pPr>
        <w:spacing w:after="0" w:line="200" w:lineRule="exact"/>
        <w:rPr>
          <w:sz w:val="20"/>
          <w:szCs w:val="20"/>
          <w:color w:val="auto"/>
        </w:rPr>
      </w:pPr>
    </w:p>
    <w:p>
      <w:pPr>
        <w:spacing w:after="0" w:line="31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PECM Strategic Funding GP Ltd.</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Bryan Martoken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Bryan Martoken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801" w:right="1440" w:bottom="1440" w:gutter="0" w:footer="0" w:header="0"/>
        </w:sectPr>
      </w:pPr>
    </w:p>
    <w:bookmarkStart w:id="75" w:name="page76"/>
    <w:bookmarkEnd w:id="75"/>
    <w:p>
      <w:pPr>
        <w:ind w:left="2700"/>
        <w:spacing w:after="0"/>
        <w:rPr>
          <w:sz w:val="20"/>
          <w:szCs w:val="20"/>
          <w:color w:val="auto"/>
        </w:rPr>
      </w:pPr>
      <w:r>
        <w:rPr>
          <w:rFonts w:ascii="Arial" w:cs="Arial" w:eastAsia="Arial" w:hAnsi="Arial"/>
          <w:sz w:val="22"/>
          <w:szCs w:val="22"/>
          <w:b w:val="1"/>
          <w:bCs w:val="1"/>
          <w:u w:val="single" w:color="auto"/>
          <w:color w:val="auto"/>
        </w:rPr>
        <w:t>NOTEHOLDER</w:t>
      </w:r>
      <w:r>
        <w:rPr>
          <w:rFonts w:ascii="Arial" w:cs="Arial" w:eastAsia="Arial" w:hAnsi="Arial"/>
          <w:sz w:val="22"/>
          <w:szCs w:val="22"/>
          <w:b w:val="1"/>
          <w:bCs w:val="1"/>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PROVIDENCE DEBT FUND III L.P.</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Bryan Martoken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Bryan Martoken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585"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Pizzi,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2016,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September 30, 2016, (the "Periodic Report"), I, Christopher R. Pizzi,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Roman"/>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5"/>
    </w:lvl>
  </w:abstractNum>
  <w:abstractNum w:abstractNumId="5">
    <w:nsid w:val="54E49EB4"/>
    <w:multiLevelType w:val="hybridMultilevel"/>
    <w:lvl w:ilvl="0">
      <w:lvlJc w:val="left"/>
      <w:lvlText w:val="%1."/>
      <w:numFmt w:val="decimal"/>
      <w:start w:val="6"/>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0"/>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decimal"/>
      <w:start w:val="11"/>
    </w:lvl>
  </w:abstractNum>
  <w:abstractNum w:abstractNumId="10">
    <w:nsid w:val="3A95F874"/>
    <w:multiLevelType w:val="hybridMultilevel"/>
    <w:lvl w:ilvl="0">
      <w:lvlJc w:val="left"/>
      <w:lvlText w:val="%1."/>
      <w:numFmt w:val="decimal"/>
      <w:start w:val="12"/>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8"/>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5"/>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4"/>
    </w:lvl>
  </w:abstractNum>
  <w:abstractNum w:abstractNumId="23">
    <w:nsid w:val="5072367"/>
    <w:multiLevelType w:val="hybridMultilevel"/>
    <w:lvl w:ilvl="0">
      <w:lvlJc w:val="left"/>
      <w:lvlText w:val="%1."/>
      <w:numFmt w:val="decimal"/>
      <w:start w:val="8"/>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5"/>
    </w:lvl>
  </w:abstractNum>
  <w:abstractNum w:abstractNumId="26">
    <w:nsid w:val="7724C67E"/>
    <w:multiLevelType w:val="hybridMultilevel"/>
    <w:lvl w:ilvl="0">
      <w:lvlJc w:val="left"/>
      <w:lvlText w:val="%1."/>
      <w:numFmt w:val="decimal"/>
      <w:start w:val="6"/>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2"/>
    </w:lvl>
  </w:abstractNum>
  <w:abstractNum w:abstractNumId="29">
    <w:nsid w:val="5E884ADC"/>
    <w:multiLevelType w:val="hybridMultilevel"/>
    <w:lvl w:ilvl="0">
      <w:lvlJc w:val="left"/>
      <w:lvlText w:val="%1."/>
      <w:numFmt w:val="lowerLetter"/>
      <w:start w:val="3"/>
    </w:lvl>
  </w:abstractNum>
  <w:abstractNum w:abstractNumId="30">
    <w:nsid w:val="51EAD36B"/>
    <w:multiLevelType w:val="hybridMultilevel"/>
    <w:lvl w:ilvl="0">
      <w:lvlJc w:val="left"/>
      <w:lvlText w:val="%1."/>
      <w:numFmt w:val="decimal"/>
      <w:start w:val="8"/>
    </w:lvl>
  </w:abstractNum>
  <w:abstractNum w:abstractNumId="31">
    <w:nsid w:val="2D517796"/>
    <w:multiLevelType w:val="hybridMultilevel"/>
    <w:lvl w:ilvl="0">
      <w:lvlJc w:val="left"/>
      <w:lvlText w:val="%1."/>
      <w:numFmt w:val="decimal"/>
      <w:start w:val="9"/>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upperLetter"/>
      <w:start w:val="5"/>
    </w:lvl>
  </w:abstractNum>
  <w:abstractNum w:abstractNumId="34">
    <w:nsid w:val="3855585C"/>
    <w:multiLevelType w:val="hybridMultilevel"/>
    <w:lvl w:ilvl="0">
      <w:lvlJc w:val="left"/>
      <w:lvlText w:val="%1."/>
      <w:numFmt w:val="decimal"/>
      <w:start w:val="1"/>
    </w:lvl>
    <w:lvl w:ilvl="1">
      <w:lvlJc w:val="left"/>
      <w:lvlText w:val="(%2)"/>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lowerLetter"/>
      <w:start w:val="5"/>
    </w:lvl>
  </w:abstractNum>
  <w:abstractNum w:abstractNumId="39">
    <w:nsid w:val="725A06FB"/>
    <w:multiLevelType w:val="hybridMultilevel"/>
    <w:lvl w:ilvl="0">
      <w:lvlJc w:val="left"/>
      <w:lvlText w:val="(%1)"/>
      <w:numFmt w:val="lowerLetter"/>
      <w:start w:val="6"/>
    </w:lvl>
  </w:abstractNum>
  <w:abstractNum w:abstractNumId="40">
    <w:nsid w:val="2CD89A3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1">
    <w:nsid w:val="57E4CC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42">
    <w:nsid w:val="7A6D8D3C"/>
    <w:multiLevelType w:val="hybridMultilevel"/>
    <w:lvl w:ilvl="0">
      <w:lvlJc w:val="left"/>
      <w:lvlText w:val="%1"/>
      <w:numFmt w:val="decimal"/>
      <w:start w:val="1"/>
    </w:lvl>
    <w:lvl w:ilvl="1">
      <w:lvlJc w:val="left"/>
      <w:lvlText w:val="(%2)"/>
      <w:numFmt w:val="lowerLetter"/>
      <w:start w:val="4"/>
    </w:lvl>
  </w:abstractNum>
  <w:abstractNum w:abstractNumId="43">
    <w:nsid w:val="4B588F54"/>
    <w:multiLevelType w:val="hybridMultilevel"/>
    <w:lvl w:ilvl="0">
      <w:lvlJc w:val="left"/>
      <w:lvlText w:val="%1."/>
      <w:numFmt w:val="decimal"/>
      <w:start w:val="4"/>
    </w:lvl>
    <w:lvl w:ilvl="1">
      <w:lvlJc w:val="left"/>
      <w:lvlText w:val="(%2)"/>
      <w:numFmt w:val="lowerLetter"/>
      <w:start w:val="1"/>
    </w:lvl>
  </w:abstractNum>
  <w:abstractNum w:abstractNumId="44">
    <w:nsid w:val="542289E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5">
    <w:nsid w:val="6DE91B1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2019-12-29T09:49:13Z</dcterms:created>
  <dcterms:modified xsi:type="dcterms:W3CDTF">2019-12-29T09:49:13Z</dcterms:modified>
</cp:coreProperties>
</file>