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5"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102" w:lineRule="exact"/>
        <w:rPr>
          <w:sz w:val="24"/>
          <w:szCs w:val="24"/>
          <w:color w:val="auto"/>
        </w:rPr>
      </w:pPr>
    </w:p>
    <w:p>
      <w:pPr>
        <w:ind w:left="3820" w:right="2100" w:hanging="1341"/>
        <w:spacing w:after="0" w:line="351" w:lineRule="auto"/>
        <w:tabs>
          <w:tab w:leader="none" w:pos="267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-317500</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ind w:left="3680" w:right="2080" w:hanging="1212"/>
        <w:spacing w:after="0" w:line="390" w:lineRule="auto"/>
        <w:tabs>
          <w:tab w:leader="none" w:pos="2662"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For the Transition Period From </w:t>
      </w:r>
      <w:r>
        <w:rPr>
          <w:rFonts w:ascii="Arial" w:cs="Arial" w:eastAsia="Arial" w:hAnsi="Arial"/>
          <w:sz w:val="15"/>
          <w:szCs w:val="15"/>
          <w:color w:val="auto"/>
        </w:rPr>
        <w:t>_________</w:t>
      </w:r>
      <w:r>
        <w:rPr>
          <w:rFonts w:ascii="Arial" w:cs="Arial" w:eastAsia="Arial" w:hAnsi="Arial"/>
          <w:sz w:val="15"/>
          <w:szCs w:val="15"/>
          <w:b w:val="1"/>
          <w:bCs w:val="1"/>
          <w:color w:val="auto"/>
        </w:rPr>
        <w:t xml:space="preserve"> to </w:t>
      </w:r>
      <w:r>
        <w:rPr>
          <w:rFonts w:ascii="Arial" w:cs="Arial" w:eastAsia="Arial" w:hAnsi="Arial"/>
          <w:sz w:val="15"/>
          <w:szCs w:val="15"/>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1576705</wp:posOffset>
            </wp:positionH>
            <wp:positionV relativeFrom="paragraph">
              <wp:posOffset>-331470</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-72390</wp:posOffset>
            </wp:positionV>
            <wp:extent cx="2134235" cy="857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CROSS COUNTRY HEALTHCARE, INC.</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860"/>
          </w:cols>
          <w:pgMar w:left="320" w:top="1206" w:right="719" w:bottom="1440" w:gutter="0" w:footer="0" w:header="0"/>
        </w:sectPr>
      </w:pPr>
    </w:p>
    <w:p>
      <w:pPr>
        <w:spacing w:after="0" w:line="34"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92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86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0-33169</w:t>
      </w:r>
    </w:p>
    <w:p>
      <w:pPr>
        <w:spacing w:after="0" w:line="36" w:lineRule="exact"/>
        <w:rPr>
          <w:sz w:val="24"/>
          <w:szCs w:val="24"/>
          <w:color w:val="auto"/>
        </w:rPr>
      </w:pPr>
    </w:p>
    <w:p>
      <w:pPr>
        <w:jc w:val="center"/>
        <w:ind w:right="1880"/>
        <w:spacing w:after="0"/>
        <w:rPr>
          <w:sz w:val="20"/>
          <w:szCs w:val="20"/>
          <w:color w:val="auto"/>
        </w:rPr>
      </w:pPr>
      <w:r>
        <w:rPr>
          <w:rFonts w:ascii="Arial" w:cs="Arial" w:eastAsia="Arial" w:hAnsi="Arial"/>
          <w:sz w:val="14"/>
          <w:szCs w:val="14"/>
          <w:i w:val="1"/>
          <w:iCs w:val="1"/>
          <w:color w:val="auto"/>
        </w:rPr>
        <w:t>Commission</w:t>
      </w:r>
    </w:p>
    <w:p>
      <w:pPr>
        <w:spacing w:after="0" w:line="15" w:lineRule="exact"/>
        <w:rPr>
          <w:sz w:val="24"/>
          <w:szCs w:val="24"/>
          <w:color w:val="auto"/>
        </w:rPr>
      </w:pPr>
    </w:p>
    <w:p>
      <w:pPr>
        <w:jc w:val="center"/>
        <w:ind w:right="188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13-4066229</w:t>
      </w:r>
    </w:p>
    <w:p>
      <w:pPr>
        <w:spacing w:after="0" w:line="28" w:lineRule="exact"/>
        <w:rPr>
          <w:sz w:val="24"/>
          <w:szCs w:val="24"/>
          <w:color w:val="auto"/>
        </w:rPr>
      </w:pPr>
    </w:p>
    <w:p>
      <w:pPr>
        <w:jc w:val="center"/>
        <w:ind w:right="740"/>
        <w:spacing w:after="0"/>
        <w:rPr>
          <w:sz w:val="20"/>
          <w:szCs w:val="20"/>
          <w:color w:val="auto"/>
        </w:rPr>
      </w:pPr>
      <w:r>
        <w:rPr>
          <w:rFonts w:ascii="Arial" w:cs="Arial" w:eastAsia="Arial" w:hAnsi="Arial"/>
          <w:sz w:val="16"/>
          <w:szCs w:val="16"/>
          <w:i w:val="1"/>
          <w:iCs w:val="1"/>
          <w:color w:val="auto"/>
        </w:rPr>
        <w:t>(I.R.S. Employer</w:t>
      </w:r>
    </w:p>
    <w:p>
      <w:pPr>
        <w:jc w:val="center"/>
        <w:ind w:right="740"/>
        <w:spacing w:after="0"/>
        <w:rPr>
          <w:sz w:val="20"/>
          <w:szCs w:val="20"/>
          <w:color w:val="auto"/>
        </w:rPr>
      </w:pPr>
      <w:r>
        <w:rPr>
          <w:rFonts w:ascii="Arial" w:cs="Arial" w:eastAsia="Arial" w:hAnsi="Arial"/>
          <w:sz w:val="15"/>
          <w:szCs w:val="15"/>
          <w:i w:val="1"/>
          <w:iCs w:val="1"/>
          <w:color w:val="auto"/>
        </w:rPr>
        <w:t>Identification Number)</w:t>
      </w:r>
    </w:p>
    <w:p>
      <w:pPr>
        <w:spacing w:after="0" w:line="120" w:lineRule="exact"/>
        <w:rPr>
          <w:sz w:val="24"/>
          <w:szCs w:val="24"/>
          <w:color w:val="auto"/>
        </w:rPr>
      </w:pPr>
    </w:p>
    <w:p>
      <w:pPr>
        <w:sectPr>
          <w:pgSz w:w="11900" w:h="16838" w:orient="portrait"/>
          <w:cols w:equalWidth="0" w:num="3">
            <w:col w:w="4500" w:space="720"/>
            <w:col w:w="2680" w:space="720"/>
            <w:col w:w="2240"/>
          </w:cols>
          <w:pgMar w:left="320" w:top="1206" w:right="719" w:bottom="1440" w:gutter="0" w:footer="0" w:header="0"/>
          <w:type w:val="continuous"/>
        </w:sectPr>
      </w:pPr>
    </w:p>
    <w:p>
      <w:pPr>
        <w:jc w:val="center"/>
        <w:ind w:right="-379"/>
        <w:spacing w:after="0"/>
        <w:rPr>
          <w:sz w:val="20"/>
          <w:szCs w:val="20"/>
          <w:color w:val="auto"/>
        </w:rPr>
      </w:pPr>
      <w:r>
        <w:rPr>
          <w:rFonts w:ascii="Arial" w:cs="Arial" w:eastAsia="Arial" w:hAnsi="Arial"/>
          <w:sz w:val="16"/>
          <w:szCs w:val="16"/>
          <w:b w:val="1"/>
          <w:bCs w:val="1"/>
          <w:color w:val="auto"/>
        </w:rPr>
        <w:t>6551 Park of Commerce Boulevard, N.W.</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Boca Raton, Florida 33487</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(Address of principal executive offices)(Zip Code)</w:t>
      </w:r>
    </w:p>
    <w:p>
      <w:pPr>
        <w:spacing w:after="0" w:line="95"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(561) 998-2232</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41"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right="-37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40"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860"/>
          </w:cols>
          <w:pgMar w:left="320" w:top="1206" w:right="719" w:bottom="1440" w:gutter="0" w:footer="0" w:header="0"/>
          <w:type w:val="continuous"/>
        </w:sectPr>
      </w:pPr>
    </w:p>
    <w:p>
      <w:pPr>
        <w:spacing w:after="0" w:line="162" w:lineRule="exact"/>
        <w:rPr>
          <w:sz w:val="24"/>
          <w:szCs w:val="24"/>
          <w:color w:val="auto"/>
        </w:rPr>
      </w:pPr>
    </w:p>
    <w:p>
      <w:pPr>
        <w:ind w:left="13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060" w:space="720"/>
            <w:col w:w="1980" w:space="720"/>
            <w:col w:w="3380"/>
          </w:cols>
          <w:pgMar w:left="320" w:top="1206" w:right="71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w:t>
      </w:r>
    </w:p>
    <w:p>
      <w:pPr>
        <w:spacing w:after="0" w:line="149" w:lineRule="exact"/>
        <w:rPr>
          <w:sz w:val="24"/>
          <w:szCs w:val="24"/>
          <w:color w:val="auto"/>
        </w:rPr>
      </w:pPr>
    </w:p>
    <w:p>
      <w:pPr>
        <w:sectPr>
          <w:pgSz w:w="11900" w:h="16838" w:orient="portrait"/>
          <w:cols w:equalWidth="0" w:num="3">
            <w:col w:w="4400" w:space="720"/>
            <w:col w:w="2300" w:space="720"/>
            <w:col w:w="2720"/>
          </w:cols>
          <w:pgMar w:left="320" w:top="1206" w:right="719" w:bottom="1440" w:gutter="0" w:footer="0" w:header="0"/>
          <w:type w:val="continuous"/>
        </w:sect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4"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43"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600"/>
        <w:spacing w:after="0" w:line="26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registrant had outstanding 37,563,384 shares of Common Stock, par value $0.0001 per share, as of October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206" w:right="7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potential impacts of the coronavirus pandemic (COVID-19) on our business, financial condition, and results of operations,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2019, as filed and updated in our Quarterly Reports on Form 10-Q and other filings with the Securities and Exchange Commission (SEC).</w:t>
      </w:r>
    </w:p>
    <w:p>
      <w:pPr>
        <w:spacing w:after="0" w:line="174"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140" w:firstLine="8"/>
        <w:spacing w:after="0" w:line="277"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4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CROSS COUNTRY HEALTHCARE, INC.</w:t>
            </w:r>
          </w:p>
        </w:tc>
        <w:tc>
          <w:tcPr>
            <w:tcW w:w="198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jc w:val="center"/>
              <w:ind w:left="1410"/>
              <w:spacing w:after="0"/>
              <w:rPr>
                <w:sz w:val="20"/>
                <w:szCs w:val="20"/>
                <w:color w:val="auto"/>
              </w:rPr>
            </w:pPr>
            <w:r>
              <w:rPr>
                <w:rFonts w:ascii="Arial" w:cs="Arial" w:eastAsia="Arial" w:hAnsi="Arial"/>
                <w:sz w:val="18"/>
                <w:szCs w:val="18"/>
                <w:b w:val="1"/>
                <w:bCs w:val="1"/>
                <w:color w:val="auto"/>
              </w:rPr>
              <w:t>INDEX</w:t>
            </w:r>
          </w:p>
        </w:tc>
        <w:tc>
          <w:tcPr>
            <w:tcW w:w="19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jc w:val="center"/>
              <w:ind w:left="1410"/>
              <w:spacing w:after="0"/>
              <w:rPr>
                <w:sz w:val="20"/>
                <w:szCs w:val="20"/>
                <w:color w:val="auto"/>
              </w:rPr>
            </w:pPr>
            <w:r>
              <w:rPr>
                <w:rFonts w:ascii="Arial" w:cs="Arial" w:eastAsia="Arial" w:hAnsi="Arial"/>
                <w:sz w:val="18"/>
                <w:szCs w:val="18"/>
                <w:b w:val="1"/>
                <w:bCs w:val="1"/>
                <w:color w:val="auto"/>
                <w:w w:val="99"/>
              </w:rPr>
              <w:t>FORM 10-Q</w:t>
            </w:r>
          </w:p>
        </w:tc>
        <w:tc>
          <w:tcPr>
            <w:tcW w:w="19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September 30, 2020</w:t>
            </w:r>
          </w:p>
        </w:tc>
        <w:tc>
          <w:tcPr>
            <w:tcW w:w="198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40" w:type="dxa"/>
            <w:vAlign w:val="bottom"/>
          </w:tcPr>
          <w:p>
            <w:pPr>
              <w:spacing w:after="0"/>
              <w:rPr>
                <w:sz w:val="22"/>
                <w:szCs w:val="22"/>
                <w:color w:val="auto"/>
              </w:rPr>
            </w:pPr>
          </w:p>
        </w:tc>
        <w:tc>
          <w:tcPr>
            <w:tcW w:w="1980" w:type="dxa"/>
            <w:vAlign w:val="bottom"/>
          </w:tcPr>
          <w:p>
            <w:pPr>
              <w:ind w:left="1500"/>
              <w:spacing w:after="0"/>
              <w:rPr>
                <w:sz w:val="20"/>
                <w:szCs w:val="20"/>
                <w:color w:val="auto"/>
              </w:rPr>
            </w:pPr>
            <w:r>
              <w:rPr>
                <w:rFonts w:ascii="Arial" w:cs="Arial" w:eastAsia="Arial" w:hAnsi="Arial"/>
                <w:sz w:val="18"/>
                <w:szCs w:val="18"/>
                <w:color w:val="auto"/>
                <w:w w:val="91"/>
              </w:rPr>
              <w:t>PAGE</w:t>
            </w:r>
          </w:p>
        </w:tc>
      </w:tr>
      <w:tr>
        <w:trPr>
          <w:trHeight w:val="283"/>
        </w:trPr>
        <w:tc>
          <w:tcPr>
            <w:tcW w:w="888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 – FINANCIAL INFORMATION</w:t>
              </w:r>
            </w:hyperlink>
          </w:p>
        </w:tc>
        <w:tc>
          <w:tcPr>
            <w:tcW w:w="1980" w:type="dxa"/>
            <w:vAlign w:val="bottom"/>
          </w:tcPr>
          <w:p>
            <w:pPr>
              <w:jc w:val="center"/>
              <w:ind w:left="1710"/>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1</w:t>
              </w:r>
            </w:hyperlink>
          </w:p>
        </w:tc>
      </w:tr>
      <w:tr>
        <w:trPr>
          <w:trHeight w:val="283"/>
        </w:trPr>
        <w:tc>
          <w:tcPr>
            <w:tcW w:w="84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804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Financial Statements</w:t>
              </w:r>
            </w:hyperlink>
          </w:p>
        </w:tc>
        <w:tc>
          <w:tcPr>
            <w:tcW w:w="1980" w:type="dxa"/>
            <w:vAlign w:val="bottom"/>
          </w:tcPr>
          <w:p>
            <w:pPr>
              <w:jc w:val="center"/>
              <w:ind w:left="171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1</w:t>
              </w:r>
            </w:hyperlink>
          </w:p>
        </w:tc>
      </w:tr>
      <w:tr>
        <w:trPr>
          <w:trHeight w:val="284"/>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(Unaudited)</w:t>
              </w:r>
            </w:hyperlink>
          </w:p>
        </w:tc>
        <w:tc>
          <w:tcPr>
            <w:tcW w:w="1980" w:type="dxa"/>
            <w:vAlign w:val="bottom"/>
          </w:tcPr>
          <w:p>
            <w:pPr>
              <w:jc w:val="center"/>
              <w:ind w:left="171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1</w:t>
              </w:r>
            </w:hyperlink>
          </w:p>
        </w:tc>
      </w:tr>
      <w:tr>
        <w:trPr>
          <w:trHeight w:val="283"/>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Operations (Unaudited)</w:t>
              </w:r>
            </w:hyperlink>
          </w:p>
        </w:tc>
        <w:tc>
          <w:tcPr>
            <w:tcW w:w="1980" w:type="dxa"/>
            <w:vAlign w:val="bottom"/>
          </w:tcPr>
          <w:p>
            <w:pPr>
              <w:jc w:val="center"/>
              <w:ind w:left="171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2</w:t>
              </w:r>
            </w:hyperlink>
          </w:p>
        </w:tc>
      </w:tr>
      <w:tr>
        <w:trPr>
          <w:trHeight w:val="283"/>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Comprehensive Loss (Unaudited)</w:t>
              </w:r>
            </w:hyperlink>
          </w:p>
        </w:tc>
        <w:tc>
          <w:tcPr>
            <w:tcW w:w="1980" w:type="dxa"/>
            <w:vAlign w:val="bottom"/>
          </w:tcPr>
          <w:p>
            <w:pPr>
              <w:jc w:val="center"/>
              <w:ind w:left="171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3</w:t>
              </w:r>
            </w:hyperlink>
          </w:p>
        </w:tc>
      </w:tr>
      <w:tr>
        <w:trPr>
          <w:trHeight w:val="283"/>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 (Unaudited)</w:t>
              </w:r>
            </w:hyperlink>
          </w:p>
        </w:tc>
        <w:tc>
          <w:tcPr>
            <w:tcW w:w="1980" w:type="dxa"/>
            <w:vAlign w:val="bottom"/>
          </w:tcPr>
          <w:p>
            <w:pPr>
              <w:jc w:val="center"/>
              <w:ind w:left="171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4</w:t>
              </w:r>
            </w:hyperlink>
          </w:p>
        </w:tc>
      </w:tr>
      <w:tr>
        <w:trPr>
          <w:trHeight w:val="283"/>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Cash Flows (Unaudited)</w:t>
              </w:r>
            </w:hyperlink>
          </w:p>
        </w:tc>
        <w:tc>
          <w:tcPr>
            <w:tcW w:w="1980" w:type="dxa"/>
            <w:vAlign w:val="bottom"/>
          </w:tcPr>
          <w:p>
            <w:pPr>
              <w:jc w:val="center"/>
              <w:ind w:left="171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6</w:t>
              </w:r>
            </w:hyperlink>
          </w:p>
        </w:tc>
      </w:tr>
      <w:tr>
        <w:trPr>
          <w:trHeight w:val="283"/>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 (Unaudited)</w:t>
              </w:r>
            </w:hyperlink>
          </w:p>
        </w:tc>
        <w:tc>
          <w:tcPr>
            <w:tcW w:w="1980" w:type="dxa"/>
            <w:vAlign w:val="bottom"/>
          </w:tcPr>
          <w:p>
            <w:pPr>
              <w:jc w:val="center"/>
              <w:ind w:left="1710"/>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7</w:t>
              </w:r>
            </w:hyperlink>
          </w:p>
        </w:tc>
      </w:tr>
      <w:tr>
        <w:trPr>
          <w:trHeight w:val="284"/>
        </w:trPr>
        <w:tc>
          <w:tcPr>
            <w:tcW w:w="840" w:type="dxa"/>
            <w:vAlign w:val="bottom"/>
            <w:gridSpan w:val="2"/>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2.</w:t>
              </w:r>
            </w:hyperlink>
          </w:p>
        </w:tc>
        <w:tc>
          <w:tcPr>
            <w:tcW w:w="8040" w:type="dxa"/>
            <w:vAlign w:val="bottom"/>
          </w:tcPr>
          <w:p>
            <w:pPr>
              <w:ind w:left="8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Management’s Discussion and Analysis of Financial Condition and Results of Operations</w:t>
              </w:r>
            </w:hyperlink>
          </w:p>
        </w:tc>
        <w:tc>
          <w:tcPr>
            <w:tcW w:w="1980" w:type="dxa"/>
            <w:vAlign w:val="bottom"/>
          </w:tcPr>
          <w:p>
            <w:pPr>
              <w:jc w:val="center"/>
              <w:ind w:left="1710"/>
              <w:spacing w:after="0"/>
              <w:rPr>
                <w:rFonts w:ascii="Arial" w:cs="Arial" w:eastAsia="Arial" w:hAnsi="Arial"/>
                <w:sz w:val="18"/>
                <w:szCs w:val="18"/>
                <w:u w:val="single" w:color="auto"/>
                <w:color w:val="0000FF"/>
                <w:w w:val="89"/>
              </w:rPr>
            </w:pPr>
            <w:hyperlink w:anchor="page27">
              <w:r>
                <w:rPr>
                  <w:rFonts w:ascii="Arial" w:cs="Arial" w:eastAsia="Arial" w:hAnsi="Arial"/>
                  <w:sz w:val="18"/>
                  <w:szCs w:val="18"/>
                  <w:u w:val="single" w:color="auto"/>
                  <w:color w:val="0000FF"/>
                  <w:w w:val="89"/>
                </w:rPr>
                <w:t>24</w:t>
              </w:r>
            </w:hyperlink>
          </w:p>
        </w:tc>
      </w:tr>
      <w:tr>
        <w:trPr>
          <w:trHeight w:val="283"/>
        </w:trPr>
        <w:tc>
          <w:tcPr>
            <w:tcW w:w="840" w:type="dxa"/>
            <w:vAlign w:val="bottom"/>
            <w:gridSpan w:val="2"/>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3.</w:t>
              </w:r>
            </w:hyperlink>
          </w:p>
        </w:tc>
        <w:tc>
          <w:tcPr>
            <w:tcW w:w="8040" w:type="dxa"/>
            <w:vAlign w:val="bottom"/>
          </w:tcPr>
          <w:p>
            <w:pPr>
              <w:ind w:left="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Quantitative and Qualitative Disclosures About Market Risk</w:t>
              </w:r>
            </w:hyperlink>
          </w:p>
        </w:tc>
        <w:tc>
          <w:tcPr>
            <w:tcW w:w="1980" w:type="dxa"/>
            <w:vAlign w:val="bottom"/>
          </w:tcPr>
          <w:p>
            <w:pPr>
              <w:jc w:val="center"/>
              <w:ind w:left="1710"/>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r>
      <w:tr>
        <w:trPr>
          <w:trHeight w:val="283"/>
        </w:trPr>
        <w:tc>
          <w:tcPr>
            <w:tcW w:w="840" w:type="dxa"/>
            <w:vAlign w:val="bottom"/>
            <w:gridSpan w:val="2"/>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4.</w:t>
              </w:r>
            </w:hyperlink>
          </w:p>
        </w:tc>
        <w:tc>
          <w:tcPr>
            <w:tcW w:w="8040" w:type="dxa"/>
            <w:vAlign w:val="bottom"/>
          </w:tcPr>
          <w:p>
            <w:pPr>
              <w:ind w:left="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Controls and Procedures</w:t>
              </w:r>
            </w:hyperlink>
          </w:p>
        </w:tc>
        <w:tc>
          <w:tcPr>
            <w:tcW w:w="1980" w:type="dxa"/>
            <w:vAlign w:val="bottom"/>
          </w:tcPr>
          <w:p>
            <w:pPr>
              <w:jc w:val="center"/>
              <w:ind w:left="171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36</w:t>
              </w:r>
            </w:hyperlink>
          </w:p>
        </w:tc>
      </w:tr>
      <w:tr>
        <w:trPr>
          <w:trHeight w:val="283"/>
        </w:trPr>
        <w:tc>
          <w:tcPr>
            <w:tcW w:w="8880" w:type="dxa"/>
            <w:vAlign w:val="bottom"/>
            <w:gridSpan w:val="3"/>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PART II. – OTHER INFORMATION</w:t>
              </w:r>
            </w:hyperlink>
          </w:p>
        </w:tc>
        <w:tc>
          <w:tcPr>
            <w:tcW w:w="1980" w:type="dxa"/>
            <w:vAlign w:val="bottom"/>
          </w:tcPr>
          <w:p>
            <w:pPr>
              <w:jc w:val="center"/>
              <w:ind w:left="171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37</w:t>
              </w:r>
            </w:hyperlink>
          </w:p>
        </w:tc>
      </w:tr>
      <w:tr>
        <w:trPr>
          <w:trHeight w:val="459"/>
        </w:trPr>
        <w:tc>
          <w:tcPr>
            <w:tcW w:w="840" w:type="dxa"/>
            <w:vAlign w:val="bottom"/>
            <w:gridSpan w:val="2"/>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w:t>
              </w:r>
            </w:hyperlink>
          </w:p>
        </w:tc>
        <w:tc>
          <w:tcPr>
            <w:tcW w:w="8040" w:type="dxa"/>
            <w:vAlign w:val="bottom"/>
          </w:tcPr>
          <w:p>
            <w:pPr>
              <w:ind w:left="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Legal Proceedings</w:t>
              </w:r>
            </w:hyperlink>
          </w:p>
        </w:tc>
        <w:tc>
          <w:tcPr>
            <w:tcW w:w="1980" w:type="dxa"/>
            <w:vAlign w:val="bottom"/>
          </w:tcPr>
          <w:p>
            <w:pPr>
              <w:jc w:val="center"/>
              <w:ind w:left="171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37</w:t>
              </w:r>
            </w:hyperlink>
          </w:p>
        </w:tc>
      </w:tr>
      <w:tr>
        <w:trPr>
          <w:trHeight w:val="459"/>
        </w:trPr>
        <w:tc>
          <w:tcPr>
            <w:tcW w:w="840" w:type="dxa"/>
            <w:vAlign w:val="bottom"/>
            <w:gridSpan w:val="2"/>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1A.</w:t>
              </w:r>
            </w:hyperlink>
          </w:p>
        </w:tc>
        <w:tc>
          <w:tcPr>
            <w:tcW w:w="8040" w:type="dxa"/>
            <w:vAlign w:val="bottom"/>
          </w:tcPr>
          <w:p>
            <w:pPr>
              <w:ind w:left="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Risk Factors</w:t>
              </w:r>
            </w:hyperlink>
          </w:p>
        </w:tc>
        <w:tc>
          <w:tcPr>
            <w:tcW w:w="1980" w:type="dxa"/>
            <w:vAlign w:val="bottom"/>
          </w:tcPr>
          <w:p>
            <w:pPr>
              <w:jc w:val="center"/>
              <w:ind w:left="171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37</w:t>
              </w:r>
            </w:hyperlink>
          </w:p>
        </w:tc>
      </w:tr>
      <w:tr>
        <w:trPr>
          <w:trHeight w:val="418"/>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3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Exhibits</w:t>
              </w:r>
            </w:hyperlink>
          </w:p>
        </w:tc>
        <w:tc>
          <w:tcPr>
            <w:tcW w:w="1980" w:type="dxa"/>
            <w:vAlign w:val="bottom"/>
          </w:tcPr>
          <w:p>
            <w:pPr>
              <w:jc w:val="center"/>
              <w:ind w:left="171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39</w:t>
              </w:r>
            </w:hyperlink>
          </w:p>
        </w:tc>
      </w:tr>
      <w:tr>
        <w:trPr>
          <w:trHeight w:val="304"/>
        </w:trPr>
        <w:tc>
          <w:tcPr>
            <w:tcW w:w="840" w:type="dxa"/>
            <w:vAlign w:val="bottom"/>
            <w:gridSpan w:val="2"/>
          </w:tcPr>
          <w:p>
            <w:pPr>
              <w:spacing w:after="0"/>
              <w:rPr>
                <w:rFonts w:ascii="Arial" w:cs="Arial" w:eastAsia="Arial" w:hAnsi="Arial"/>
                <w:sz w:val="18"/>
                <w:szCs w:val="18"/>
                <w:u w:val="single" w:color="auto"/>
                <w:color w:val="0000FF"/>
                <w:w w:val="95"/>
              </w:rPr>
            </w:pPr>
            <w:hyperlink w:anchor="page42">
              <w:r>
                <w:rPr>
                  <w:rFonts w:ascii="Arial" w:cs="Arial" w:eastAsia="Arial" w:hAnsi="Arial"/>
                  <w:sz w:val="18"/>
                  <w:szCs w:val="18"/>
                  <w:u w:val="single" w:color="auto"/>
                  <w:color w:val="0000FF"/>
                  <w:w w:val="95"/>
                </w:rPr>
                <w:t>Signatures</w:t>
              </w:r>
            </w:hyperlink>
          </w:p>
        </w:tc>
        <w:tc>
          <w:tcPr>
            <w:tcW w:w="8040" w:type="dxa"/>
            <w:vAlign w:val="bottom"/>
          </w:tcPr>
          <w:p>
            <w:pPr>
              <w:spacing w:after="0"/>
              <w:rPr>
                <w:sz w:val="24"/>
                <w:szCs w:val="24"/>
                <w:color w:val="auto"/>
              </w:rPr>
            </w:pPr>
          </w:p>
        </w:tc>
        <w:tc>
          <w:tcPr>
            <w:tcW w:w="1980" w:type="dxa"/>
            <w:vAlign w:val="bottom"/>
          </w:tcPr>
          <w:p>
            <w:pPr>
              <w:jc w:val="center"/>
              <w:ind w:left="171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40" w:top="891" w:right="6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amounts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w:t>
            </w:r>
          </w:p>
        </w:tc>
      </w:tr>
      <w:tr>
        <w:trPr>
          <w:trHeight w:val="213"/>
        </w:trPr>
        <w:tc>
          <w:tcPr>
            <w:tcW w:w="8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Accounts receivable, net of allowances of $3,752 in 2020 and $3,219 in 2019</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168,769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169,528</w:t>
            </w: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w:t>
            </w:r>
          </w:p>
        </w:tc>
      </w:tr>
      <w:tr>
        <w:trPr>
          <w:trHeight w:val="213"/>
        </w:trPr>
        <w:tc>
          <w:tcPr>
            <w:tcW w:w="8240" w:type="dxa"/>
            <w:vAlign w:val="bottom"/>
          </w:tcPr>
          <w:p>
            <w:pPr>
              <w:ind w:left="120"/>
              <w:spacing w:after="0"/>
              <w:rPr>
                <w:sz w:val="20"/>
                <w:szCs w:val="20"/>
                <w:color w:val="auto"/>
              </w:rPr>
            </w:pPr>
            <w:r>
              <w:rPr>
                <w:rFonts w:ascii="Arial" w:cs="Arial" w:eastAsia="Arial" w:hAnsi="Arial"/>
                <w:sz w:val="16"/>
                <w:szCs w:val="16"/>
                <w:color w:val="auto"/>
              </w:rPr>
              <w:t>Insurance recovery receivable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5,011</w:t>
            </w: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182,441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183,357</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$22,130 in 2020 and $23,276 in 2019</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11,832</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16,964</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101,066</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Trade names, indefinite-lived</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5,900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44,957</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18,298</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357,838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382,374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45,726</w:t>
            </w:r>
          </w:p>
        </w:tc>
      </w:tr>
      <w:tr>
        <w:trPr>
          <w:trHeight w:val="213"/>
        </w:trPr>
        <w:tc>
          <w:tcPr>
            <w:tcW w:w="8240" w:type="dxa"/>
            <w:vAlign w:val="bottom"/>
          </w:tcPr>
          <w:p>
            <w:pPr>
              <w:ind w:left="12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39,961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31,307</w:t>
            </w: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 - current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w:t>
            </w:r>
          </w:p>
        </w:tc>
      </w:tr>
      <w:tr>
        <w:trPr>
          <w:trHeight w:val="213"/>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3,554</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85,465</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56,038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70,974</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deferred tax liabilities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7,523</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accrued claims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4,867</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4,037</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208,918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218,874</w:t>
            </w:r>
          </w:p>
        </w:tc>
      </w:tr>
      <w:tr>
        <w:trPr>
          <w:trHeight w:val="205"/>
        </w:trPr>
        <w:tc>
          <w:tcPr>
            <w:tcW w:w="8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5"/>
        </w:trPr>
        <w:tc>
          <w:tcPr>
            <w:tcW w:w="8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Common stock</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82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309,049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305,643</w:t>
            </w: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r>
      <w:tr>
        <w:trPr>
          <w:trHeight w:val="213"/>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(141,775)</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Cross Country Healthcare, Inc. stockholders' equity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162,632</w:t>
            </w:r>
          </w:p>
        </w:tc>
      </w:tr>
      <w:tr>
        <w:trPr>
          <w:trHeight w:val="213"/>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Noncontrolling interest in subsidiary</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163,500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357,838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382,374</w:t>
            </w: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9"/>
                <w:szCs w:val="19"/>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23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6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209,200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607,128</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 operating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456,280</w:t>
            </w: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44,407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128,939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136,387</w:t>
            </w:r>
          </w:p>
        </w:tc>
      </w:tr>
      <w:tr>
        <w:trPr>
          <w:trHeight w:val="230"/>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9,448</w:t>
            </w:r>
          </w:p>
        </w:tc>
      </w:tr>
      <w:tr>
        <w:trPr>
          <w:trHeight w:val="229"/>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566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2,884</w:t>
            </w:r>
          </w:p>
        </w:tc>
      </w:tr>
      <w:tr>
        <w:trPr>
          <w:trHeight w:val="229"/>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Legal settlement charges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30"/>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16,306</w:t>
            </w:r>
          </w:p>
        </w:tc>
      </w:tr>
      <w:tr>
        <w:trPr>
          <w:trHeight w:val="223"/>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209,081</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624,793</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(17,665)</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6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4,258</w:t>
            </w:r>
          </w:p>
        </w:tc>
      </w:tr>
      <w:tr>
        <w:trPr>
          <w:trHeight w:val="229"/>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derivative</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(23,503)</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31,840</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Consolidated net loss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(55,343)</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(56,569)</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03"/>
        </w:trPr>
        <w:tc>
          <w:tcPr>
            <w:tcW w:w="5660" w:type="dxa"/>
            <w:vAlign w:val="bottom"/>
          </w:tcPr>
          <w:p>
            <w:pPr>
              <w:ind w:left="120"/>
              <w:spacing w:after="0" w:line="202" w:lineRule="exact"/>
              <w:rPr>
                <w:sz w:val="20"/>
                <w:szCs w:val="20"/>
                <w:color w:val="auto"/>
              </w:rPr>
            </w:pPr>
            <w:r>
              <w:rPr>
                <w:rFonts w:ascii="Arial" w:cs="Arial" w:eastAsia="Arial" w:hAnsi="Arial"/>
                <w:sz w:val="18"/>
                <w:szCs w:val="18"/>
                <w:color w:val="auto"/>
                <w:w w:val="92"/>
              </w:rPr>
              <w:t>Net loss per share attributable to common shareholders - Basic and Diluted</w:t>
            </w:r>
          </w:p>
        </w:tc>
        <w:tc>
          <w:tcPr>
            <w:tcW w:w="2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(0.09)</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CROSS COUNTRY HEALTHCARE, INC. CONDENSED CONSOLIDATED STATEMENTS OF COMPREHENSIVE LOSS (Unaudited, 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9"/>
                <w:szCs w:val="19"/>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(55,343)</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income tax:</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Unrealized foreign currency translation gain (loss)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interest rate contracts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Reclassification adjustment to statement of operations</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Taxes on other comprehensive income (loss):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Income tax effect related to unrealized foreign currency translation gain</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Income tax effect related to unrealized loss on interest rate contracts</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Income tax effect related to reclassification adjustment to statement of</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Valuation allowance adjustment</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(55,125)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Comprehensive loss attributable to common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(56,351)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74295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891" w:right="419" w:bottom="1440" w:gutter="0" w:footer="0" w:header="0"/>
        </w:sectPr>
      </w:pPr>
    </w:p>
    <w:bookmarkStart w:id="6" w:name="page7"/>
    <w:bookmarkEnd w:id="6"/>
    <w:p>
      <w:pPr>
        <w:jc w:val="center"/>
        <w:ind w:right="20"/>
        <w:spacing w:after="0" w:line="249" w:lineRule="auto"/>
        <w:rPr>
          <w:sz w:val="20"/>
          <w:szCs w:val="20"/>
          <w:color w:val="auto"/>
        </w:rPr>
      </w:pPr>
      <w:r>
        <w:rPr>
          <w:rFonts w:ascii="Arial" w:cs="Arial" w:eastAsia="Arial" w:hAnsi="Arial"/>
          <w:sz w:val="20"/>
          <w:szCs w:val="20"/>
          <w:b w:val="1"/>
          <w:bCs w:val="1"/>
          <w:color w:val="auto"/>
        </w:rPr>
        <w:t>CROSS COUNTRY HEALTHCARE, INC. CONDENSED CONSOLIDATED STATEMENTS OF STOCKHOLDERS' EQUITY Three Months Ended September 30, 2020 and 2019 (Unaudited,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w w:val="95"/>
              </w:rPr>
              <w:t>Additional</w:t>
            </w:r>
          </w:p>
        </w:tc>
        <w:tc>
          <w:tcPr>
            <w:tcW w:w="152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w w:val="99"/>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Noncontrolling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00" w:type="dxa"/>
            <w:vAlign w:val="bottom"/>
          </w:tcPr>
          <w:p>
            <w:pPr>
              <w:jc w:val="right"/>
              <w:ind w:right="204"/>
              <w:spacing w:after="0" w:line="142" w:lineRule="exact"/>
              <w:rPr>
                <w:sz w:val="20"/>
                <w:szCs w:val="20"/>
                <w:color w:val="auto"/>
              </w:rPr>
            </w:pPr>
            <w:r>
              <w:rPr>
                <w:rFonts w:ascii="Arial" w:cs="Arial" w:eastAsia="Arial" w:hAnsi="Arial"/>
                <w:sz w:val="15"/>
                <w:szCs w:val="15"/>
                <w:b w:val="1"/>
                <w:bCs w:val="1"/>
                <w:color w:val="auto"/>
              </w:rPr>
              <w:t>Paid-In</w:t>
            </w:r>
          </w:p>
        </w:tc>
        <w:tc>
          <w:tcPr>
            <w:tcW w:w="220" w:type="dxa"/>
            <w:vAlign w:val="bottom"/>
          </w:tcPr>
          <w:p>
            <w:pPr>
              <w:spacing w:after="0"/>
              <w:rPr>
                <w:sz w:val="12"/>
                <w:szCs w:val="12"/>
                <w:color w:val="auto"/>
              </w:rPr>
            </w:pPr>
          </w:p>
        </w:tc>
        <w:tc>
          <w:tcPr>
            <w:tcW w:w="1300" w:type="dxa"/>
            <w:vAlign w:val="bottom"/>
          </w:tcPr>
          <w:p>
            <w:pPr>
              <w:jc w:val="right"/>
              <w:ind w:right="164"/>
              <w:spacing w:after="0" w:line="142"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4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18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3"/>
              </w:rPr>
              <w:t>Subsidiary</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June 30, 2020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36,175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307,985</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(158,015)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427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149,074</w:t>
            </w:r>
          </w:p>
        </w:tc>
        <w:tc>
          <w:tcPr>
            <w:tcW w:w="0" w:type="dxa"/>
            <w:vAlign w:val="bottom"/>
          </w:tcPr>
          <w:p>
            <w:pPr>
              <w:spacing w:after="0"/>
              <w:rPr>
                <w:sz w:val="1"/>
                <w:szCs w:val="1"/>
                <w:color w:val="auto"/>
              </w:rPr>
            </w:pPr>
          </w:p>
        </w:tc>
      </w:tr>
      <w:tr>
        <w:trPr>
          <w:trHeight w:val="198"/>
        </w:trPr>
        <w:tc>
          <w:tcPr>
            <w:tcW w:w="2740" w:type="dxa"/>
            <w:vAlign w:val="bottom"/>
          </w:tcPr>
          <w:p>
            <w:pPr>
              <w:ind w:left="120"/>
              <w:spacing w:after="0"/>
              <w:rPr>
                <w:sz w:val="20"/>
                <w:szCs w:val="20"/>
                <w:color w:val="auto"/>
              </w:rPr>
            </w:pPr>
            <w:r>
              <w:rPr>
                <w:rFonts w:ascii="Arial" w:cs="Arial" w:eastAsia="Arial" w:hAnsi="Arial"/>
                <w:sz w:val="15"/>
                <w:szCs w:val="15"/>
                <w:color w:val="auto"/>
              </w:rPr>
              <w:t>Vesting of restricted stock</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1,064</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1,064</w:t>
            </w:r>
          </w:p>
        </w:tc>
        <w:tc>
          <w:tcPr>
            <w:tcW w:w="0" w:type="dxa"/>
            <w:vAlign w:val="bottom"/>
          </w:tcPr>
          <w:p>
            <w:pPr>
              <w:spacing w:after="0"/>
              <w:rPr>
                <w:sz w:val="1"/>
                <w:szCs w:val="1"/>
                <w:color w:val="auto"/>
              </w:rPr>
            </w:pPr>
          </w:p>
        </w:tc>
      </w:tr>
      <w:tr>
        <w:trPr>
          <w:trHeight w:val="149"/>
        </w:trPr>
        <w:tc>
          <w:tcPr>
            <w:tcW w:w="2740" w:type="dxa"/>
            <w:vAlign w:val="bottom"/>
          </w:tcPr>
          <w:p>
            <w:pPr>
              <w:ind w:left="120"/>
              <w:spacing w:after="0" w:line="149" w:lineRule="exact"/>
              <w:rPr>
                <w:sz w:val="20"/>
                <w:szCs w:val="20"/>
                <w:color w:val="auto"/>
              </w:rPr>
            </w:pPr>
            <w:r>
              <w:rPr>
                <w:rFonts w:ascii="Arial" w:cs="Arial" w:eastAsia="Arial" w:hAnsi="Arial"/>
                <w:sz w:val="15"/>
                <w:szCs w:val="15"/>
                <w:color w:val="auto"/>
                <w:w w:val="97"/>
              </w:rPr>
              <w:t>Foreign currency translation adjustment,</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1300" w:type="dxa"/>
            <w:vAlign w:val="bottom"/>
            <w:vMerge w:val="restart"/>
          </w:tcPr>
          <w:p>
            <w:pPr>
              <w:jc w:val="right"/>
              <w:ind w:right="44"/>
              <w:spacing w:after="0"/>
              <w:rPr>
                <w:sz w:val="20"/>
                <w:szCs w:val="20"/>
                <w:color w:val="auto"/>
              </w:rPr>
            </w:pPr>
            <w:r>
              <w:rPr>
                <w:rFonts w:ascii="Arial" w:cs="Arial" w:eastAsia="Arial" w:hAnsi="Arial"/>
                <w:sz w:val="15"/>
                <w:szCs w:val="15"/>
                <w:color w:val="auto"/>
              </w:rPr>
              <w:t>33</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98"/>
        </w:trPr>
        <w:tc>
          <w:tcPr>
            <w:tcW w:w="2740" w:type="dxa"/>
            <w:vAlign w:val="bottom"/>
          </w:tcPr>
          <w:p>
            <w:pPr>
              <w:ind w:left="12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5"/>
              </w:rPr>
              <w:t>Distribution to noncontrolling shareholder</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(103)</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(1,334)</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186</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(1,148)</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September 30, 2020</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36,177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309,049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(159,349)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148,920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Noncontrolling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20" w:type="dxa"/>
            <w:vAlign w:val="bottom"/>
          </w:tcPr>
          <w:p>
            <w:pPr>
              <w:jc w:val="right"/>
              <w:ind w:right="224"/>
              <w:spacing w:after="0" w:line="142" w:lineRule="exact"/>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2"/>
                <w:szCs w:val="12"/>
                <w:color w:val="auto"/>
              </w:rPr>
            </w:pPr>
          </w:p>
        </w:tc>
        <w:tc>
          <w:tcPr>
            <w:tcW w:w="1300" w:type="dxa"/>
            <w:vAlign w:val="bottom"/>
          </w:tcPr>
          <w:p>
            <w:pPr>
              <w:jc w:val="right"/>
              <w:ind w:right="164"/>
              <w:spacing w:after="0" w:line="142"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4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18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3"/>
              </w:rPr>
              <w:t>Subsidiary</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June 30, 2019</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35,860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303,795</w:t>
            </w:r>
          </w:p>
        </w:tc>
        <w:tc>
          <w:tcPr>
            <w:tcW w:w="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(2,335)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(137,503)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727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164,688</w:t>
            </w:r>
          </w:p>
        </w:tc>
        <w:tc>
          <w:tcPr>
            <w:tcW w:w="0" w:type="dxa"/>
            <w:vAlign w:val="bottom"/>
          </w:tcPr>
          <w:p>
            <w:pPr>
              <w:spacing w:after="0"/>
              <w:rPr>
                <w:sz w:val="1"/>
                <w:szCs w:val="1"/>
                <w:color w:val="auto"/>
              </w:rPr>
            </w:pPr>
          </w:p>
        </w:tc>
      </w:tr>
      <w:tr>
        <w:trPr>
          <w:trHeight w:val="198"/>
        </w:trPr>
        <w:tc>
          <w:tcPr>
            <w:tcW w:w="2740" w:type="dxa"/>
            <w:vAlign w:val="bottom"/>
          </w:tcPr>
          <w:p>
            <w:pPr>
              <w:ind w:left="120"/>
              <w:spacing w:after="0"/>
              <w:rPr>
                <w:sz w:val="20"/>
                <w:szCs w:val="20"/>
                <w:color w:val="auto"/>
              </w:rPr>
            </w:pPr>
            <w:r>
              <w:rPr>
                <w:rFonts w:ascii="Arial" w:cs="Arial" w:eastAsia="Arial" w:hAnsi="Arial"/>
                <w:sz w:val="15"/>
                <w:szCs w:val="15"/>
                <w:color w:val="auto"/>
              </w:rPr>
              <w:t>Exercise of share options</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Vesting of restricted stock</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8"/>
        </w:trPr>
        <w:tc>
          <w:tcPr>
            <w:tcW w:w="2740" w:type="dxa"/>
            <w:vAlign w:val="bottom"/>
          </w:tcPr>
          <w:p>
            <w:pPr>
              <w:ind w:left="120"/>
              <w:spacing w:after="0"/>
              <w:rPr>
                <w:sz w:val="20"/>
                <w:szCs w:val="20"/>
                <w:color w:val="auto"/>
              </w:rPr>
            </w:pPr>
            <w:r>
              <w:rPr>
                <w:rFonts w:ascii="Arial" w:cs="Arial" w:eastAsia="Arial" w:hAnsi="Arial"/>
                <w:sz w:val="15"/>
                <w:szCs w:val="15"/>
                <w:color w:val="auto"/>
              </w:rPr>
              <w:t>Equity compensation</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982</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982</w:t>
            </w: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120"/>
              <w:spacing w:after="0" w:line="153" w:lineRule="exact"/>
              <w:rPr>
                <w:sz w:val="20"/>
                <w:szCs w:val="20"/>
                <w:color w:val="auto"/>
              </w:rPr>
            </w:pPr>
            <w:r>
              <w:rPr>
                <w:rFonts w:ascii="Arial" w:cs="Arial" w:eastAsia="Arial" w:hAnsi="Arial"/>
                <w:sz w:val="15"/>
                <w:szCs w:val="15"/>
                <w:color w:val="auto"/>
                <w:w w:val="97"/>
              </w:rPr>
              <w:t>Foreign currency translation adjustment,</w:t>
            </w: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(29)</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120"/>
              <w:spacing w:after="0" w:line="149" w:lineRule="exact"/>
              <w:rPr>
                <w:sz w:val="20"/>
                <w:szCs w:val="20"/>
                <w:color w:val="auto"/>
              </w:rPr>
            </w:pPr>
            <w:r>
              <w:rPr>
                <w:rFonts w:ascii="Arial" w:cs="Arial" w:eastAsia="Arial" w:hAnsi="Arial"/>
                <w:sz w:val="15"/>
                <w:szCs w:val="15"/>
                <w:color w:val="auto"/>
                <w:w w:val="95"/>
              </w:rPr>
              <w:t>Net change in hedging transaction, net of</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300" w:type="dxa"/>
            <w:vAlign w:val="bottom"/>
            <w:vMerge w:val="restart"/>
          </w:tcPr>
          <w:p>
            <w:pPr>
              <w:jc w:val="right"/>
              <w:ind w:right="44"/>
              <w:spacing w:after="0"/>
              <w:rPr>
                <w:sz w:val="20"/>
                <w:szCs w:val="20"/>
                <w:color w:val="auto"/>
              </w:rPr>
            </w:pPr>
            <w:r>
              <w:rPr>
                <w:rFonts w:ascii="Arial" w:cs="Arial" w:eastAsia="Arial" w:hAnsi="Arial"/>
                <w:sz w:val="15"/>
                <w:szCs w:val="15"/>
                <w:color w:val="auto"/>
              </w:rPr>
              <w:t>1,120</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1,120</w:t>
            </w:r>
          </w:p>
        </w:tc>
        <w:tc>
          <w:tcPr>
            <w:tcW w:w="0" w:type="dxa"/>
            <w:vAlign w:val="bottom"/>
          </w:tcPr>
          <w:p>
            <w:pPr>
              <w:spacing w:after="0"/>
              <w:rPr>
                <w:sz w:val="1"/>
                <w:szCs w:val="1"/>
                <w:color w:val="auto"/>
              </w:rPr>
            </w:pPr>
          </w:p>
        </w:tc>
      </w:tr>
      <w:tr>
        <w:trPr>
          <w:trHeight w:val="198"/>
        </w:trPr>
        <w:tc>
          <w:tcPr>
            <w:tcW w:w="2740" w:type="dxa"/>
            <w:vAlign w:val="bottom"/>
          </w:tcPr>
          <w:p>
            <w:pPr>
              <w:ind w:left="120"/>
              <w:spacing w:after="0"/>
              <w:rPr>
                <w:sz w:val="20"/>
                <w:szCs w:val="20"/>
                <w:color w:val="auto"/>
              </w:rPr>
            </w:pPr>
            <w:r>
              <w:rPr>
                <w:rFonts w:ascii="Arial" w:cs="Arial" w:eastAsia="Arial" w:hAnsi="Arial"/>
                <w:sz w:val="15"/>
                <w:szCs w:val="15"/>
                <w:color w:val="auto"/>
              </w:rPr>
              <w:t>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5"/>
              </w:rPr>
              <w:t>Distribution to noncontrolling shareholder</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(404)</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(3,128)</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431</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(2,697)</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September 30, 2019</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35,867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304,764</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(140,631)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163,647</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86" w:right="359" w:bottom="1440" w:gutter="0" w:footer="0" w:header="0"/>
        </w:sectPr>
      </w:pPr>
    </w:p>
    <w:bookmarkStart w:id="7" w:name="page8"/>
    <w:bookmarkEnd w:id="7"/>
    <w:p>
      <w:pPr>
        <w:jc w:val="center"/>
        <w:ind w:right="20"/>
        <w:spacing w:after="0" w:line="249" w:lineRule="auto"/>
        <w:rPr>
          <w:sz w:val="20"/>
          <w:szCs w:val="20"/>
          <w:color w:val="auto"/>
        </w:rPr>
      </w:pPr>
      <w:r>
        <w:rPr>
          <w:rFonts w:ascii="Arial" w:cs="Arial" w:eastAsia="Arial" w:hAnsi="Arial"/>
          <w:sz w:val="20"/>
          <w:szCs w:val="20"/>
          <w:b w:val="1"/>
          <w:bCs w:val="1"/>
          <w:color w:val="auto"/>
        </w:rPr>
        <w:t>CROSS COUNTRY HEALTHCARE, INC. CONDENSED CONSOLIDATED STATEMENTS OF STOCKHOLDERS' EQUITY Nine Months Ended September 30, 2020 and 2019 (Unaudited,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Noncontrolling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20" w:type="dxa"/>
            <w:vAlign w:val="bottom"/>
          </w:tcPr>
          <w:p>
            <w:pPr>
              <w:jc w:val="right"/>
              <w:ind w:right="224"/>
              <w:spacing w:after="0" w:line="142" w:lineRule="exact"/>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2"/>
                <w:szCs w:val="12"/>
                <w:color w:val="auto"/>
              </w:rPr>
            </w:pPr>
          </w:p>
        </w:tc>
        <w:tc>
          <w:tcPr>
            <w:tcW w:w="130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0"/>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4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18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88"/>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3"/>
              </w:rPr>
              <w:t>Subsidiary</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2019</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35,871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305,643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(141,775)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868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163,500</w:t>
            </w:r>
          </w:p>
        </w:tc>
        <w:tc>
          <w:tcPr>
            <w:tcW w:w="0" w:type="dxa"/>
            <w:vAlign w:val="bottom"/>
          </w:tcPr>
          <w:p>
            <w:pPr>
              <w:spacing w:after="0"/>
              <w:rPr>
                <w:sz w:val="1"/>
                <w:szCs w:val="1"/>
                <w:color w:val="auto"/>
              </w:rPr>
            </w:pPr>
          </w:p>
        </w:tc>
      </w:tr>
      <w:tr>
        <w:trPr>
          <w:trHeight w:val="199"/>
        </w:trPr>
        <w:tc>
          <w:tcPr>
            <w:tcW w:w="2740" w:type="dxa"/>
            <w:vAlign w:val="bottom"/>
          </w:tcPr>
          <w:p>
            <w:pPr>
              <w:ind w:left="20"/>
              <w:spacing w:after="0"/>
              <w:rPr>
                <w:sz w:val="20"/>
                <w:szCs w:val="20"/>
                <w:color w:val="auto"/>
              </w:rPr>
            </w:pPr>
            <w:r>
              <w:rPr>
                <w:rFonts w:ascii="Arial" w:cs="Arial" w:eastAsia="Arial" w:hAnsi="Arial"/>
                <w:sz w:val="15"/>
                <w:szCs w:val="15"/>
                <w:color w:val="auto"/>
              </w:rPr>
              <w:t>Vesting of restricted stock</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306</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(657)</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4,063</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4,063</w:t>
            </w: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5"/>
                <w:szCs w:val="15"/>
                <w:color w:val="auto"/>
              </w:rPr>
              <w:t>Foreign currency translation adjustment,</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300" w:type="dxa"/>
            <w:vAlign w:val="bottom"/>
            <w:vMerge w:val="restart"/>
          </w:tcPr>
          <w:p>
            <w:pPr>
              <w:jc w:val="right"/>
              <w:ind w:right="4"/>
              <w:spacing w:after="0"/>
              <w:rPr>
                <w:sz w:val="20"/>
                <w:szCs w:val="20"/>
                <w:color w:val="auto"/>
              </w:rPr>
            </w:pPr>
            <w:r>
              <w:rPr>
                <w:rFonts w:ascii="Arial" w:cs="Arial" w:eastAsia="Arial" w:hAnsi="Arial"/>
                <w:sz w:val="15"/>
                <w:szCs w:val="15"/>
                <w:color w:val="auto"/>
              </w:rPr>
              <w:t>(54)</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9"/>
              </w:rPr>
              <w:t>Distribution to noncontrolling shareholder</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(968)</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(17,574)</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610</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(16,964)</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September 30, 2020</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36,177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309,049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(159,349)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148,920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Noncontrolling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20" w:type="dxa"/>
            <w:vAlign w:val="bottom"/>
          </w:tcPr>
          <w:p>
            <w:pPr>
              <w:jc w:val="right"/>
              <w:ind w:right="224"/>
              <w:spacing w:after="0" w:line="142" w:lineRule="exact"/>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2"/>
                <w:szCs w:val="12"/>
                <w:color w:val="auto"/>
              </w:rPr>
            </w:pPr>
          </w:p>
        </w:tc>
        <w:tc>
          <w:tcPr>
            <w:tcW w:w="130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0"/>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4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18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88"/>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3"/>
              </w:rPr>
              <w:t>Subsidiary</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2018</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35,626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303,048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(1,462)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(84,062)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670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218,198</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rPr>
              <w:t>Exercise of share options</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10</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Vesting of restricted stock</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231</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(801)</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(801)</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rPr>
              <w:t>Equity compensation</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2,517</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2,517</w:t>
            </w: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Foreign currency translation adjustment,</w:t>
            </w: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43</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5"/>
                <w:szCs w:val="15"/>
                <w:color w:val="auto"/>
                <w:w w:val="98"/>
              </w:rPr>
              <w:t>Net change in hedging transaction, net of</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300" w:type="dxa"/>
            <w:vAlign w:val="bottom"/>
            <w:vMerge w:val="restart"/>
          </w:tcPr>
          <w:p>
            <w:pPr>
              <w:jc w:val="right"/>
              <w:ind w:right="44"/>
              <w:spacing w:after="0"/>
              <w:rPr>
                <w:sz w:val="20"/>
                <w:szCs w:val="20"/>
                <w:color w:val="auto"/>
              </w:rPr>
            </w:pPr>
            <w:r>
              <w:rPr>
                <w:rFonts w:ascii="Arial" w:cs="Arial" w:eastAsia="Arial" w:hAnsi="Arial"/>
                <w:sz w:val="15"/>
                <w:szCs w:val="15"/>
                <w:color w:val="auto"/>
              </w:rPr>
              <w:t>175</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rPr>
              <w:t>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9"/>
              </w:rPr>
              <w:t>Distribution to noncontrolling shareholder</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(1,142)</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w:t>
            </w: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(56,569)</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1,226</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(55,343)</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September 30, 2019</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35,867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304,764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(140,631)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163,647</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74295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86"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amounts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240" w:type="dxa"/>
            <w:vAlign w:val="bottom"/>
          </w:tcPr>
          <w:p>
            <w:pPr>
              <w:ind w:left="120"/>
              <w:spacing w:after="0"/>
              <w:rPr>
                <w:sz w:val="20"/>
                <w:szCs w:val="20"/>
                <w:color w:val="auto"/>
              </w:rPr>
            </w:pPr>
            <w:r>
              <w:rPr>
                <w:rFonts w:ascii="Arial" w:cs="Arial" w:eastAsia="Arial" w:hAnsi="Arial"/>
                <w:sz w:val="18"/>
                <w:szCs w:val="18"/>
                <w:color w:val="auto"/>
              </w:rPr>
              <w:t>Consolidated 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(16,964)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(55,343)</w:t>
            </w: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9,448</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Deferred income tax (benefit)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31,456</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16,306</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Other non-cash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(6,766)</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7,797</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w:t>
            </w:r>
          </w:p>
        </w:tc>
      </w:tr>
      <w:tr>
        <w:trPr>
          <w:trHeight w:val="257"/>
        </w:trPr>
        <w:tc>
          <w:tcPr>
            <w:tcW w:w="8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r>
      <w:tr>
        <w:trPr>
          <w:trHeight w:val="257"/>
        </w:trPr>
        <w:tc>
          <w:tcPr>
            <w:tcW w:w="8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240" w:type="dxa"/>
            <w:vAlign w:val="bottom"/>
          </w:tcPr>
          <w:p>
            <w:pPr>
              <w:ind w:left="120"/>
              <w:spacing w:after="0"/>
              <w:rPr>
                <w:sz w:val="20"/>
                <w:szCs w:val="20"/>
                <w:color w:val="auto"/>
              </w:rPr>
            </w:pPr>
            <w:r>
              <w:rPr>
                <w:rFonts w:ascii="Arial" w:cs="Arial" w:eastAsia="Arial" w:hAnsi="Arial"/>
                <w:sz w:val="18"/>
                <w:szCs w:val="18"/>
                <w:color w:val="auto"/>
              </w:rPr>
              <w:t>Principal payments on term loan</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under revolving credit facility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Repayments on revolving credit facility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(325,900)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on note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120"/>
              <w:spacing w:after="0"/>
              <w:rPr>
                <w:sz w:val="20"/>
                <w:szCs w:val="20"/>
                <w:color w:val="auto"/>
              </w:rPr>
            </w:pPr>
            <w:r>
              <w:rPr>
                <w:rFonts w:ascii="Arial" w:cs="Arial" w:eastAsia="Arial" w:hAnsi="Arial"/>
                <w:sz w:val="18"/>
                <w:szCs w:val="18"/>
                <w:color w:val="auto"/>
              </w:rPr>
              <w:t>Cash payments to noncontrolling shareholder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(15,413)</w:t>
            </w:r>
          </w:p>
        </w:tc>
      </w:tr>
      <w:tr>
        <w:trPr>
          <w:trHeight w:val="162"/>
        </w:trPr>
        <w:tc>
          <w:tcPr>
            <w:tcW w:w="8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16,019</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Cross Country Talent Acquisition Group,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adjustments necessary for a fair presentation of such unaudited condensed consolidated financial statements have been included. These adjustments consisted of all normal recurring items.</w:t>
      </w:r>
    </w:p>
    <w:p>
      <w:pPr>
        <w:spacing w:after="0" w:line="20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United States generally accepted accounting principles (U.S. GAAP) for complete financial statements. These operating results are not necessarily indicative of the results that may be expected for the year ending December 31, 2020.</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2019 included in the Company’s Annual Report on Form 10-K as filed with the SEC. The December 31, 2019 condensed consolidated balance sheet included herein was derived from the December 31, 2019 audited consolidated balance sheet included in the Company’s Annual Report on Form 10-K.</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on the condensed consolidated statements of operations and statements of cash flows, and as presented in Note 11 - Segment Data.</w:t>
      </w:r>
    </w:p>
    <w:p>
      <w:pPr>
        <w:spacing w:after="0" w:line="193" w:lineRule="exact"/>
        <w:rPr>
          <w:sz w:val="20"/>
          <w:szCs w:val="20"/>
          <w:color w:val="auto"/>
        </w:rPr>
      </w:pPr>
    </w:p>
    <w:p>
      <w:pPr>
        <w:ind w:right="6200" w:firstLine="8"/>
        <w:spacing w:after="0" w:line="534"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in context of the unknown future impacts of the current global outbreak of COVID-19 using information that is reasonably available to the Company at the time.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legal contingencies; (8) income taxes; and (9) sales and other non-income tax liabilities. Accrued insurance claims and reserves include estimated settlements from known claims and actuarial estimates for claims incurred but not reported. As additional information becomes available to the Company, its future assessment of these estimates, including management's expectations at the time regarding the duration, scope and severity of the pandemic, as well as other factors, could materially and adversely impact the Company's consolidated financial statements in future reporting periods.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5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primarily include employee termination costs and lease-related exit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Reconciliation of the employee termination costs and lease-related exit costs beginning and ending liability balance is presented below:</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Employee Termination Costs</w:t>
            </w: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Lease-Related Exit Costs</w:t>
            </w:r>
          </w:p>
        </w:tc>
      </w:tr>
      <w:tr>
        <w:trPr>
          <w:trHeight w:val="223"/>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20" w:type="dxa"/>
            <w:vAlign w:val="bottom"/>
            <w:gridSpan w:val="4"/>
          </w:tcPr>
          <w:p>
            <w:pPr>
              <w:jc w:val="right"/>
              <w:ind w:right="1790"/>
              <w:spacing w:after="0"/>
              <w:rPr>
                <w:sz w:val="20"/>
                <w:szCs w:val="20"/>
                <w:color w:val="auto"/>
              </w:rPr>
            </w:pPr>
            <w:r>
              <w:rPr>
                <w:rFonts w:ascii="Arial" w:cs="Arial" w:eastAsia="Arial" w:hAnsi="Arial"/>
                <w:sz w:val="18"/>
                <w:szCs w:val="18"/>
                <w:color w:val="auto"/>
              </w:rPr>
              <w:t>(amounts in thousands)</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Charged to restructuring costs (a)</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306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1,167</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Charged to restructuring costs (a)</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Charged to restructuring costs (a)</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1,571</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r>
      <w:tr>
        <w:trPr>
          <w:trHeight w:val="21"/>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56" w:lineRule="exact"/>
        <w:rPr>
          <w:sz w:val="20"/>
          <w:szCs w:val="20"/>
          <w:color w:val="auto"/>
        </w:rPr>
      </w:pPr>
    </w:p>
    <w:p>
      <w:pPr>
        <w:ind w:right="40" w:firstLine="8"/>
        <w:spacing w:after="0" w:line="254"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Aside from what is presented in the table above, restructuring costs in the condensed consolidated statements of operations for the nine months ended September 30, 2020 include: (i) $0.7 million of ongoing lease costs related to the Company's strategic reduction in its real estate footprint which are included as operating lease liabilities - current and non-current in our condensed consolidated balance sheets, (ii) $0.2 million of legal entity reorganization costs, and (iii) $0.1 million of other costs.</w:t>
      </w:r>
    </w:p>
    <w:p>
      <w:pPr>
        <w:spacing w:after="0" w:line="2" w:lineRule="exact"/>
        <w:rPr>
          <w:rFonts w:ascii="Arial" w:cs="Arial" w:eastAsia="Arial" w:hAnsi="Arial"/>
          <w:sz w:val="18"/>
          <w:szCs w:val="18"/>
          <w:color w:val="auto"/>
        </w:rPr>
      </w:pPr>
    </w:p>
    <w:p>
      <w:pPr>
        <w:ind w:right="480"/>
        <w:spacing w:after="0" w:line="260" w:lineRule="auto"/>
        <w:rPr>
          <w:rFonts w:ascii="Arial" w:cs="Arial" w:eastAsia="Arial" w:hAnsi="Arial"/>
          <w:sz w:val="18"/>
          <w:szCs w:val="18"/>
          <w:color w:val="auto"/>
        </w:rPr>
      </w:pPr>
      <w:r>
        <w:rPr>
          <w:rFonts w:ascii="Arial" w:cs="Arial" w:eastAsia="Arial" w:hAnsi="Arial"/>
          <w:sz w:val="18"/>
          <w:szCs w:val="18"/>
          <w:color w:val="auto"/>
        </w:rPr>
        <w:t>The three months ended September 30, 2020 include $0.4 million of ongoing lease costs related to the Company's strategic reduction in its real estate footprint.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Effective January 1, 2020, the Company adopted ASU No. 2018-13, </w:t>
      </w:r>
      <w:r>
        <w:rPr>
          <w:rFonts w:ascii="Arial" w:cs="Arial" w:eastAsia="Arial" w:hAnsi="Arial"/>
          <w:sz w:val="17"/>
          <w:szCs w:val="17"/>
          <w:i w:val="1"/>
          <w:iCs w:val="1"/>
          <w:color w:val="auto"/>
        </w:rPr>
        <w:t>Fair Value Measurement (Topic 820), Disclosure Framework - Changes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for Fair Value Measurement, </w:t>
      </w:r>
      <w:r>
        <w:rPr>
          <w:rFonts w:ascii="Arial" w:cs="Arial" w:eastAsia="Arial" w:hAnsi="Arial"/>
          <w:sz w:val="17"/>
          <w:szCs w:val="17"/>
          <w:color w:val="auto"/>
        </w:rPr>
        <w:t>which modifies the disclosure requirements on fair value measurements in Topic 820,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based on the concepts in the Concepts Statement, including the consideration of costs and benefits. The Company has adopted this guidance prospectively with no material impact on its condensed consolidated financial statements.</w:t>
      </w:r>
    </w:p>
    <w:p>
      <w:pPr>
        <w:spacing w:after="0" w:line="19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Effective January 1, 2020, the Company adopted ASU No. 2016-13, </w:t>
      </w:r>
      <w:r>
        <w:rPr>
          <w:rFonts w:ascii="Arial" w:cs="Arial" w:eastAsia="Arial" w:hAnsi="Arial"/>
          <w:sz w:val="16"/>
          <w:szCs w:val="16"/>
          <w:i w:val="1"/>
          <w:iCs w:val="1"/>
          <w:color w:val="auto"/>
        </w:rPr>
        <w:t>Financial Instruments - 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which replaces the incurred loss impairment methodology under current GAAP with a methodology that reflects expected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and requires the use of a forward-looking expected credit loss model for accounts receivable, loans, and other financial instruments. The guidance requires a modified retrospective approach through a cumulative-effect adjustment to retained earnings as of the beginning of the first reporting period in which it is effective. The Company has adopted this guidance using the modified retrospective approach related to its accounts receivable, resulting in no cumulative adjustment to retained earnings and no material impact on its condensed consolidated financial statements. See Note 3 - Customer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3.</w:t>
        <w:tab/>
        <w:t>CUSTOMER CONTRACTS</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89"/>
              </w:rPr>
              <w:t>Three Months ended September 30, 2020</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480"/>
              <w:spacing w:after="0" w:line="169" w:lineRule="exact"/>
              <w:rPr>
                <w:sz w:val="20"/>
                <w:szCs w:val="20"/>
                <w:color w:val="auto"/>
              </w:rPr>
            </w:pPr>
            <w:r>
              <w:rPr>
                <w:rFonts w:ascii="Arial" w:cs="Arial" w:eastAsia="Arial" w:hAnsi="Arial"/>
                <w:sz w:val="18"/>
                <w:szCs w:val="18"/>
                <w:b w:val="1"/>
                <w:bCs w:val="1"/>
                <w:color w:val="auto"/>
                <w:w w:val="90"/>
              </w:rPr>
              <w:t>Nurse</w:t>
            </w:r>
          </w:p>
        </w:tc>
        <w:tc>
          <w:tcPr>
            <w:tcW w:w="120" w:type="dxa"/>
            <w:vAlign w:val="bottom"/>
          </w:tcPr>
          <w:p>
            <w:pPr>
              <w:spacing w:after="0"/>
              <w:rPr>
                <w:sz w:val="14"/>
                <w:szCs w:val="14"/>
                <w:color w:val="auto"/>
              </w:rPr>
            </w:pPr>
          </w:p>
        </w:tc>
        <w:tc>
          <w:tcPr>
            <w:tcW w:w="17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480"/>
              <w:spacing w:after="0" w:line="176" w:lineRule="exact"/>
              <w:rPr>
                <w:sz w:val="20"/>
                <w:szCs w:val="20"/>
                <w:color w:val="auto"/>
              </w:rPr>
            </w:pPr>
            <w:r>
              <w:rPr>
                <w:rFonts w:ascii="Arial" w:cs="Arial" w:eastAsia="Arial" w:hAnsi="Arial"/>
                <w:sz w:val="18"/>
                <w:szCs w:val="18"/>
                <w:b w:val="1"/>
                <w:bCs w:val="1"/>
                <w:color w:val="auto"/>
                <w:w w:val="92"/>
              </w:rPr>
              <w:t>And Allied</w:t>
            </w:r>
          </w:p>
        </w:tc>
        <w:tc>
          <w:tcPr>
            <w:tcW w:w="1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Search</w:t>
            </w:r>
          </w:p>
        </w:tc>
        <w:tc>
          <w:tcPr>
            <w:tcW w:w="160" w:type="dxa"/>
            <w:vAlign w:val="bottom"/>
          </w:tcPr>
          <w:p>
            <w:pPr>
              <w:spacing w:after="0"/>
              <w:rPr>
                <w:sz w:val="15"/>
                <w:szCs w:val="15"/>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9"/>
              </w:rPr>
              <w:t>Total Segments</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2"/>
              </w:rPr>
              <w:t>Staffing</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(amounts in thousands)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169,264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185,017</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8,951</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175,244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193,968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89"/>
              </w:rPr>
              <w:t>Three Months ended September 30, 2019</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480"/>
              <w:spacing w:after="0" w:line="169" w:lineRule="exact"/>
              <w:rPr>
                <w:sz w:val="20"/>
                <w:szCs w:val="20"/>
                <w:color w:val="auto"/>
              </w:rPr>
            </w:pPr>
            <w:r>
              <w:rPr>
                <w:rFonts w:ascii="Arial" w:cs="Arial" w:eastAsia="Arial" w:hAnsi="Arial"/>
                <w:sz w:val="18"/>
                <w:szCs w:val="18"/>
                <w:b w:val="1"/>
                <w:bCs w:val="1"/>
                <w:color w:val="auto"/>
                <w:w w:val="90"/>
              </w:rPr>
              <w:t>Nurse</w:t>
            </w:r>
          </w:p>
        </w:tc>
        <w:tc>
          <w:tcPr>
            <w:tcW w:w="120" w:type="dxa"/>
            <w:vAlign w:val="bottom"/>
          </w:tcPr>
          <w:p>
            <w:pPr>
              <w:spacing w:after="0"/>
              <w:rPr>
                <w:sz w:val="14"/>
                <w:szCs w:val="14"/>
                <w:color w:val="auto"/>
              </w:rPr>
            </w:pPr>
          </w:p>
        </w:tc>
        <w:tc>
          <w:tcPr>
            <w:tcW w:w="17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480"/>
              <w:spacing w:after="0" w:line="176" w:lineRule="exact"/>
              <w:rPr>
                <w:sz w:val="20"/>
                <w:szCs w:val="20"/>
                <w:color w:val="auto"/>
              </w:rPr>
            </w:pPr>
            <w:r>
              <w:rPr>
                <w:rFonts w:ascii="Arial" w:cs="Arial" w:eastAsia="Arial" w:hAnsi="Arial"/>
                <w:sz w:val="18"/>
                <w:szCs w:val="18"/>
                <w:b w:val="1"/>
                <w:bCs w:val="1"/>
                <w:color w:val="auto"/>
                <w:w w:val="92"/>
              </w:rPr>
              <w:t>And Allied</w:t>
            </w:r>
          </w:p>
        </w:tc>
        <w:tc>
          <w:tcPr>
            <w:tcW w:w="1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Search</w:t>
            </w:r>
          </w:p>
        </w:tc>
        <w:tc>
          <w:tcPr>
            <w:tcW w:w="160" w:type="dxa"/>
            <w:vAlign w:val="bottom"/>
          </w:tcPr>
          <w:p>
            <w:pPr>
              <w:spacing w:after="0"/>
              <w:rPr>
                <w:sz w:val="15"/>
                <w:szCs w:val="15"/>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9"/>
              </w:rPr>
              <w:t>Total Segments</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2"/>
              </w:rPr>
              <w:t>Staffing</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(amounts in thousands)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200,876</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184,974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209,200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90"/>
              </w:rPr>
              <w:t>Nine Months ended September 30, 2020</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480"/>
              <w:spacing w:after="0" w:line="169" w:lineRule="exact"/>
              <w:rPr>
                <w:sz w:val="20"/>
                <w:szCs w:val="20"/>
                <w:color w:val="auto"/>
              </w:rPr>
            </w:pPr>
            <w:r>
              <w:rPr>
                <w:rFonts w:ascii="Arial" w:cs="Arial" w:eastAsia="Arial" w:hAnsi="Arial"/>
                <w:sz w:val="18"/>
                <w:szCs w:val="18"/>
                <w:b w:val="1"/>
                <w:bCs w:val="1"/>
                <w:color w:val="auto"/>
                <w:w w:val="90"/>
              </w:rPr>
              <w:t>Nurse</w:t>
            </w:r>
          </w:p>
        </w:tc>
        <w:tc>
          <w:tcPr>
            <w:tcW w:w="120" w:type="dxa"/>
            <w:vAlign w:val="bottom"/>
          </w:tcPr>
          <w:p>
            <w:pPr>
              <w:spacing w:after="0"/>
              <w:rPr>
                <w:sz w:val="14"/>
                <w:szCs w:val="14"/>
                <w:color w:val="auto"/>
              </w:rPr>
            </w:pPr>
          </w:p>
        </w:tc>
        <w:tc>
          <w:tcPr>
            <w:tcW w:w="17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480"/>
              <w:spacing w:after="0" w:line="176" w:lineRule="exact"/>
              <w:rPr>
                <w:sz w:val="20"/>
                <w:szCs w:val="20"/>
                <w:color w:val="auto"/>
              </w:rPr>
            </w:pPr>
            <w:r>
              <w:rPr>
                <w:rFonts w:ascii="Arial" w:cs="Arial" w:eastAsia="Arial" w:hAnsi="Arial"/>
                <w:sz w:val="18"/>
                <w:szCs w:val="18"/>
                <w:b w:val="1"/>
                <w:bCs w:val="1"/>
                <w:color w:val="auto"/>
                <w:w w:val="92"/>
              </w:rPr>
              <w:t>And Allied</w:t>
            </w:r>
          </w:p>
        </w:tc>
        <w:tc>
          <w:tcPr>
            <w:tcW w:w="1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Search</w:t>
            </w:r>
          </w:p>
        </w:tc>
        <w:tc>
          <w:tcPr>
            <w:tcW w:w="160" w:type="dxa"/>
            <w:vAlign w:val="bottom"/>
          </w:tcPr>
          <w:p>
            <w:pPr>
              <w:spacing w:after="0"/>
              <w:rPr>
                <w:sz w:val="15"/>
                <w:szCs w:val="15"/>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9"/>
              </w:rPr>
              <w:t>Total Segments</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2"/>
              </w:rPr>
              <w:t>Staffing</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(amounts in thousands)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547,543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596,537</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7,731</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24,274</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561,575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620,811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90"/>
              </w:rPr>
              <w:t>Nine Months ended September 30, 2019</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480"/>
              <w:spacing w:after="0" w:line="169" w:lineRule="exact"/>
              <w:rPr>
                <w:sz w:val="20"/>
                <w:szCs w:val="20"/>
                <w:color w:val="auto"/>
              </w:rPr>
            </w:pPr>
            <w:r>
              <w:rPr>
                <w:rFonts w:ascii="Arial" w:cs="Arial" w:eastAsia="Arial" w:hAnsi="Arial"/>
                <w:sz w:val="18"/>
                <w:szCs w:val="18"/>
                <w:b w:val="1"/>
                <w:bCs w:val="1"/>
                <w:color w:val="auto"/>
                <w:w w:val="90"/>
              </w:rPr>
              <w:t>Nurse</w:t>
            </w:r>
          </w:p>
        </w:tc>
        <w:tc>
          <w:tcPr>
            <w:tcW w:w="120" w:type="dxa"/>
            <w:vAlign w:val="bottom"/>
          </w:tcPr>
          <w:p>
            <w:pPr>
              <w:spacing w:after="0"/>
              <w:rPr>
                <w:sz w:val="14"/>
                <w:szCs w:val="14"/>
                <w:color w:val="auto"/>
              </w:rPr>
            </w:pPr>
          </w:p>
        </w:tc>
        <w:tc>
          <w:tcPr>
            <w:tcW w:w="17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480"/>
              <w:spacing w:after="0" w:line="176" w:lineRule="exact"/>
              <w:rPr>
                <w:sz w:val="20"/>
                <w:szCs w:val="20"/>
                <w:color w:val="auto"/>
              </w:rPr>
            </w:pPr>
            <w:r>
              <w:rPr>
                <w:rFonts w:ascii="Arial" w:cs="Arial" w:eastAsia="Arial" w:hAnsi="Arial"/>
                <w:sz w:val="18"/>
                <w:szCs w:val="18"/>
                <w:b w:val="1"/>
                <w:bCs w:val="1"/>
                <w:color w:val="auto"/>
                <w:w w:val="92"/>
              </w:rPr>
              <w:t>And Allied</w:t>
            </w:r>
          </w:p>
        </w:tc>
        <w:tc>
          <w:tcPr>
            <w:tcW w:w="1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Search</w:t>
            </w:r>
          </w:p>
        </w:tc>
        <w:tc>
          <w:tcPr>
            <w:tcW w:w="160" w:type="dxa"/>
            <w:vAlign w:val="bottom"/>
          </w:tcPr>
          <w:p>
            <w:pPr>
              <w:spacing w:after="0"/>
              <w:rPr>
                <w:sz w:val="15"/>
                <w:szCs w:val="15"/>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9"/>
              </w:rPr>
              <w:t>Total Segments</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2"/>
              </w:rPr>
              <w:t>Staffing</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(amounts in thousands)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532,036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583,253</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23,875</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541,398</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607,128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timing of revenue recognition, billings, and collections results in billed and unbilled accounts receivable from our customers which are classified as accounts receivable on the condensed consolidated balance sheets and are presented net of allowances for doubtful accounts and sales allowances. Estimated revenue for the Company's employees', subcontracted employees', and independent contractors’ time worked but not yet billed at September 30, 2020 and December 31, 2019 totaled $57.3 million and $46.1 million, respectively.</w:t>
      </w:r>
    </w:p>
    <w:p>
      <w:pPr>
        <w:spacing w:after="0" w:line="21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right="20"/>
        <w:spacing w:after="0" w:line="301" w:lineRule="auto"/>
        <w:rPr>
          <w:sz w:val="20"/>
          <w:szCs w:val="20"/>
          <w:color w:val="auto"/>
        </w:rPr>
      </w:pPr>
      <w:r>
        <w:rPr>
          <w:rFonts w:ascii="Arial" w:cs="Arial" w:eastAsia="Arial" w:hAnsi="Arial"/>
          <w:sz w:val="16"/>
          <w:szCs w:val="16"/>
          <w:color w:val="auto"/>
        </w:rPr>
        <w:t>receivable and contract assets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current expectations of future economic conditions, including the impact of COVID-19, when estimating its allowance for doubtful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 of the allowance for doubtful accounts is reconciled to the closing balance for expected credit losses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271"/>
              <w:spacing w:after="0"/>
              <w:rPr>
                <w:sz w:val="20"/>
                <w:szCs w:val="20"/>
                <w:color w:val="auto"/>
              </w:rPr>
            </w:pPr>
            <w:r>
              <w:rPr>
                <w:rFonts w:ascii="Arial" w:cs="Arial" w:eastAsia="Arial" w:hAnsi="Arial"/>
                <w:sz w:val="16"/>
                <w:szCs w:val="16"/>
                <w:color w:val="auto"/>
                <w:w w:val="96"/>
              </w:rPr>
              <w:t>(amounts in thousands)</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Balance at January 1, 2020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2,406</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 net of Recoveries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2,962</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 net of Recoveries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addition to the allowance for doubtful accounts, the Company maintains a sales allowance for billing-related adjustments which may arise in the ordinary course and adjustments to the reserve are recorded as contra-revenue. The balance of this allowance as of September 30, 2020 and December 31, 2019 was $0.6 million and $0.8 million, respectively.</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COMPREHENSIVE LOSS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Total comprehensive loss includes net income or loss, foreign currency translation adjustments, and net change in derivative transactions, net of any related deferred taxes and valuation allowance. Certain of the Company’s foreign subsidiaries use their respective local currency as their functional currency. In accordance with the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$1.3 million at September 30, 2020 and December 31, 2019.</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income tax impact related to components of other comprehensive loss for the three and nine months ended September 30, 2020 and 2019 is reflected on the condensed 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0"/>
                <w:szCs w:val="20"/>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3"/>
                <w:szCs w:val="23"/>
                <w:color w:val="auto"/>
              </w:rPr>
            </w:pPr>
          </w:p>
        </w:tc>
        <w:tc>
          <w:tcPr>
            <w:tcW w:w="24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79"/>
        </w:trPr>
        <w:tc>
          <w:tcPr>
            <w:tcW w:w="5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color w:val="auto"/>
              </w:rPr>
              <w:t>(amounts in thousands, except per share data)</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w w:val="99"/>
              </w:rPr>
              <w:t>Net loss attributable to common shareholders - Basic and 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(56,569)</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 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35,797</w:t>
            </w:r>
          </w:p>
        </w:tc>
        <w:tc>
          <w:tcPr>
            <w:tcW w:w="0" w:type="dxa"/>
            <w:vAlign w:val="bottom"/>
          </w:tcPr>
          <w:p>
            <w:pPr>
              <w:spacing w:after="0"/>
              <w:rPr>
                <w:sz w:val="1"/>
                <w:szCs w:val="1"/>
                <w:color w:val="auto"/>
              </w:rPr>
            </w:pPr>
          </w:p>
        </w:tc>
      </w:tr>
      <w:tr>
        <w:trPr>
          <w:trHeight w:val="229"/>
        </w:trPr>
        <w:tc>
          <w:tcPr>
            <w:tcW w:w="5320" w:type="dxa"/>
            <w:vAlign w:val="bottom"/>
          </w:tcPr>
          <w:p>
            <w:pPr>
              <w:ind w:left="120"/>
              <w:spacing w:after="0"/>
              <w:rPr>
                <w:sz w:val="20"/>
                <w:szCs w:val="20"/>
                <w:color w:val="auto"/>
              </w:rPr>
            </w:pPr>
            <w:r>
              <w:rPr>
                <w:rFonts w:ascii="Arial" w:cs="Arial" w:eastAsia="Arial" w:hAnsi="Arial"/>
                <w:sz w:val="18"/>
                <w:szCs w:val="18"/>
                <w:color w:val="auto"/>
              </w:rPr>
              <w:t>Effect of diluted shares: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awards (a)</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120"/>
              <w:spacing w:after="0"/>
              <w:rPr>
                <w:sz w:val="20"/>
                <w:szCs w:val="20"/>
                <w:color w:val="auto"/>
              </w:rPr>
            </w:pPr>
            <w:r>
              <w:rPr>
                <w:rFonts w:ascii="Arial" w:cs="Arial" w:eastAsia="Arial" w:hAnsi="Arial"/>
                <w:sz w:val="18"/>
                <w:szCs w:val="18"/>
                <w:color w:val="auto"/>
              </w:rPr>
              <w:t>Weighted average common shares - Diluted</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35,865</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36,058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35,797</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320" w:type="dxa"/>
            <w:vAlign w:val="bottom"/>
          </w:tcPr>
          <w:p>
            <w:pPr>
              <w:ind w:left="20"/>
              <w:spacing w:after="0" w:line="176" w:lineRule="exact"/>
              <w:rPr>
                <w:sz w:val="20"/>
                <w:szCs w:val="20"/>
                <w:color w:val="auto"/>
              </w:rPr>
            </w:pPr>
            <w:r>
              <w:rPr>
                <w:rFonts w:ascii="Arial" w:cs="Arial" w:eastAsia="Arial" w:hAnsi="Arial"/>
                <w:sz w:val="18"/>
                <w:szCs w:val="18"/>
                <w:color w:val="auto"/>
                <w:w w:val="98"/>
              </w:rPr>
              <w:t>Net loss per share attributable to common shareholders - Basic and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line="202"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56" w:lineRule="exact"/>
        <w:rPr>
          <w:sz w:val="20"/>
          <w:szCs w:val="20"/>
          <w:color w:val="auto"/>
        </w:rPr>
      </w:pPr>
    </w:p>
    <w:p>
      <w:pPr>
        <w:ind w:right="60" w:firstLine="8"/>
        <w:spacing w:after="0" w:line="263"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the net loss for the three and nine months ended September 30, 2020 and 2019, 227,821, 252,810, 317,905, and 177,449 shares, respectively, were excluded from diluted weighted average shares. For the three and nine months ended September 30, 2020 and 2019, no tax benefits were assumed for the potentially dilutive shares due to the Company's net operating loss position.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880" w:type="dxa"/>
            <w:vAlign w:val="bottom"/>
            <w:gridSpan w:val="7"/>
          </w:tcPr>
          <w:p>
            <w:pPr>
              <w:spacing w:after="0"/>
              <w:rPr>
                <w:sz w:val="20"/>
                <w:szCs w:val="20"/>
                <w:color w:val="auto"/>
              </w:rPr>
            </w:pPr>
            <w:r>
              <w:rPr>
                <w:rFonts w:ascii="Arial" w:cs="Arial" w:eastAsia="Arial" w:hAnsi="Arial"/>
                <w:sz w:val="18"/>
                <w:szCs w:val="18"/>
                <w:b w:val="1"/>
                <w:bCs w:val="1"/>
                <w:color w:val="auto"/>
              </w:rPr>
              <w:t>6.  GOODWILL, TRADE NAMES, AND OTHER INTANGIBLE ASSETS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40" w:type="dxa"/>
            <w:vAlign w:val="bottom"/>
            <w:gridSpan w:val="5"/>
          </w:tcPr>
          <w:p>
            <w:pPr>
              <w:spacing w:after="0"/>
              <w:rPr>
                <w:sz w:val="20"/>
                <w:szCs w:val="20"/>
                <w:color w:val="auto"/>
              </w:rPr>
            </w:pPr>
            <w:r>
              <w:rPr>
                <w:rFonts w:ascii="Arial" w:cs="Arial" w:eastAsia="Arial" w:hAnsi="Arial"/>
                <w:sz w:val="18"/>
                <w:szCs w:val="18"/>
                <w:color w:val="auto"/>
                <w:w w:val="93"/>
              </w:rPr>
              <w:t>The Company had the following acquired intangible assets: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 2020</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2019</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4"/>
                <w:szCs w:val="14"/>
                <w:color w:val="auto"/>
              </w:rPr>
            </w:pPr>
          </w:p>
        </w:tc>
        <w:tc>
          <w:tcPr>
            <w:tcW w:w="9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Intangible assets subject to</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8"/>
                <w:szCs w:val="18"/>
                <w:color w:val="auto"/>
              </w:rPr>
              <w:t>Databases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14,559</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15,971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12,269</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18,261</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23,162</w:t>
            </w: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196"/>
        </w:trPr>
        <w:tc>
          <w:tcPr>
            <w:tcW w:w="2980" w:type="dxa"/>
            <w:vAlign w:val="bottom"/>
          </w:tcPr>
          <w:p>
            <w:pPr>
              <w:ind w:left="20"/>
              <w:spacing w:after="0" w:line="196" w:lineRule="exact"/>
              <w:rPr>
                <w:sz w:val="20"/>
                <w:szCs w:val="20"/>
                <w:color w:val="auto"/>
              </w:rPr>
            </w:pPr>
            <w:r>
              <w:rPr>
                <w:rFonts w:ascii="Arial" w:cs="Arial" w:eastAsia="Arial" w:hAnsi="Arial"/>
                <w:sz w:val="18"/>
                <w:szCs w:val="18"/>
                <w:color w:val="auto"/>
              </w:rPr>
              <w:t>Other intangible assets, net</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64,372</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28,050</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36,322</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85,108</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40,151</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44,957</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Intangible assets not subject to</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8"/>
                <w:szCs w:val="18"/>
                <w:color w:val="auto"/>
              </w:rPr>
              <w:t>Trade names, indefinite-lived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third quarter of 2020, fully amortized intangible assets of $15.0 million related to customer relationships and $4.5 million related to trade names, along with the related accumulated amortization, were removed from the table above. As of September 30, 2020, estimated annual amortization expense is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91"/>
              <w:spacing w:after="0"/>
              <w:rPr>
                <w:sz w:val="20"/>
                <w:szCs w:val="20"/>
                <w:color w:val="auto"/>
              </w:rPr>
            </w:pPr>
            <w:r>
              <w:rPr>
                <w:rFonts w:ascii="Arial" w:cs="Arial" w:eastAsia="Arial" w:hAnsi="Arial"/>
                <w:sz w:val="16"/>
                <w:szCs w:val="16"/>
                <w:color w:val="auto"/>
                <w:w w:val="93"/>
              </w:rPr>
              <w:t>(amounts in thousands)</w:t>
            </w: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5,933</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5,238</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11,822</w:t>
            </w:r>
          </w:p>
        </w:tc>
      </w:tr>
      <w:tr>
        <w:trPr>
          <w:trHeight w:val="223"/>
        </w:trPr>
        <w:tc>
          <w:tcPr>
            <w:tcW w:w="9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36,322</w:t>
            </w:r>
          </w:p>
        </w:tc>
      </w:tr>
      <w:tr>
        <w:trPr>
          <w:trHeight w:val="20"/>
        </w:trPr>
        <w:tc>
          <w:tcPr>
            <w:tcW w:w="9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7"/>
                <w:szCs w:val="17"/>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4"/>
              </w:rPr>
              <w:t>And Allied</w:t>
            </w:r>
          </w:p>
        </w:tc>
        <w:tc>
          <w:tcPr>
            <w:tcW w:w="2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Search</w:t>
            </w:r>
          </w:p>
        </w:tc>
        <w:tc>
          <w:tcPr>
            <w:tcW w:w="36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2"/>
              </w:rPr>
              <w:t>Staffing</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20" w:type="dxa"/>
            <w:vAlign w:val="bottom"/>
            <w:gridSpan w:val="5"/>
          </w:tcPr>
          <w:p>
            <w:pPr>
              <w:ind w:left="580"/>
              <w:spacing w:after="0"/>
              <w:rPr>
                <w:sz w:val="20"/>
                <w:szCs w:val="20"/>
                <w:color w:val="auto"/>
              </w:rPr>
            </w:pPr>
            <w:r>
              <w:rPr>
                <w:rFonts w:ascii="Arial" w:cs="Arial" w:eastAsia="Arial" w:hAnsi="Arial"/>
                <w:sz w:val="18"/>
                <w:szCs w:val="18"/>
                <w:color w:val="auto"/>
              </w:rPr>
              <w:t>(amounts in thousands)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December 31, 2019</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20"/>
              <w:spacing w:after="0"/>
              <w:rPr>
                <w:sz w:val="20"/>
                <w:szCs w:val="20"/>
                <w:color w:val="auto"/>
              </w:rPr>
            </w:pPr>
            <w:r>
              <w:rPr>
                <w:rFonts w:ascii="Arial" w:cs="Arial" w:eastAsia="Arial" w:hAnsi="Arial"/>
                <w:sz w:val="18"/>
                <w:szCs w:val="18"/>
                <w:color w:val="auto"/>
              </w:rPr>
              <w:t>Aggregate goodwill acquired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346,130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43,405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411,285</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 of business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Accumulated impairment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(259,732)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(300,330)</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 net of impairment loss</w:t>
            </w: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101,066</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to aggregate goodwill in 2020</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of API goodwill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September 30, 2020</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20"/>
              <w:spacing w:after="0"/>
              <w:rPr>
                <w:sz w:val="20"/>
                <w:szCs w:val="20"/>
                <w:color w:val="auto"/>
              </w:rPr>
            </w:pPr>
            <w:r>
              <w:rPr>
                <w:rFonts w:ascii="Arial" w:cs="Arial" w:eastAsia="Arial" w:hAnsi="Arial"/>
                <w:sz w:val="18"/>
                <w:szCs w:val="18"/>
                <w:color w:val="auto"/>
              </w:rPr>
              <w:t>Aggregate goodwill acquired</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346,130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43,405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411,285</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 of business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Accumulated impairment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(259,732)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of API goodwill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40" w:type="dxa"/>
            <w:vAlign w:val="bottom"/>
          </w:tcPr>
          <w:p>
            <w:pPr>
              <w:ind w:left="120"/>
              <w:spacing w:after="0"/>
              <w:rPr>
                <w:sz w:val="20"/>
                <w:szCs w:val="20"/>
                <w:color w:val="auto"/>
              </w:rPr>
            </w:pPr>
            <w:r>
              <w:rPr>
                <w:rFonts w:ascii="Arial" w:cs="Arial" w:eastAsia="Arial" w:hAnsi="Arial"/>
                <w:sz w:val="18"/>
                <w:szCs w:val="18"/>
                <w:color w:val="auto"/>
              </w:rPr>
              <w:t>Goodwill, net of impairment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86,422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90,924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 Impairment</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including COVID-19,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September 30, 2020, the Company performed a qualitative assessment of each of its reporting units and determined it was not more likely than not that the fair value of its reporting units dropped below their carrying value.</w:t>
      </w:r>
    </w:p>
    <w:p>
      <w:pPr>
        <w:spacing w:after="0" w:line="19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second quarter of 2020, due to the increased negative impact and continuing uncertainty of the COVID-19 pandemic on the business, all reporting units were quantitatively tested. For the Nurse and Allied Staffing and Physician Staffing reporting units, no impairment was identified as the fair value was substantially in excess of the carrying amount of goodwill.</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Search reporting unit under-performed relative to management’s expectations in the second quarter of 2020. The lower than expected revenue was driven by: (i) the cancellation or postponement of a significant number of working searches, (ii) the decision to delay the hiring of new revenue producers, and (iii) the loss of customers, which were mostly related to the negative impacts of COVID-19. As a result, the quantitative testing of the Search reporting unit resulted in impairment charges of $10.2 million for its goodwill and $0.3 million for its customer relationships.</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order to determine the fair value of the Search reporting unit, the Company used a combination of an income and market approach. The weighting was based on the specific characteristics, risks, and uncertainties of the Search reporting unit. The discounted cash flow that served as the primary basis for the income approach was based on the Company’s discrete financial forecast of revenue, gross profit margins, operating costs, and cash flows. It also considered estimated future results, economic and market conditions including the timing and duration of COVID-19, as well as the impact of planned business and operational strategies. Assumptions used in the market approach were derived including an analysis of a range of valuation multiples of comparable public companies.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 w:name="page17"/>
    <w:bookmarkEnd w:id="16"/>
    <w:p>
      <w:pPr>
        <w:jc w:val="both"/>
        <w:ind w:right="220"/>
        <w:spacing w:after="0" w:line="263" w:lineRule="auto"/>
        <w:rPr>
          <w:sz w:val="20"/>
          <w:szCs w:val="20"/>
          <w:color w:val="auto"/>
        </w:rPr>
      </w:pPr>
      <w:r>
        <w:rPr>
          <w:rFonts w:ascii="Arial" w:cs="Arial" w:eastAsia="Arial" w:hAnsi="Arial"/>
          <w:sz w:val="18"/>
          <w:szCs w:val="18"/>
          <w:color w:val="auto"/>
        </w:rPr>
        <w:t>Impairment charges on the condensed consolidated statements of operations include impairment of $10.7 million related to goodwill and other intangible assets and $5.4 million related to right-of-use assets and related property and equipment, and totaled $16.1 million for the nine months ended September 30, 2020.</w:t>
      </w:r>
    </w:p>
    <w:p>
      <w:pPr>
        <w:spacing w:after="0" w:line="21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Although management believes that the Company's current estimates and assumptions utilized in its quantitative testing are reasonable and supportable, including its assumptions on the impact and timing related to COVID-19, there can be no assurance that the estimates and assumptions management used for purposes of its qualitative assessment as of September 30, 2020 will prove to be accurate predictions of future performance.</w:t>
      </w:r>
    </w:p>
    <w:p>
      <w:pPr>
        <w:spacing w:after="0" w:line="17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As part of evolving its go-to-market strategy, in the second quarter of 2019, the Company began eliminating certain brands across all of its segments. The Company’s rebranding efforts resulted in a $14.5 million write-off of indefinite-lived trade names related to its Nurse and Allied Staffing business segment, which is presented within impairment charges on the condensed consolidated statements of operations for the nine months ended September 30,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its rebranding efforts, the Company made a decision at the end of 2019 to phase out a trade name by the end of 2020, which as of December 31, 2019 would have been recognized over a weighted average life of 7.5 years. In connection with this decision, the Company expected accelerated amortization related to the trade name of $2.9 million throughout 2020. In the second quarter of 2020, the Company further accelerated its rebranding plan and shortened the estimated remaining life of the trade name. Total accelerated amortization resulting from the changes in the estimated remaining life of the trade name were $0.9 million, or $0.03 per share, and $3.1 million, or $0.09 per share, for the three and nine months ended September 30, 2020, respectively.</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ABL Credit Agreement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October 25, 2019, the Company terminated its commitments under its prior senior credit facility entered into in August 2017 (described below) and entered into an ABL Credit Agreement (Loan Agreement). The Loan Agreement provided for a five-year revolving senior secured asset-based credit facility (ABL) in the aggregate principal amount of up to $120.0 million (as described below), including a sublimit for swing loans up to $15.0 million and a $35.0 million sublimit for standby letters of credit.</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June 30, 2020, the Company amended its Loan Agreement, which increased the current aggregate committed size of the ABL from $120.0 million to $130.0 million. All other terms, conditions, covenants, and pricing of the Loan Agreement remain the same. The amendment was treated as a modification of debt and, as a result, the associated fees and costs of $0.1 million were included in debt issuance costs and will be amortized ratably over the remaining term of the agreement.</w:t>
      </w:r>
    </w:p>
    <w:p>
      <w:pPr>
        <w:spacing w:after="0" w:line="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Availability of the ABL commitments is subject to a borrowing base of up to 85% of secured eligible accounts receivable, subject to adjustment at certain quality levels, plus an amount of supplemental availability, and reducing over time in accordance with the terms of the Loan Agreement, minus customary reserves, and subject to customary adjustments. Revolving loans and letters of credit issued under the Loan Agreement reduce availability under the ABL on a dollar-for-dollar basis. Availability under the ABL will be used for general corporate purposes. Additionally, the facility contains a provision to increase the aggregate committed size of the facility to $150.0 million. At September 30, 2020, availability under the ABL was $110.2 million and the Company had $56.0 million of borrowings drawn, as well as $19.5 million of letters of credit outstanding related to workers' compensation and professional liability policies, leaving $34.7 million available for borrowing. The balances drawn are presented as revolving credit facility on the condensed consolidated balance sheets and as of September 30, 2020 and December 31, 2019 had a weighted average interest rate of 2.70% and 4.23%, respectively.</w:t>
      </w:r>
    </w:p>
    <w:p>
      <w:pPr>
        <w:spacing w:after="0" w:line="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September 30, 2020, the interest rate spreads and fees under the Loan Agreement were based on LIBOR plus 2.00% for the revolving portion of the borrowing base and LIBOR plus 4.00% on the Supplemental Availability. The Base Rate (as defined by the Loan Agreement) margins would have been 1.00% and 3.00%, respectively, for the revolving portion and Supplemental Availability, respectively. The LIBOR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ind w:right="420"/>
        <w:spacing w:after="0" w:line="286" w:lineRule="auto"/>
        <w:rPr>
          <w:sz w:val="20"/>
          <w:szCs w:val="20"/>
          <w:color w:val="auto"/>
        </w:rPr>
      </w:pPr>
      <w:r>
        <w:rPr>
          <w:rFonts w:ascii="Arial" w:cs="Arial" w:eastAsia="Arial" w:hAnsi="Arial"/>
          <w:sz w:val="17"/>
          <w:szCs w:val="17"/>
          <w:color w:val="auto"/>
        </w:rPr>
        <w:t>The Loan Agreement contains various restrictions and covenants applicable to the Company and its subsidiaries, including a covenant to maintain a minimum fixed charge coverage ratio. The Company was in compliance with this covenant as of September 30, 2020. Obligations under the ABL are secured by substantially all the assets of the borrowers and guarantors, subject to customary exceptions.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Senior Credit Facility</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had a prior senior credit facility that included a revolver and term loan. The term loan was payable in quarterly installments and the Company had the right at any time to prepay borrowings in whole or in part, without premium or penalty. During the nine months ended September 30, 2019, the Company made optional prepayments on the term loan of $12.5 million.</w:t>
      </w:r>
    </w:p>
    <w:p>
      <w:pPr>
        <w:spacing w:after="0" w:line="7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Also, in both the first and third quarter of 2019, the Company amended its prior senior credit facility to reduce the commitment under the revolving credit facility, among other changes. Each of the amendments were treated as modifications and the fees of $0.7 million paid to its lenders were classified as debt issuance costs.</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a result of the reduction in borrowing capacity under the revolving credit facility, as well as the reduction in the term loan due to the prepayments in the nine months ended September 30, 2019, $0.5 million of debt issuance costs were written off. The amount of the write-off is reflected as loss on early extinguishment of debt on the condensed consolidated statements of operations.</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third quarter of 2019, in contemplation of entering into the Loan Agreement, the Company terminated its interest rate swap agreement associated with its prior senior credit facility by making a cash payment of $1.3 million. As the interest payments related to the swap were no longer expected to occur, the unrealized amount of loss that had accumulated in other comprehensive loss was recognized, resulting in a $1.3 million loss on derivative in the third quarter of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October 30, 2015, the Company completed the acquisition of all of the membership interests of New Mediscan II, LLC, Mediscan Diagnostic Services, LLC, and Mediscan Nursing Staffing, LLC (collectively, Mediscan). In connection with the Mediscan acquisition, the Company assumed contingent purchase price liabilities for a previously acquired business that were payable annually based on certain performance criteria for the years 2016 through 2019, and a second performance criteria related to 2019 payable in three equal installments. Pursuant to the asset purchase agreement, once the earnout amount related to the second performance criteria for 2019 was determined, a note payable documenting the remaining principal and interest was specified as part of the settlement. In the first quarter of 2020, the total earnout amount related to both 2019 performance criterion of $7.4 million was determined, and $0.1 million was paid by the Company. Pursuant to the note payable, the first installment of $2.4 million was paid in the second quarter of 2020, the second installment of $2.4 million is payable on January 31, 2021, and the third installment of $2.5 million is to be paid, together with interest at a rate of 2% per annum, accruing from April 1, 2020, on January 31, 2022. As of September 30, 2020, the current portion of the note payable in the amount of $2.4 million is included in other current liabilities and the long-term portion of $2.5 million is included in other long-term liabilities on the condensed consolidated balance sheets.</w:t>
      </w:r>
    </w:p>
    <w:p>
      <w:pPr>
        <w:spacing w:after="0" w:line="3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LEASES</w:t>
      </w:r>
    </w:p>
    <w:p>
      <w:pPr>
        <w:spacing w:after="0" w:line="25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The Company's lease population of its right-of-use asset and lease liabilities under the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of the FASB ASC is substantially related to the rental of office space. The Company enters into lease agreements as lessee for the rental of office space for both its corporate and branch locations that may include options to extend or terminate early. Many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19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During the nine months ended September 30, 2020, in connection with the continuing developments from COVID-19, the Company expedited restructuring plans and either reduced or fully vacated leased office space. The Company is in the process of seeking to sublet some of the space where possible. The decision and change in the use of space resulted in a right-of-use asset impairment charge of $4.4 million. This loss was determined by comparing the fair value of the impacted right-of-use assets to the carrying value of the assets as of the impairment measurement date, in accordance with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Topic of the FASB ASC. The fair value of the right-of-use assets was based on the estimated sublease income for the space taking into consideration the time period it will take to obtain a subtenant, the applicable discount rate, and the sublease rate. The Company wrote off a total of $1.0 million of leasehold improvements and other property and equipment related to these locations. The measurement of the right-of-use asset impairments, using the assumptions described, is a Level 3 measurement.</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Classification on Condensed Consolidated Balance Sheets:</w:t>
            </w:r>
          </w:p>
        </w:tc>
        <w:tc>
          <w:tcPr>
            <w:tcW w:w="3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September 30, 2020</w:t>
            </w:r>
          </w:p>
        </w:tc>
        <w:tc>
          <w:tcPr>
            <w:tcW w:w="4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40" w:type="dxa"/>
            <w:vAlign w:val="bottom"/>
            <w:gridSpan w:val="3"/>
          </w:tcPr>
          <w:p>
            <w:pPr>
              <w:jc w:val="right"/>
              <w:ind w:right="1750"/>
              <w:spacing w:after="0"/>
              <w:rPr>
                <w:sz w:val="20"/>
                <w:szCs w:val="20"/>
                <w:color w:val="auto"/>
              </w:rPr>
            </w:pPr>
            <w:r>
              <w:rPr>
                <w:rFonts w:ascii="Arial" w:cs="Arial" w:eastAsia="Arial" w:hAnsi="Arial"/>
                <w:sz w:val="18"/>
                <w:szCs w:val="18"/>
                <w:color w:val="auto"/>
              </w:rPr>
              <w:t>(amounts in thousands)</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10,526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4,732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4,878</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15,762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19,070</w:t>
            </w: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860" w:type="dxa"/>
            <w:vAlign w:val="bottom"/>
            <w:gridSpan w:val="2"/>
          </w:tcPr>
          <w:p>
            <w:pPr>
              <w:ind w:left="580"/>
              <w:spacing w:after="0"/>
              <w:rPr>
                <w:sz w:val="20"/>
                <w:szCs w:val="20"/>
                <w:color w:val="auto"/>
              </w:rPr>
            </w:pPr>
            <w:r>
              <w:rPr>
                <w:rFonts w:ascii="Arial" w:cs="Arial" w:eastAsia="Arial" w:hAnsi="Arial"/>
                <w:sz w:val="18"/>
                <w:szCs w:val="18"/>
                <w:b w:val="1"/>
                <w:bCs w:val="1"/>
                <w:color w:val="auto"/>
              </w:rPr>
              <w:t>September 30, 2020</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years</w:t>
            </w:r>
          </w:p>
        </w:tc>
        <w:tc>
          <w:tcPr>
            <w:tcW w:w="2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years</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660" w:type="dxa"/>
            <w:vAlign w:val="bottom"/>
          </w:tcPr>
          <w:p>
            <w:pPr>
              <w:jc w:val="right"/>
              <w:spacing w:after="0"/>
              <w:rPr>
                <w:sz w:val="20"/>
                <w:szCs w:val="20"/>
                <w:color w:val="auto"/>
              </w:rPr>
            </w:pPr>
            <w:r>
              <w:rPr>
                <w:rFonts w:ascii="Arial" w:cs="Arial" w:eastAsia="Arial" w:hAnsi="Arial"/>
                <w:sz w:val="18"/>
                <w:szCs w:val="18"/>
                <w:color w:val="auto"/>
              </w:rPr>
              <w:t>6.28 %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6.26 %</w:t>
            </w:r>
          </w:p>
        </w:tc>
      </w:tr>
    </w:tbl>
    <w:p>
      <w:pPr>
        <w:spacing w:after="0" w:line="33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table below reconciles the undiscounted cash flows for each of the first five years and total of the remaining years to the operating lease liabilities (which do not include short-term leases) recorded on the condensed consolidated balance sheets as of September 30,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gridSpan w:val="2"/>
          </w:tcPr>
          <w:p>
            <w:pPr>
              <w:jc w:val="right"/>
              <w:ind w:right="370"/>
              <w:spacing w:after="0"/>
              <w:rPr>
                <w:sz w:val="20"/>
                <w:szCs w:val="20"/>
                <w:color w:val="auto"/>
              </w:rPr>
            </w:pPr>
            <w:r>
              <w:rPr>
                <w:rFonts w:ascii="Arial" w:cs="Arial" w:eastAsia="Arial" w:hAnsi="Arial"/>
                <w:sz w:val="18"/>
                <w:szCs w:val="18"/>
                <w:color w:val="auto"/>
              </w:rPr>
              <w:t>(amounts 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2021</w:t>
            </w: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2022</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2023</w:t>
            </w: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2024</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Thereafter</w:t>
            </w:r>
          </w:p>
        </w:tc>
        <w:tc>
          <w:tcPr>
            <w:tcW w:w="16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minimum lease payments</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amount of lease payments representing interest</w:t>
            </w:r>
          </w:p>
        </w:tc>
        <w:tc>
          <w:tcPr>
            <w:tcW w:w="16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Present value of future minimum lease payments</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current lease obligations</w:t>
            </w:r>
          </w:p>
        </w:tc>
        <w:tc>
          <w:tcPr>
            <w:tcW w:w="16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lease obligations</w:t>
            </w:r>
          </w:p>
        </w:tc>
        <w:tc>
          <w:tcPr>
            <w:tcW w:w="16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84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gridSpan w:val="2"/>
          </w:tcPr>
          <w:p>
            <w:pPr>
              <w:spacing w:after="0"/>
              <w:rPr>
                <w:sz w:val="20"/>
                <w:szCs w:val="20"/>
                <w:color w:val="auto"/>
              </w:rPr>
            </w:pPr>
            <w:r>
              <w:rPr>
                <w:rFonts w:ascii="Arial" w:cs="Arial" w:eastAsia="Arial" w:hAnsi="Arial"/>
                <w:sz w:val="18"/>
                <w:szCs w:val="18"/>
                <w:color w:val="auto"/>
              </w:rPr>
              <w:t>The table below provides information regarding supplemental cash flows:</w:t>
            </w: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Nine Months Ended</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1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800" w:type="dxa"/>
            <w:vAlign w:val="bottom"/>
          </w:tcPr>
          <w:p>
            <w:pPr>
              <w:ind w:left="80"/>
              <w:spacing w:after="0" w:line="176" w:lineRule="exact"/>
              <w:rPr>
                <w:sz w:val="20"/>
                <w:szCs w:val="20"/>
                <w:color w:val="auto"/>
              </w:rPr>
            </w:pPr>
            <w:r>
              <w:rPr>
                <w:rFonts w:ascii="Arial" w:cs="Arial" w:eastAsia="Arial" w:hAnsi="Arial"/>
                <w:sz w:val="18"/>
                <w:szCs w:val="18"/>
                <w:color w:val="auto"/>
              </w:rPr>
              <w:t>Cash paid for amounts included in the measurement of operating lease</w:t>
            </w:r>
          </w:p>
        </w:tc>
        <w:tc>
          <w:tcPr>
            <w:tcW w:w="1660" w:type="dxa"/>
            <w:vAlign w:val="bottom"/>
            <w:vMerge w:val="restart"/>
          </w:tcPr>
          <w:p>
            <w:pPr>
              <w:jc w:val="right"/>
              <w:ind w:right="14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210"/>
              <w:spacing w:after="0"/>
              <w:rPr>
                <w:sz w:val="20"/>
                <w:szCs w:val="20"/>
                <w:color w:val="auto"/>
              </w:rPr>
            </w:pPr>
            <w:r>
              <w:rPr>
                <w:rFonts w:ascii="Arial" w:cs="Arial" w:eastAsia="Arial" w:hAnsi="Arial"/>
                <w:sz w:val="18"/>
                <w:szCs w:val="18"/>
                <w:color w:val="auto"/>
              </w:rPr>
              <w:t>5,404</w:t>
            </w:r>
          </w:p>
        </w:tc>
        <w:tc>
          <w:tcPr>
            <w:tcW w:w="940" w:type="dxa"/>
            <w:vAlign w:val="bottom"/>
            <w:vMerge w:val="restart"/>
          </w:tcPr>
          <w:p>
            <w:pPr>
              <w:jc w:val="right"/>
              <w:ind w:right="730"/>
              <w:spacing w:after="0"/>
              <w:rPr>
                <w:sz w:val="20"/>
                <w:szCs w:val="20"/>
                <w:color w:val="auto"/>
              </w:rPr>
            </w:pPr>
            <w:r>
              <w:rPr>
                <w:rFonts w:ascii="Arial" w:cs="Arial" w:eastAsia="Arial" w:hAnsi="Arial"/>
                <w:sz w:val="18"/>
                <w:szCs w:val="18"/>
                <w:color w:val="auto"/>
                <w:w w:val="99"/>
              </w:rPr>
              <w:t>$</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5,619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tcPr>
          <w:p>
            <w:pPr>
              <w:ind w:left="80"/>
              <w:spacing w:after="0"/>
              <w:rPr>
                <w:sz w:val="20"/>
                <w:szCs w:val="20"/>
                <w:color w:val="auto"/>
              </w:rPr>
            </w:pPr>
            <w:r>
              <w:rPr>
                <w:rFonts w:ascii="Arial" w:cs="Arial" w:eastAsia="Arial" w:hAnsi="Arial"/>
                <w:sz w:val="18"/>
                <w:szCs w:val="18"/>
                <w:color w:val="auto"/>
              </w:rPr>
              <w:t>liabilities</w:t>
            </w:r>
          </w:p>
        </w:tc>
        <w:tc>
          <w:tcPr>
            <w:tcW w:w="16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Right-of-use assets acquired under operating lease</w:t>
            </w:r>
          </w:p>
        </w:tc>
        <w:tc>
          <w:tcPr>
            <w:tcW w:w="16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915</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95"/>
        </w:trPr>
        <w:tc>
          <w:tcPr>
            <w:tcW w:w="5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660" w:type="dxa"/>
            <w:vAlign w:val="bottom"/>
          </w:tcPr>
          <w:p>
            <w:pPr>
              <w:spacing w:after="0"/>
              <w:rPr>
                <w:sz w:val="24"/>
                <w:szCs w:val="24"/>
                <w:color w:val="auto"/>
              </w:rPr>
            </w:pPr>
          </w:p>
        </w:tc>
      </w:tr>
      <w:tr>
        <w:trPr>
          <w:trHeight w:val="234"/>
        </w:trPr>
        <w:tc>
          <w:tcPr>
            <w:tcW w:w="584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1660" w:type="dxa"/>
            <w:vAlign w:val="bottom"/>
            <w:tcBorders>
              <w:bottom w:val="single" w:sz="8" w:color="auto"/>
            </w:tcBorders>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2019</w:t>
            </w:r>
          </w:p>
        </w:tc>
      </w:tr>
      <w:tr>
        <w:trPr>
          <w:trHeight w:val="223"/>
        </w:trPr>
        <w:tc>
          <w:tcPr>
            <w:tcW w:w="5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66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Amounts Included in Condensed Consolidated Statements of Operations:</w:t>
            </w:r>
          </w:p>
        </w:tc>
        <w:tc>
          <w:tcPr>
            <w:tcW w:w="1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Operating lease expense</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1,006</w:t>
            </w:r>
          </w:p>
        </w:tc>
        <w:tc>
          <w:tcPr>
            <w:tcW w:w="1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1,646</w:t>
            </w:r>
          </w:p>
        </w:tc>
      </w:tr>
      <w:tr>
        <w:trPr>
          <w:trHeight w:val="229"/>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lease expense</w:t>
            </w:r>
          </w:p>
        </w:tc>
        <w:tc>
          <w:tcPr>
            <w:tcW w:w="16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1,077</w:t>
            </w:r>
          </w:p>
        </w:tc>
        <w:tc>
          <w:tcPr>
            <w:tcW w:w="1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Variable and other lease costs</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444</w:t>
            </w:r>
          </w:p>
        </w:tc>
        <w:tc>
          <w:tcPr>
            <w:tcW w:w="1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494"/>
        </w:trPr>
        <w:tc>
          <w:tcPr>
            <w:tcW w:w="5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Nine Months Ended</w:t>
            </w:r>
          </w:p>
        </w:tc>
        <w:tc>
          <w:tcPr>
            <w:tcW w:w="1660" w:type="dxa"/>
            <w:vAlign w:val="bottom"/>
          </w:tcPr>
          <w:p>
            <w:pPr>
              <w:spacing w:after="0"/>
              <w:rPr>
                <w:sz w:val="24"/>
                <w:szCs w:val="24"/>
                <w:color w:val="auto"/>
              </w:rPr>
            </w:pPr>
          </w:p>
        </w:tc>
      </w:tr>
      <w:tr>
        <w:trPr>
          <w:trHeight w:val="234"/>
        </w:trPr>
        <w:tc>
          <w:tcPr>
            <w:tcW w:w="584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1660" w:type="dxa"/>
            <w:vAlign w:val="bottom"/>
            <w:tcBorders>
              <w:bottom w:val="single" w:sz="8" w:color="auto"/>
            </w:tcBorders>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2019</w:t>
            </w:r>
          </w:p>
        </w:tc>
      </w:tr>
      <w:tr>
        <w:trPr>
          <w:trHeight w:val="223"/>
        </w:trPr>
        <w:tc>
          <w:tcPr>
            <w:tcW w:w="5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660" w:type="dxa"/>
            <w:vAlign w:val="bottom"/>
          </w:tcPr>
          <w:p>
            <w:pPr>
              <w:spacing w:after="0"/>
              <w:rPr>
                <w:sz w:val="19"/>
                <w:szCs w:val="19"/>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Amounts Included in Condensed Consolidated Statements of Operations:</w:t>
            </w:r>
          </w:p>
        </w:tc>
        <w:tc>
          <w:tcPr>
            <w:tcW w:w="1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5840" w:type="dxa"/>
            <w:vAlign w:val="bottom"/>
          </w:tcPr>
          <w:p>
            <w:pPr>
              <w:ind w:left="120"/>
              <w:spacing w:after="0"/>
              <w:rPr>
                <w:sz w:val="20"/>
                <w:szCs w:val="20"/>
                <w:color w:val="auto"/>
              </w:rPr>
            </w:pPr>
            <w:r>
              <w:rPr>
                <w:rFonts w:ascii="Arial" w:cs="Arial" w:eastAsia="Arial" w:hAnsi="Arial"/>
                <w:sz w:val="18"/>
                <w:szCs w:val="18"/>
                <w:color w:val="auto"/>
              </w:rPr>
              <w:t>Operating lease expense</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3,946</w:t>
            </w:r>
          </w:p>
        </w:tc>
        <w:tc>
          <w:tcPr>
            <w:tcW w:w="1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5,038</w:t>
            </w:r>
          </w:p>
        </w:tc>
      </w:tr>
      <w:tr>
        <w:trPr>
          <w:trHeight w:val="230"/>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lease expense</w:t>
            </w:r>
          </w:p>
        </w:tc>
        <w:tc>
          <w:tcPr>
            <w:tcW w:w="16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4,373</w:t>
            </w:r>
          </w:p>
        </w:tc>
        <w:tc>
          <w:tcPr>
            <w:tcW w:w="1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Variable and other lease costs</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1,490</w:t>
            </w:r>
          </w:p>
        </w:tc>
        <w:tc>
          <w:tcPr>
            <w:tcW w:w="1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1,975</w:t>
            </w:r>
          </w:p>
        </w:tc>
      </w:tr>
    </w:tbl>
    <w:p>
      <w:pPr>
        <w:spacing w:after="0" w:line="33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Operating lease expense, short-term lease expense, and variable and other lease costs are included in selling, general and administrative expenses, direct operating expenses, and restructuring costs in the condensed consolidated statements of operations, depending on the nature of the leased asset. Operating lease expense is reported net of sublease income, which is not material.</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September 30, 2020, the Company does not have any material operating leases which have not yet commenced. The Company has an immaterial amount of finance lease contracts related to other equipment rentals which are not included in the above disclosures.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financial assets/liabilities required to be measured on a recurring basis were its: (1) deferred compensation asset included in other non-current assets; (2) deferred compensation liability included in other long-term liabilities; and (3) contingent consideration liabilities included as other current liabilities and contingent consideration on its condensed consolidated balance sheets.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right="82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9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Contingent consideration liabilities</w:t>
      </w:r>
      <w:r>
        <w:rPr>
          <w:rFonts w:ascii="Arial" w:cs="Arial" w:eastAsia="Arial" w:hAnsi="Arial"/>
          <w:sz w:val="16"/>
          <w:szCs w:val="16"/>
          <w:color w:val="auto"/>
        </w:rPr>
        <w:t>—Potential earnout payments related to the acquisition of Mediscan were contingent upon meeting certain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through 2019. As of December 31, 2019, the long-term portion of these liabilities has been included in contingent consideration, and the short-term portion is included in other current liabilities on the condensed consolidated balance sheets. The Company utilized Level 3 inputs to value these contingent consideration liabilities as significant unobservable inputs were used in the calculation of their fair value. As of December 31, 2019, due to the end of the earnout period, the Company measured the fair value of the liability based on the expected payout related to its Mediscan acquisition.</w:t>
      </w:r>
    </w:p>
    <w:p>
      <w:pPr>
        <w:spacing w:after="0" w:line="18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the first quarter of 2020, the total earnout amounts related to 2019 of $7.4 million was determined, and $0.1 million was paid by the Company. The remaining $7.3 million was documented as a subordinated promissory note payable and is included in other current and other long-term liabilities on the condensed consolidated balance sheets which is not measured at fair value on a recurring basis. See Note 7 -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Company’s financial assets and liabilities measured on a recurring basis is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Fair Value Measurements</w:t>
            </w: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September 30, 2020</w:t>
            </w: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2019</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gridSpan w:val="4"/>
          </w:tcPr>
          <w:p>
            <w:pPr>
              <w:jc w:val="right"/>
              <w:ind w:right="145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233"/>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20"/>
                <w:szCs w:val="20"/>
                <w:color w:val="auto"/>
              </w:rPr>
            </w:pPr>
            <w:r>
              <w:rPr>
                <w:rFonts w:ascii="Arial" w:cs="Arial" w:eastAsia="Arial" w:hAnsi="Arial"/>
                <w:sz w:val="16"/>
                <w:szCs w:val="16"/>
                <w:b w:val="1"/>
                <w:bCs w:val="1"/>
                <w:color w:val="auto"/>
              </w:rPr>
              <w:t>(Level 1)</w:t>
            </w: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asset</w:t>
            </w:r>
          </w:p>
        </w:tc>
        <w:tc>
          <w:tcPr>
            <w:tcW w:w="3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60" w:type="dxa"/>
            <w:vAlign w:val="bottom"/>
            <w:vMerge w:val="continue"/>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(Level 1)</w:t>
            </w:r>
          </w:p>
        </w:tc>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0"/>
              <w:spacing w:after="0" w:line="202" w:lineRule="exact"/>
              <w:rPr>
                <w:sz w:val="20"/>
                <w:szCs w:val="20"/>
                <w:color w:val="auto"/>
              </w:rPr>
            </w:pPr>
            <w:r>
              <w:rPr>
                <w:rFonts w:ascii="Arial" w:cs="Arial" w:eastAsia="Arial" w:hAnsi="Arial"/>
                <w:sz w:val="18"/>
                <w:szCs w:val="18"/>
                <w:color w:val="auto"/>
              </w:rPr>
              <w:t>Deferred compensation liability</w:t>
            </w:r>
          </w:p>
        </w:tc>
        <w:tc>
          <w:tcPr>
            <w:tcW w:w="3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2,249</w:t>
            </w:r>
          </w:p>
        </w:tc>
        <w:tc>
          <w:tcPr>
            <w:tcW w:w="2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(Level 3)</w:t>
            </w:r>
          </w:p>
        </w:tc>
        <w:tc>
          <w:tcPr>
            <w:tcW w:w="2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0"/>
              <w:spacing w:after="0"/>
              <w:rPr>
                <w:sz w:val="20"/>
                <w:szCs w:val="20"/>
                <w:color w:val="auto"/>
              </w:rPr>
            </w:pPr>
            <w:r>
              <w:rPr>
                <w:rFonts w:ascii="Arial" w:cs="Arial" w:eastAsia="Arial" w:hAnsi="Arial"/>
                <w:sz w:val="18"/>
                <w:szCs w:val="18"/>
                <w:color w:val="auto"/>
              </w:rPr>
              <w:t>Contingent consideration liabilities</w:t>
            </w:r>
          </w:p>
        </w:tc>
        <w:tc>
          <w:tcPr>
            <w:tcW w:w="3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opening balances of contingent consideration liabilities are reconciled to the closing balances for fair value measurements of these liabilities categorized within Level 3 of the fair value hierarchy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Contingent Consideration</w:t>
            </w:r>
          </w:p>
        </w:tc>
        <w:tc>
          <w:tcPr>
            <w:tcW w:w="1580" w:type="dxa"/>
            <w:vAlign w:val="bottom"/>
          </w:tcPr>
          <w:p>
            <w:pPr>
              <w:spacing w:after="0"/>
              <w:rPr>
                <w:sz w:val="19"/>
                <w:szCs w:val="19"/>
                <w:color w:val="auto"/>
              </w:rPr>
            </w:pPr>
          </w:p>
        </w:tc>
      </w:tr>
      <w:tr>
        <w:trPr>
          <w:trHeight w:val="234"/>
        </w:trPr>
        <w:tc>
          <w:tcPr>
            <w:tcW w:w="58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Liabilities</w:t>
            </w:r>
          </w:p>
        </w:tc>
        <w:tc>
          <w:tcPr>
            <w:tcW w:w="1580" w:type="dxa"/>
            <w:vAlign w:val="bottom"/>
            <w:tcBorders>
              <w:bottom w:val="single" w:sz="8" w:color="auto"/>
            </w:tcBorders>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2019</w:t>
            </w:r>
          </w:p>
        </w:tc>
      </w:tr>
      <w:tr>
        <w:trPr>
          <w:trHeight w:val="207"/>
        </w:trPr>
        <w:tc>
          <w:tcPr>
            <w:tcW w:w="5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40" w:type="dxa"/>
            <w:vAlign w:val="bottom"/>
            <w:gridSpan w:val="3"/>
          </w:tcPr>
          <w:p>
            <w:pPr>
              <w:jc w:val="center"/>
              <w:spacing w:after="0"/>
              <w:rPr>
                <w:sz w:val="20"/>
                <w:szCs w:val="20"/>
                <w:color w:val="auto"/>
              </w:rPr>
            </w:pPr>
            <w:r>
              <w:rPr>
                <w:rFonts w:ascii="Arial" w:cs="Arial" w:eastAsia="Arial" w:hAnsi="Arial"/>
                <w:sz w:val="16"/>
                <w:szCs w:val="16"/>
                <w:color w:val="auto"/>
                <w:w w:val="90"/>
              </w:rPr>
              <w:t>(amounts in thousands)</w:t>
            </w:r>
          </w:p>
        </w:tc>
        <w:tc>
          <w:tcPr>
            <w:tcW w:w="1580" w:type="dxa"/>
            <w:vAlign w:val="bottom"/>
          </w:tcPr>
          <w:p>
            <w:pPr>
              <w:spacing w:after="0"/>
              <w:rPr>
                <w:sz w:val="17"/>
                <w:szCs w:val="17"/>
                <w:color w:val="auto"/>
              </w:rPr>
            </w:pPr>
          </w:p>
        </w:tc>
      </w:tr>
      <w:tr>
        <w:trPr>
          <w:trHeight w:val="232"/>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58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w:t>
            </w: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Payments</w:t>
            </w: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Accretion expense</w:t>
            </w:r>
          </w:p>
        </w:tc>
        <w:tc>
          <w:tcPr>
            <w:tcW w:w="15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Valuation adjustment</w:t>
            </w: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to other current and long-term liabilities</w:t>
            </w:r>
          </w:p>
        </w:tc>
        <w:tc>
          <w:tcPr>
            <w:tcW w:w="1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2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7,836</w:t>
            </w:r>
          </w:p>
        </w:tc>
      </w:tr>
      <w:tr>
        <w:trPr>
          <w:trHeight w:val="229"/>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Accretion expense</w:t>
            </w:r>
          </w:p>
        </w:tc>
        <w:tc>
          <w:tcPr>
            <w:tcW w:w="15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Balance at June 30</w:t>
            </w:r>
          </w:p>
        </w:tc>
        <w:tc>
          <w:tcPr>
            <w:tcW w:w="1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8,089</w:t>
            </w:r>
          </w:p>
        </w:tc>
      </w:tr>
      <w:tr>
        <w:trPr>
          <w:trHeight w:val="230"/>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15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Valuation adjustment</w:t>
            </w:r>
          </w:p>
        </w:tc>
        <w:tc>
          <w:tcPr>
            <w:tcW w:w="15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48"/>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w:t>
            </w:r>
          </w:p>
        </w:tc>
        <w:tc>
          <w:tcPr>
            <w:tcW w:w="1580" w:type="dxa"/>
            <w:vAlign w:val="bottom"/>
            <w:tcBorders>
              <w:top w:val="single" w:sz="8" w:color="auto"/>
              <w:bottom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2020, the Company recorded a customer list impairment charge related to the Nurse and Allied Staffing reporting unit. The nine months ended September 30, 2020 included impairment charges to goodwill and other intangible assets related to the Search reporting unit and impairment to right-of-use assets along with related property and equipment in connection with leases that were vacated during the year. Accordingly, as of September 30, 2020, these assets were recorded at fair value using Level 3 inputs. See Note 6 - Goodwill, Trade Names, and Other Intangible Assets and Note 8 - Leases for more information about these fair value measurements.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The Company’s note payable is included in other current and long-term liabilities on the condensed consolidated balance sheets. Due to its relatively short-term nature, the carrying value of the note payable approximates its fair value. The carrying amount of the Company's ABL approximates fair value because the interest rates are variable and reflective of market rates.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September 30, 2020</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 2019</w:t>
            </w:r>
          </w:p>
        </w:tc>
        <w:tc>
          <w:tcPr>
            <w:tcW w:w="1080" w:type="dxa"/>
            <w:vAlign w:val="bottom"/>
            <w:tcBorders>
              <w:bottom w:val="single" w:sz="8" w:color="auto"/>
            </w:tcBorders>
          </w:tcPr>
          <w:p>
            <w:pPr>
              <w:spacing w:after="0"/>
              <w:rPr>
                <w:sz w:val="20"/>
                <w:szCs w:val="20"/>
                <w:color w:val="auto"/>
              </w:rPr>
            </w:pPr>
          </w:p>
        </w:tc>
      </w:tr>
      <w:tr>
        <w:trPr>
          <w:trHeight w:val="169"/>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Carrying</w:t>
            </w:r>
          </w:p>
        </w:tc>
        <w:tc>
          <w:tcPr>
            <w:tcW w:w="1040" w:type="dxa"/>
            <w:vAlign w:val="bottom"/>
          </w:tcPr>
          <w:p>
            <w:pPr>
              <w:jc w:val="center"/>
              <w:ind w:left="570"/>
              <w:spacing w:after="0" w:line="169" w:lineRule="exact"/>
              <w:rPr>
                <w:sz w:val="20"/>
                <w:szCs w:val="20"/>
                <w:color w:val="auto"/>
              </w:rPr>
            </w:pPr>
            <w:r>
              <w:rPr>
                <w:rFonts w:ascii="Arial" w:cs="Arial" w:eastAsia="Arial" w:hAnsi="Arial"/>
                <w:sz w:val="18"/>
                <w:szCs w:val="18"/>
                <w:b w:val="1"/>
                <w:bCs w:val="1"/>
                <w:color w:val="auto"/>
              </w:rPr>
              <w:t>Fair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Carrying</w:t>
            </w:r>
          </w:p>
        </w:tc>
        <w:tc>
          <w:tcPr>
            <w:tcW w:w="620" w:type="dxa"/>
            <w:vAlign w:val="bottom"/>
          </w:tcPr>
          <w:p>
            <w:pPr>
              <w:spacing w:after="0"/>
              <w:rPr>
                <w:sz w:val="14"/>
                <w:szCs w:val="14"/>
                <w:color w:val="auto"/>
              </w:rPr>
            </w:pPr>
          </w:p>
        </w:tc>
        <w:tc>
          <w:tcPr>
            <w:tcW w:w="1080" w:type="dxa"/>
            <w:vAlign w:val="bottom"/>
          </w:tcPr>
          <w:p>
            <w:pPr>
              <w:jc w:val="right"/>
              <w:ind w:right="590"/>
              <w:spacing w:after="0" w:line="169" w:lineRule="exact"/>
              <w:rPr>
                <w:sz w:val="20"/>
                <w:szCs w:val="20"/>
                <w:color w:val="auto"/>
              </w:rPr>
            </w:pPr>
            <w:r>
              <w:rPr>
                <w:rFonts w:ascii="Arial" w:cs="Arial" w:eastAsia="Arial" w:hAnsi="Arial"/>
                <w:sz w:val="18"/>
                <w:szCs w:val="18"/>
                <w:b w:val="1"/>
                <w:bCs w:val="1"/>
                <w:color w:val="auto"/>
              </w:rPr>
              <w:t>Fair</w:t>
            </w:r>
          </w:p>
        </w:tc>
      </w:tr>
      <w:tr>
        <w:trPr>
          <w:trHeight w:val="230"/>
        </w:trPr>
        <w:tc>
          <w:tcPr>
            <w:tcW w:w="3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7"/>
              </w:rPr>
              <w:t>Value</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7"/>
              </w:rPr>
              <w:t>Value</w:t>
            </w: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78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(amounts in thousands)</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7"/>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3"/>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3820" w:type="dxa"/>
            <w:vAlign w:val="bottom"/>
          </w:tcPr>
          <w:p>
            <w:pPr>
              <w:ind w:left="220"/>
              <w:spacing w:after="0" w:line="203" w:lineRule="exact"/>
              <w:rPr>
                <w:sz w:val="20"/>
                <w:szCs w:val="20"/>
                <w:color w:val="auto"/>
              </w:rPr>
            </w:pPr>
            <w:r>
              <w:rPr>
                <w:rFonts w:ascii="Arial" w:cs="Arial" w:eastAsia="Arial" w:hAnsi="Arial"/>
                <w:sz w:val="18"/>
                <w:szCs w:val="18"/>
                <w:color w:val="auto"/>
              </w:rPr>
              <w:t>Senior Secured Asset-Based Loan</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56,038</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ind w:right="850"/>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56,038</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70,974</w:t>
            </w:r>
          </w:p>
        </w:tc>
        <w:tc>
          <w:tcPr>
            <w:tcW w:w="200" w:type="dxa"/>
            <w:vAlign w:val="bottom"/>
          </w:tcPr>
          <w:p>
            <w:pPr>
              <w:spacing w:after="0"/>
              <w:rPr>
                <w:sz w:val="17"/>
                <w:szCs w:val="17"/>
                <w:color w:val="auto"/>
              </w:rPr>
            </w:pPr>
          </w:p>
        </w:tc>
        <w:tc>
          <w:tcPr>
            <w:tcW w:w="6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70,974</w:t>
            </w:r>
          </w:p>
        </w:tc>
      </w:tr>
      <w:tr>
        <w:trPr>
          <w:trHeight w:val="20"/>
        </w:trPr>
        <w:tc>
          <w:tcPr>
            <w:tcW w:w="3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See discussion of credit losses and allowance for doubtful accounts in Note 3 - Customer Contracts. Overall, based on the large number of customers in differing geographic areas, primarily throughout the United States and its territories, the Company believes the concentration of credit risk is limited.</w:t>
      </w:r>
    </w:p>
    <w:p>
      <w:pPr>
        <w:spacing w:after="0" w:line="120" w:lineRule="exact"/>
        <w:rPr>
          <w:sz w:val="20"/>
          <w:szCs w:val="20"/>
          <w:color w:val="auto"/>
        </w:rPr>
      </w:pPr>
    </w:p>
    <w:p>
      <w:pPr>
        <w:ind w:right="8500" w:firstLine="8"/>
        <w:spacing w:after="0" w:line="503" w:lineRule="auto"/>
        <w:tabs>
          <w:tab w:leader="none" w:pos="40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jc w:val="both"/>
        <w:ind w:right="20"/>
        <w:spacing w:after="0" w:line="263" w:lineRule="auto"/>
        <w:rPr>
          <w:sz w:val="20"/>
          <w:szCs w:val="20"/>
          <w:color w:val="auto"/>
        </w:rPr>
      </w:pPr>
      <w:r>
        <w:rPr>
          <w:rFonts w:ascii="Arial" w:cs="Arial" w:eastAsia="Arial" w:hAnsi="Arial"/>
          <w:sz w:val="18"/>
          <w:szCs w:val="18"/>
          <w:color w:val="auto"/>
        </w:rPr>
        <w:t>During the nine months ended September 30, 2020 and 2019, the Company did not repurchase any shares of its Common Stock. As of September 30, 2020, the Company had 510,004 shares of Common Stock under the current share repurchase program available to repurchase, subject to certain conditions in the Company's Loan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May 19, 2020, the Company's shareholders approved the Cross Country Healthcare, Inc. 2020 Omnibus Incentive Plan (2020 Plan), which replaced the 2017 Omnibus Incentive Plan (2017 Plan), and applies to awards granted after May 19, 2020. The remaining shares under the 2017 Plan were cancelled and no further awards will be granted under that plan. The 2020 Plan generally mirrors the terms of the 2017 Plan, and includes the following provisions:</w:t>
      </w:r>
    </w:p>
    <w:p>
      <w:pPr>
        <w:spacing w:after="0" w:line="2" w:lineRule="exact"/>
        <w:rPr>
          <w:sz w:val="20"/>
          <w:szCs w:val="20"/>
          <w:color w:val="auto"/>
        </w:rPr>
      </w:pPr>
    </w:p>
    <w:p>
      <w:pPr>
        <w:ind w:right="520" w:firstLine="8"/>
        <w:spacing w:after="0" w:line="260"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aggregate share reserve of 3,000,000 shares; (2) annual dollar and share limits of awards granted to employees and consultants, as well as non-employee directors,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right="300"/>
        <w:spacing w:after="0" w:line="277" w:lineRule="auto"/>
        <w:rPr>
          <w:sz w:val="20"/>
          <w:szCs w:val="20"/>
          <w:color w:val="auto"/>
        </w:rPr>
      </w:pPr>
      <w:r>
        <w:rPr>
          <w:rFonts w:ascii="Arial" w:cs="Arial" w:eastAsia="Arial" w:hAnsi="Arial"/>
          <w:sz w:val="18"/>
          <w:szCs w:val="18"/>
          <w:color w:val="auto"/>
        </w:rPr>
        <w:t>based on type of award; (3) awards granted generally will be subject to a minimum one-year vesting schedule; and (4) awards may be granted under the 2020 Plan until March 24, 2030.</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2017 Plan and the 2020 Plan for the nine months ended September 30, 2020:</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40" w:type="dxa"/>
            <w:vAlign w:val="bottom"/>
            <w:gridSpan w:val="5"/>
          </w:tcPr>
          <w:p>
            <w:pPr>
              <w:ind w:left="600"/>
              <w:spacing w:after="0"/>
              <w:rPr>
                <w:sz w:val="20"/>
                <w:szCs w:val="20"/>
                <w:color w:val="auto"/>
              </w:rPr>
            </w:pPr>
            <w:r>
              <w:rPr>
                <w:rFonts w:ascii="Arial" w:cs="Arial" w:eastAsia="Arial" w:hAnsi="Arial"/>
                <w:sz w:val="18"/>
                <w:szCs w:val="18"/>
                <w:b w:val="1"/>
                <w:bCs w:val="1"/>
                <w:color w:val="auto"/>
              </w:rPr>
              <w:t>Restricted Stock Awards</w:t>
            </w:r>
          </w:p>
        </w:tc>
        <w:tc>
          <w:tcPr>
            <w:tcW w:w="31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7"/>
              </w:rPr>
              <w:t>Average</w:t>
            </w: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Number of Target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awards, January 1,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364,557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9"/>
        </w:trPr>
        <w:tc>
          <w:tcPr>
            <w:tcW w:w="4820" w:type="dxa"/>
            <w:vAlign w:val="bottom"/>
          </w:tcPr>
          <w:p>
            <w:pPr>
              <w:ind w:left="10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829,023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286,415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(404,478)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(35,234)</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(70,113)</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awards, September 30,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1,386,105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580,859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Restricted stock awards granted under the Company’s 2020 Plan entitle the holder to receive, at the end of a vesting period, a specified number of shares of the Company’s common stock. Share-based compensation expense is measured by the market value of the Company’s stock on the date of grant.</w:t>
      </w:r>
    </w:p>
    <w:p>
      <w:pPr>
        <w:spacing w:after="0" w:line="15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Awards granted to non-employee directors under the 2017 Plan prior to the June 2020 grant vest in three equal installments on the first, second and third anniversaries of the grant date, while restricted shares granted under the 2020 Plan in June 2020 will vest on the first anniversary of such grant date, or earlier subject to retirement eligibility. In addition, effective in the three months ended June 30, 2020, the Company implemented modified guidelines that provide for accelerated vesting of restricted stock grants on the last date of service when a retirement-eligible director retires.</w:t>
      </w:r>
    </w:p>
    <w:p>
      <w:pPr>
        <w:spacing w:after="0" w:line="18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Pursuant to the 2017 Plan, the number of target shares that are issued for performance-based stock awards are determined based on the level of attainment of the targets. In the first quarter of 2020, it was determined that the performance stock awards that were granted in 2017 were not earned and, accordingly, those shares were forfeited.</w:t>
      </w:r>
    </w:p>
    <w:p>
      <w:pPr>
        <w:spacing w:after="0" w:line="211"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During the three and nine months ended September 30, 2020, $1.1 million and $4.1 million, respectively, was included in selling, general and administrative expenses related to share-based payments, and a net of 2,576 and 306,550 shares, respectively, of Common Stock were issued upon the vesting of restricted stock.</w:t>
      </w:r>
    </w:p>
    <w:p>
      <w:pPr>
        <w:spacing w:after="0" w:line="20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During the three and nine months ended September 30, 2019, $1.0 million and $2.5 million, respectively, was included in selling, general and administrative expenses related to share-based payments, and a net of 5,233 and 230,986 shares, respectively, of Common Stock were issued upon the vesting of restricted stock.</w:t>
      </w:r>
    </w:p>
    <w:p>
      <w:pPr>
        <w:spacing w:after="0" w:line="207"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the Company reports three business segments – Nurse and Allied Staffing, Physician Staffing, and Search. The Company manages and segments its business based on the services it offers to its customers as described below:</w:t>
      </w:r>
    </w:p>
    <w:p>
      <w:pPr>
        <w:spacing w:after="0" w:line="151" w:lineRule="exact"/>
        <w:rPr>
          <w:sz w:val="20"/>
          <w:szCs w:val="20"/>
          <w:color w:val="auto"/>
        </w:rPr>
      </w:pPr>
    </w:p>
    <w:p>
      <w:pPr>
        <w:ind w:left="660" w:right="40" w:hanging="328"/>
        <w:spacing w:after="0" w:line="257" w:lineRule="auto"/>
        <w:tabs>
          <w:tab w:leader="none" w:pos="62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recruiting, and value-added total talent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managed services programs (MSP) services, education healthcare services, and outsourcing services. Its clients include: public and private acute-care and non-acute care hospitals, government facilities, public schools and charter schools, outpatient clinics, ambulatory care facilities, physician practice groups, retailers, and many other healthcare providers throughout the United States.</w:t>
      </w:r>
    </w:p>
    <w:p>
      <w:pPr>
        <w:spacing w:after="0" w:line="214" w:lineRule="exact"/>
        <w:rPr>
          <w:rFonts w:ascii="Arial" w:cs="Arial" w:eastAsia="Arial" w:hAnsi="Arial"/>
          <w:sz w:val="18"/>
          <w:szCs w:val="18"/>
          <w:color w:val="auto"/>
        </w:rPr>
      </w:pPr>
    </w:p>
    <w:p>
      <w:pPr>
        <w:ind w:left="660" w:right="340" w:hanging="328"/>
        <w:spacing w:after="0" w:line="311" w:lineRule="auto"/>
        <w:tabs>
          <w:tab w:leader="none" w:pos="62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nurse</w:t>
      </w:r>
      <w:r>
        <w:rPr>
          <w:rFonts w:ascii="Arial" w:cs="Arial" w:eastAsia="Arial" w:hAnsi="Arial"/>
          <w:sz w:val="16"/>
          <w:szCs w:val="16"/>
          <w:i w:val="1"/>
          <w:iCs w:val="1"/>
          <w:color w:val="auto"/>
        </w:rPr>
        <w:t xml:space="preserve"> </w:t>
      </w:r>
      <w:r>
        <w:rPr>
          <w:rFonts w:ascii="Arial" w:cs="Arial" w:eastAsia="Arial" w:hAnsi="Arial"/>
          <w:sz w:val="16"/>
          <w:szCs w:val="16"/>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left="660" w:right="120" w:hanging="328"/>
        <w:spacing w:after="0" w:line="277" w:lineRule="auto"/>
        <w:tabs>
          <w:tab w:leader="none" w:pos="62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Search </w:t>
      </w:r>
      <w:r>
        <w:rPr>
          <w:rFonts w:ascii="Arial" w:cs="Arial" w:eastAsia="Arial" w:hAnsi="Arial"/>
          <w:sz w:val="18"/>
          <w:szCs w:val="18"/>
          <w:color w:val="auto"/>
        </w:rPr>
        <w:t>– Search includes retained and contingent search services for physicians, healthcare executives, and other healthcare professionals,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recruitment process outsourcing.</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evaluates performance of each segment primarily based on revenue and contribution income. The Company defines contribution income as income or loss from operations before depreciation and amortization, acquisition and integration-related costs, restructuring costs, legal settlement charges, impairment charges, and corporate overhead. Contribution income is a financial measure used by the Company when assessing segment performance and is provided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loss from operations for the periods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4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9"/>
                <w:szCs w:val="19"/>
                <w:color w:val="auto"/>
              </w:rPr>
            </w:pPr>
          </w:p>
        </w:tc>
        <w:tc>
          <w:tcPr>
            <w:tcW w:w="274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w w:val="99"/>
              </w:rPr>
              <w:t>2019</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2019</w:t>
            </w:r>
          </w:p>
        </w:tc>
      </w:tr>
      <w:tr>
        <w:trPr>
          <w:trHeight w:val="207"/>
        </w:trPr>
        <w:tc>
          <w:tcPr>
            <w:tcW w:w="4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(amounts 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175,244</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184,974</w:t>
            </w:r>
          </w:p>
        </w:tc>
        <w:tc>
          <w:tcPr>
            <w:tcW w:w="24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561,575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541,398</w:t>
            </w:r>
          </w:p>
        </w:tc>
      </w:tr>
      <w:tr>
        <w:trPr>
          <w:trHeight w:val="229"/>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20,407</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54,594</w:t>
            </w:r>
          </w:p>
        </w:tc>
      </w:tr>
      <w:tr>
        <w:trPr>
          <w:trHeight w:val="229"/>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Search</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11,136</w:t>
            </w:r>
          </w:p>
        </w:tc>
      </w:tr>
      <w:tr>
        <w:trPr>
          <w:trHeight w:val="248"/>
        </w:trPr>
        <w:tc>
          <w:tcPr>
            <w:tcW w:w="4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209,200</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620,811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607,128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income (loss):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18,233</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16,097</w:t>
            </w:r>
          </w:p>
        </w:tc>
        <w:tc>
          <w:tcPr>
            <w:tcW w:w="24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53,028</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46,504</w:t>
            </w:r>
          </w:p>
        </w:tc>
      </w:tr>
      <w:tr>
        <w:trPr>
          <w:trHeight w:val="229"/>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30"/>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Search</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23"/>
        </w:trPr>
        <w:tc>
          <w:tcPr>
            <w:tcW w:w="4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w:t>
            </w:r>
          </w:p>
        </w:tc>
      </w:tr>
      <w:tr>
        <w:trPr>
          <w:trHeight w:val="257"/>
        </w:trPr>
        <w:tc>
          <w:tcPr>
            <w:tcW w:w="4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overhead (a)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34,744</w:t>
            </w:r>
          </w:p>
        </w:tc>
      </w:tr>
      <w:tr>
        <w:trPr>
          <w:trHeight w:val="229"/>
        </w:trPr>
        <w:tc>
          <w:tcPr>
            <w:tcW w:w="42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2,907</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9,448</w:t>
            </w:r>
          </w:p>
        </w:tc>
      </w:tr>
      <w:tr>
        <w:trPr>
          <w:trHeight w:val="230"/>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1,607</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2,884</w:t>
            </w:r>
          </w:p>
        </w:tc>
      </w:tr>
      <w:tr>
        <w:trPr>
          <w:trHeight w:val="230"/>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Legal settlement charges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29"/>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16,306</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right="80" w:firstLine="8"/>
        <w:spacing w:after="0" w:line="277"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tabs>
          <w:tab w:leader="none" w:pos="400" w:val="left"/>
        </w:tabs>
        <w:rPr>
          <w:sz w:val="20"/>
          <w:szCs w:val="20"/>
          <w:color w:val="auto"/>
        </w:rPr>
      </w:pPr>
      <w:r>
        <w:rPr>
          <w:rFonts w:ascii="Arial" w:cs="Arial" w:eastAsia="Arial" w:hAnsi="Arial"/>
          <w:sz w:val="18"/>
          <w:szCs w:val="18"/>
          <w:b w:val="1"/>
          <w:bCs w:val="1"/>
          <w:color w:val="auto"/>
        </w:rPr>
        <w:t>12.</w:t>
        <w:tab/>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and Other Reserves</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For these matters, the Company has established a liability of $1.2 million as of September 30, 2020.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In October 2019, the Company received a grand jury subpoena directed to Advantage On Call whose assets were purchased by Cross Country Healthcare, Inc. in 2017. The subpoena relates to an investigation of healthcare staffing services. The Company has communicated with authorities, provided requested documents, and continues to cooperate with the investigation. The Company believes the outcome of any outstanding loss contingencies as of September 30, 2020 will not have a material adverse effect on its business, financial condition, results of operations, or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the liability is reflected in sales tax payable within other current liabilities as of September 30, 2020 and December 31, 2019, in its condensed consolidated balance sheets.</w:t>
      </w:r>
    </w:p>
    <w:p>
      <w:pPr>
        <w:spacing w:after="0" w:line="20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INCOME TAXES</w:t>
      </w:r>
    </w:p>
    <w:p>
      <w:pPr>
        <w:spacing w:after="0" w:line="229"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 xml:space="preserve">For the three and nine months ended September 30, 2020 and 2019, the Company calculated its effective tax rate based on year-to-date results, pursuant to the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of the FASB ASC. The Company’s effective tax rate for the three and nine months ended September 30, 2020 was negative 17.2% and 0.2%, respectively, including the impact of discrete items. Excluding discrete items, the Company's effective tax rate for the three and nine months ended September 30, 2020 was negative 18.6% and negative 3.2%, respectively. The Company’s effective tax rate for the three and nine months ended September 30, 2019 was negative 3.6% and negative 135.5%, respectively, including the impact of discrete items. Excluding discrete items, the Company’s effective tax rate for the three and nine months ended September 30, 2019 was negative 7.0% and 2.6%, respectively.</w:t>
      </w:r>
    </w:p>
    <w:p>
      <w:pPr>
        <w:spacing w:after="0" w:line="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result of the Company's valuation allowance on substantially all of its domestic deferred tax assets, income tax expense for the three months ended September 30, 2020 and 2019 was primarily impacted by international and state taxes. Income tax expense for the nine months ended September 30, 2020 and 2019 was further impacted by the impairment of indefinite-lived intangibles. Lastly, income tax expense for the nine months ended September 30, 2019 was impacted by the additional valuation allowance recorded in the second quarter of 2019.</w:t>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second quarter of 2019, management assessed the available positive and negative evidence to estimate whether sufficient future taxable income would be generated to permit use of the Company's existing deferred tax assets. A significant piece of objective negative evidence evaluated was the cumulative loss incurred over the three-year period ended June 30, 2019. On the basis of this evaluation, an additional valuation allowance of $36.0 million was recorded, of which $35.8 million was recorded as income tax expense and $0.2 million as a reduction of other comprehensive income, to reduce the portion of the deferred tax asset that was not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ind w:right="60"/>
        <w:spacing w:after="0" w:line="259" w:lineRule="auto"/>
        <w:rPr>
          <w:sz w:val="20"/>
          <w:szCs w:val="20"/>
          <w:color w:val="auto"/>
        </w:rPr>
      </w:pPr>
      <w:r>
        <w:rPr>
          <w:rFonts w:ascii="Arial" w:cs="Arial" w:eastAsia="Arial" w:hAnsi="Arial"/>
          <w:sz w:val="18"/>
          <w:szCs w:val="18"/>
          <w:color w:val="auto"/>
        </w:rPr>
        <w:t>The Coronavirus Aid, Relief and Economic Security Act, also known as the CARES Act, was signed into law on March 27, 2020. Among other things, the CARES Act provided for an immediate refund of Alternative Minimum Tax credits as compared to the 2017 Tax Act’s scheduled refunds through 2021. Accordingly, an additional $0.3 million is presented as a current income tax receivable within other current assets in the condensed consolidated balance sheets as of September 30, 2020.</w:t>
      </w:r>
    </w:p>
    <w:p>
      <w:pPr>
        <w:spacing w:after="0" w:line="21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Company intends to maintain a valuation allowance until sufficient positive evidence exists to support its reversal. As of September 30, 2020 and December 31, 2019, the Company had a valuation allowance of $39.5 million and $37.3 million, respectively. The valuation allowance applied to all domestic deferred tax assets other than certain deferred tax assets expected to be realized.</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September 30, 2020, the Company had approximately $0.9 million of unrecognized tax benefits included in other long-term liabilities, $6.8 million, net of deferred taxes, which would affect the effective tax rate if recognized. During the three months ended September 30, 2020, the Company increased its unrecognized tax benefits by $0.2 million. For the nine months ended September 30, 2020, the Company had a gross increase of $0.9 million to its current year unrecognized tax benefits related to federal and state tax provisions.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tax years 2012 through 2019 remain open to examination by certain taxing jurisdictions to which the Company is subject to tax.</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RELATED PARTY TRANSACTIONS</w:t>
      </w:r>
    </w:p>
    <w:p>
      <w:pPr>
        <w:spacing w:after="0" w:line="25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Company has a 68% ownership interest in Cross Country Talent Acquisition Group, LLC, a joint venture between the Company and a hospital system. The Company generated revenue providing staffing services to the hospital system of $3.6 million and $11.3 million for the three and nine months ended September 30, 2020, respectively, and $6.3 million and $18.2 million for the three and nine months ended September 30, 2019, respectively. At September 30, 2020 and December 31, 2019, the Company had a receivable balance of $1.6 million and $1.7 million, respectively, and a payable balance of $0.2 million and $0.5 million, respectively. In October 2020, the Company was informed that the sole professional staffing services agreement held by its joint venture Cross Country Talent Acquisition Group, LLC will be terminated as of December 31, 2020. Accordingly, the Company currently anticipates that Cross Country Talent Acquisition Group, LLC will be dissolved, and that the Company will enter into a direct staffing agreement with the hospital system. See Note 16 - Subsequent Events.</w:t>
      </w:r>
    </w:p>
    <w:p>
      <w:pPr>
        <w:spacing w:after="0" w:line="2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entered into an arrangement for digital marketing services provided by a firm that is related to Mr. Clark, the Company's Co-Founder and Chief Executive Officer. Mr. Clark is a minority shareholder in the firm's parent company and is a member of the parent company's Board of Directors.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three and nine months ended September 30, 2020, the Company incurred less than $0.1 million and $0.1 million, respectively, and incurred less than $0.1 million for both the three and nine months ended September 30, 2019, in expenses related to these fees. At September 30, 2020, the Company had a payable balance of less than $0.1 million.</w:t>
      </w:r>
    </w:p>
    <w:p>
      <w:pPr>
        <w:spacing w:after="0" w:line="2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first quarter of 2020, the Company entered into a note payable related to contingent consideration assumed as part of a prior period acquisition. The payees of the note are controlled by an employee of the sellers who remained with the Company. The note payable has a balance of $4.9 million at September 30, 2020. See Note 7 - Debt.</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RECENT ACCOUNTING PRONOUNCEMENTS</w:t>
      </w:r>
    </w:p>
    <w:p>
      <w:pPr>
        <w:spacing w:after="0" w:line="25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On March 12, 2020, the FASB issued ASU No.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expedients and exceptions for applying GAAP to contracts, hedging relationships, and other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meeting certain criteria, that reference LIBOR or another reference rate expected to be discontinued. When elected, the optional expedients for contract modifications must be applied consistently for all eligible contracts or transactions. The amendments in this update are effective as of March 12, 2020 through December 31, 2022. As of September 30, 2020, the Company is not impacted by this guidance; however, it will continue to assess the potential impact on its debt contracts and future hedging relationships, if applicable, through the effective period.</w:t>
      </w:r>
    </w:p>
    <w:p>
      <w:pPr>
        <w:spacing w:after="0" w:line="19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this update simplify the accounting for income taxes by removing certain exceptions to the general principles in Topic 740. The amendments also improve consistent application of and simplify GAAP for other areas of Topic 740 by clarifying and amending existing guidance. For public business entities, the amendments in this update are effective for fiscal years, and interim periods within those fiscal years, beginning after December 15, 2020, and should be applied either on a</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6" w:name="page27"/>
    <w:bookmarkEnd w:id="26"/>
    <w:p>
      <w:pPr>
        <w:ind w:right="280"/>
        <w:spacing w:after="0" w:line="277" w:lineRule="auto"/>
        <w:rPr>
          <w:sz w:val="20"/>
          <w:szCs w:val="20"/>
          <w:color w:val="auto"/>
        </w:rPr>
      </w:pPr>
      <w:r>
        <w:rPr>
          <w:rFonts w:ascii="Arial" w:cs="Arial" w:eastAsia="Arial" w:hAnsi="Arial"/>
          <w:sz w:val="18"/>
          <w:szCs w:val="18"/>
          <w:color w:val="auto"/>
        </w:rPr>
        <w:t>prospective, retrospective, or modified retrospective basis depending on the amendment. Early adoption of the amendments is permitted. The Company expects to adopt this standard in its first quarter of 2021 with no material impact on its consolidated financial statements.</w:t>
      </w:r>
    </w:p>
    <w:p>
      <w:pPr>
        <w:spacing w:after="0" w:line="19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See Note 14 - Related Party Transactions for further discussion of the termination of the sole professional staffing services agreement between Cross Country Talent Acquisition Group, LLC and a hospital system.</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the MD&amp;A also conveys our current expectations of the potential impact of known trends, events, or uncertainties that may impact future results. MD&amp;A is provided as a supplement to, and should be read in conjunction with, our Annual Report on Form 10-K for the year ended December 31, 2019, our financial statements and the accompanying notes to our financial statements, as well as the Item 1A. Risk Factors contained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provide total talent management services, including strategic workforce solutions, contingent staffing, permanent placement and other consultative services for healthcare clients. We recruit and place highly qualified healthcare professionals in virtually every specialty and area of expertise. Our diverse client base includes both clinical and nonclinical settings, servicing acute care hospitals, physician practice groups, outpatient and ambulatory-care centers, nursing facilities, both public schools and charter schools, rehabilitation and sports medicine clinics, government facilities, and homecare. Through our national staffing teams and network of office locations, we offer our workforce solutions and we can place clinicians on travel and per diem assignments, local short-term contracts and permanent positions. Our workforce solutions include managed service programs (MSPs), electronic medical record (EMR) transition staffing, recruitment process outsourcing (RPO), internal resource pool (IRP), and other outsourcing and consultative services as described in Item 1. Business in our Annual Report on Form 10-K for the year ended December 31, 2019. By utilizing our various solutions, clients can better plan their personnel needs, talent acquisition and management processes, strategically flex and balance their workforce, access quality healthcare personnel, and provide continuity of care for improved patient outcomes.</w:t>
      </w:r>
    </w:p>
    <w:p>
      <w:pPr>
        <w:spacing w:after="0" w:line="21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We manage and segment our business based on the nature of the services we offer to our customers. As a result,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we report three business segments – Nurse and Allied Staffing, Physician Staffing, and Search.</w:t>
      </w:r>
    </w:p>
    <w:p>
      <w:pPr>
        <w:spacing w:after="0" w:line="173" w:lineRule="exact"/>
        <w:rPr>
          <w:sz w:val="20"/>
          <w:szCs w:val="20"/>
          <w:color w:val="auto"/>
        </w:rPr>
      </w:pPr>
    </w:p>
    <w:p>
      <w:pPr>
        <w:ind w:left="660" w:right="40" w:hanging="328"/>
        <w:spacing w:after="0" w:line="275" w:lineRule="auto"/>
        <w:tabs>
          <w:tab w:leader="none" w:pos="62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Nurse and Allied Staffing represented approximately 90% of our total revenue in the third quarter of 2020. The Nurse</w:t>
      </w:r>
      <w:r>
        <w:rPr>
          <w:rFonts w:ascii="Arial" w:cs="Arial" w:eastAsia="Arial" w:hAnsi="Arial"/>
          <w:sz w:val="17"/>
          <w:szCs w:val="17"/>
          <w:i w:val="1"/>
          <w:iCs w:val="1"/>
          <w:color w:val="auto"/>
        </w:rPr>
        <w:t xml:space="preserve"> </w:t>
      </w:r>
      <w:r>
        <w:rPr>
          <w:rFonts w:ascii="Arial" w:cs="Arial" w:eastAsia="Arial" w:hAnsi="Arial"/>
          <w:sz w:val="17"/>
          <w:szCs w:val="17"/>
          <w:color w:val="auto"/>
        </w:rPr>
        <w:t>and Allied Staffing segment provides workforce solutions and traditional staffing, including temporary and permanent placement of travel nurses and allied professionals, as well as per diem and contract nurses and allied personnel. We also staff healthcare personnel and substitute teachers in public and charter schools. We provide flexible workforce solutions to our healthcare clients through diversified offerings designed to meet their unique needs, including MSP, optimal workforce solutions (OWS), EMR, IRP and consulting services.</w:t>
      </w:r>
    </w:p>
    <w:p>
      <w:pPr>
        <w:spacing w:after="0" w:line="203" w:lineRule="exact"/>
        <w:rPr>
          <w:rFonts w:ascii="Arial" w:cs="Arial" w:eastAsia="Arial" w:hAnsi="Arial"/>
          <w:sz w:val="17"/>
          <w:szCs w:val="17"/>
          <w:color w:val="auto"/>
        </w:rPr>
      </w:pPr>
    </w:p>
    <w:p>
      <w:pPr>
        <w:ind w:left="660" w:hanging="328"/>
        <w:spacing w:after="0" w:line="263" w:lineRule="auto"/>
        <w:tabs>
          <w:tab w:leader="none" w:pos="62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9% of our total revenue in the third quarter of 2020. Physician Staffing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210" w:lineRule="exact"/>
        <w:rPr>
          <w:rFonts w:ascii="Arial" w:cs="Arial" w:eastAsia="Arial" w:hAnsi="Arial"/>
          <w:sz w:val="18"/>
          <w:szCs w:val="18"/>
          <w:color w:val="auto"/>
        </w:rPr>
      </w:pPr>
    </w:p>
    <w:p>
      <w:pPr>
        <w:ind w:left="660" w:right="260" w:hanging="328"/>
        <w:spacing w:after="0" w:line="277" w:lineRule="auto"/>
        <w:tabs>
          <w:tab w:leader="none" w:pos="62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Search </w:t>
      </w:r>
      <w:r>
        <w:rPr>
          <w:rFonts w:ascii="Arial" w:cs="Arial" w:eastAsia="Arial" w:hAnsi="Arial"/>
          <w:sz w:val="18"/>
          <w:szCs w:val="18"/>
          <w:color w:val="auto"/>
        </w:rPr>
        <w:t>– Search represented approximately 1% of our total revenue in the third quarter of 2020. Search includes retained and contingent search</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physicians, healthcare executives, and other healthcare professionals, as well as RPO.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5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the quarter ended September 30, 2020, revenue from services decreased 7% year-over-year to $194.0 million, due to volume declines across all businesses due to COVID-19, resulting in an 8% decrease in direct operating expenses. Selling, general and administrative expenses also decreased $3.6 million or 8% year-over-year driven by reductions in headcount and the closure of offices as part of our cost savings program. Net loss attributable to common shareholders in the third quarter of 2020 was $1.3 million as compared to a net loss of $3.1 million in the prior year. Profitability in the current quarter was impacted by $2.3 million of restructuring costs, and $1.1 million of non-cash impairment charges. Profitability in the third quarter of 2019 was impacted by $1.6 million of restructuring costs, $1.8 million of non-cash impairment charges, and $1.3 million loss on derivative.</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nine months ended September 30, 2020, we generated cash flow from operating activities of $25.3 million and repaid a net of $14.9 million on our senior-secured asset-based credit facility (ABL). As of September 30, 2020, we had $3.4 million of cash and cash equivalents, and availability under the ABL of $110.2 million, with $56.0 million of borrowings drawn under our ABL, and $19.5 million of undrawn letters of credit outstanding, leaving $34.7 million available for borrowing.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Response</w:t>
      </w:r>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Following the initial surge from COVID-19 in early March and the early part of the second quarter of 2020, orders declined and bottomed out by the end of May. Towards the end of the second quarter, demand continued to climb throughout the month of June, reaching a peak again in late July. In comparison to the initial surge where orders were concentrated in select metropolitan cities on the east coast, California, the Pacific Northwest, and Midwest, the second and third waves experienced during most of the third quarter and continuing into the fourth quarter were located in states not previously impacted as severely by the pandemic. While not as material as incremental revenue generated during the second quarter, the incremental revenue generated during the third quarter more than offset other COVID-19 related declines across much of our business. From a demand perspective, we have seen an unprecedented level of volatility in the second and third quarters of 2020, with orders first rising as the pandemic unfolded, and then falling sharply as hospitals nationwide experienced lower census and mandatory deferrals of elective procedures, then rising again as the second and third waves of the pandemic hit.</w:t>
      </w:r>
    </w:p>
    <w:p>
      <w:pPr>
        <w:spacing w:after="0" w:line="192"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As hospitals look to contingent labor to help support their staffing needs in this highly volatile environment, they are doing so with an increased focus on cost containment. As a result, we have seen a shorter length of assignments for certain COVID-19 related orders than our typical pre-COVID-19 length of approximately thirteen weeks. In addition, while bill rates reached a peak during the second quarter as the market demanded premium pay, they began to decline during the latter part of the second quarter and into the third quarter. Overall bill rates, on average, were lower in the third quarter compared to the second quarter as the emergent acuity of the pandemic began to soften, while remaining above our normal pre-COVID-19 average levels.</w:t>
      </w:r>
    </w:p>
    <w:p>
      <w:pPr>
        <w:spacing w:after="0" w:line="18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ended the quarter with cash of $3.4 million and $34.7 million available for borrowing. We do not expect the future impacts of COVID-19 to have a significant impact on our ability to generate operating cash flows, to borrow available funds under our ABL, or to maintain compliance with our financial covenants under our revolving credit facility.</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pandemic has provided us an opportunity to accelerate plans of integrating and optimizing our operations, driven by the closure of a significant number of offices and reductions in headcount. These cost reductions have been enabled by our demonstrated ability to work remotely. Additionally, during the quarter, we implemented our new applicant tracking system for our travel nurse business, which we believe will create further operational efficiencies, enhanced productivity, and a world-class candidate experience.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1A. Risk Factors for further discussion about potential additional risks and uncertainties.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56"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contract personnel on a full-time equivalent basis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Some of the segment financial results analyzed include revenue, operating expenses, and contribution income. In addition, we monitor cash flow as well as operating and leverage ratios to help us assess our liquidity needs.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234"/>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Business Measurement</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Nurse and Allied Staffing</w:t>
            </w:r>
          </w:p>
        </w:tc>
        <w:tc>
          <w:tcPr>
            <w:tcW w:w="7680" w:type="dxa"/>
            <w:vAlign w:val="bottom"/>
          </w:tcPr>
          <w:p>
            <w:pPr>
              <w:ind w:left="1540"/>
              <w:spacing w:after="0" w:line="169" w:lineRule="exact"/>
              <w:rPr>
                <w:sz w:val="20"/>
                <w:szCs w:val="20"/>
                <w:color w:val="auto"/>
              </w:rPr>
            </w:pPr>
            <w:r>
              <w:rPr>
                <w:rFonts w:ascii="Arial" w:cs="Arial" w:eastAsia="Arial" w:hAnsi="Arial"/>
                <w:sz w:val="18"/>
                <w:szCs w:val="18"/>
                <w:color w:val="auto"/>
                <w:w w:val="91"/>
              </w:rPr>
              <w:t>FTEs represent the average number of Nurse and Allied Staffing contract personnel</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on a full-time equivalent basis.</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6"/>
              </w:rPr>
              <w:t>Average revenue per FTE per day is calculated by dividing the Nurse and Allied</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3"/>
              </w:rPr>
              <w:t>Staffing revenue per FTE by the number of days worked in the respective periods.</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rPr>
              <w:t>Nurse and Allied Staffing revenue also includes revenue from the permanent</w:t>
            </w:r>
          </w:p>
        </w:tc>
        <w:tc>
          <w:tcPr>
            <w:tcW w:w="0" w:type="dxa"/>
            <w:vAlign w:val="bottom"/>
          </w:tcPr>
          <w:p>
            <w:pPr>
              <w:spacing w:after="0"/>
              <w:rPr>
                <w:sz w:val="1"/>
                <w:szCs w:val="1"/>
                <w:color w:val="auto"/>
              </w:rPr>
            </w:pPr>
          </w:p>
        </w:tc>
      </w:tr>
      <w:tr>
        <w:trPr>
          <w:trHeight w:val="229"/>
        </w:trPr>
        <w:tc>
          <w:tcPr>
            <w:tcW w:w="3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Physician Staffing</w:t>
            </w:r>
          </w:p>
        </w:tc>
        <w:tc>
          <w:tcPr>
            <w:tcW w:w="7680" w:type="dxa"/>
            <w:vAlign w:val="bottom"/>
          </w:tcPr>
          <w:p>
            <w:pPr>
              <w:ind w:left="1540"/>
              <w:spacing w:after="0"/>
              <w:rPr>
                <w:sz w:val="20"/>
                <w:szCs w:val="20"/>
                <w:color w:val="auto"/>
              </w:rPr>
            </w:pPr>
            <w:r>
              <w:rPr>
                <w:rFonts w:ascii="Arial" w:cs="Arial" w:eastAsia="Arial" w:hAnsi="Arial"/>
                <w:sz w:val="18"/>
                <w:szCs w:val="18"/>
                <w:color w:val="auto"/>
              </w:rPr>
              <w:t>placement of nurses.</w:t>
            </w:r>
          </w:p>
        </w:tc>
        <w:tc>
          <w:tcPr>
            <w:tcW w:w="0" w:type="dxa"/>
            <w:vAlign w:val="bottom"/>
          </w:tcPr>
          <w:p>
            <w:pPr>
              <w:spacing w:after="0"/>
              <w:rPr>
                <w:sz w:val="1"/>
                <w:szCs w:val="1"/>
                <w:color w:val="auto"/>
              </w:rPr>
            </w:pPr>
          </w:p>
        </w:tc>
      </w:tr>
      <w:tr>
        <w:trPr>
          <w:trHeight w:val="176"/>
        </w:trPr>
        <w:tc>
          <w:tcPr>
            <w:tcW w:w="3520" w:type="dxa"/>
            <w:vAlign w:val="bottom"/>
            <w:vMerge w:val="continue"/>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9"/>
              </w:rPr>
              <w:t>Days filled is calculated by dividing the total hours invoiced during the period,</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including an estimate for the impact of accrued revenue, by 8 hours.</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4"/>
              </w:rPr>
              <w:t>Revenue per day filled is calculated by dividing revenue as reported by days filled</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for the period presented.</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3100" w:type="dxa"/>
            <w:vAlign w:val="bottom"/>
            <w:gridSpan w:val="5"/>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28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260" w:type="dxa"/>
            <w:vAlign w:val="bottom"/>
          </w:tcPr>
          <w:p>
            <w:pPr>
              <w:spacing w:after="0"/>
              <w:rPr>
                <w:sz w:val="20"/>
                <w:szCs w:val="20"/>
                <w:color w:val="auto"/>
              </w:rPr>
            </w:pPr>
          </w:p>
        </w:tc>
        <w:tc>
          <w:tcPr>
            <w:tcW w:w="198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87"/>
              </w:rPr>
              <w:t>September 30,</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2019</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260" w:type="dxa"/>
            <w:vAlign w:val="bottom"/>
          </w:tcPr>
          <w:p>
            <w:pPr>
              <w:ind w:left="120"/>
              <w:spacing w:after="0"/>
              <w:rPr>
                <w:sz w:val="20"/>
                <w:szCs w:val="20"/>
                <w:color w:val="auto"/>
              </w:rPr>
            </w:pPr>
            <w:r>
              <w:rPr>
                <w:rFonts w:ascii="Arial" w:cs="Arial" w:eastAsia="Arial" w:hAnsi="Arial"/>
                <w:sz w:val="18"/>
                <w:szCs w:val="18"/>
                <w:color w:val="auto"/>
              </w:rPr>
              <w:t>Direct operating expenses</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75.1</w:t>
            </w:r>
          </w:p>
        </w:tc>
      </w:tr>
      <w:tr>
        <w:trPr>
          <w:trHeight w:val="230"/>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w:t>
            </w:r>
          </w:p>
        </w:tc>
      </w:tr>
      <w:tr>
        <w:trPr>
          <w:trHeight w:val="229"/>
        </w:trPr>
        <w:tc>
          <w:tcPr>
            <w:tcW w:w="526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30"/>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29"/>
        </w:trPr>
        <w:tc>
          <w:tcPr>
            <w:tcW w:w="5260" w:type="dxa"/>
            <w:vAlign w:val="bottom"/>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19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880" w:type="dxa"/>
            <w:vAlign w:val="bottom"/>
          </w:tcPr>
          <w:p>
            <w:pPr>
              <w:ind w:left="36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costs</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29"/>
        </w:trPr>
        <w:tc>
          <w:tcPr>
            <w:tcW w:w="5260" w:type="dxa"/>
            <w:vAlign w:val="bottom"/>
          </w:tcPr>
          <w:p>
            <w:pPr>
              <w:ind w:left="120"/>
              <w:spacing w:after="0"/>
              <w:rPr>
                <w:sz w:val="20"/>
                <w:szCs w:val="20"/>
                <w:color w:val="auto"/>
              </w:rPr>
            </w:pPr>
            <w:r>
              <w:rPr>
                <w:rFonts w:ascii="Arial" w:cs="Arial" w:eastAsia="Arial" w:hAnsi="Arial"/>
                <w:sz w:val="18"/>
                <w:szCs w:val="18"/>
                <w:color w:val="auto"/>
              </w:rPr>
              <w:t>Legal settlement charges</w:t>
            </w:r>
          </w:p>
        </w:tc>
        <w:tc>
          <w:tcPr>
            <w:tcW w:w="19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30"/>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380" w:type="dxa"/>
            <w:vAlign w:val="bottom"/>
          </w:tcPr>
          <w:p>
            <w:pPr>
              <w:ind w:left="8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380" w:type="dxa"/>
            <w:vAlign w:val="bottom"/>
          </w:tcPr>
          <w:p>
            <w:pPr>
              <w:ind w:left="8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rPr>
              <w:t>(2.9)</w:t>
            </w:r>
          </w:p>
        </w:tc>
      </w:tr>
      <w:tr>
        <w:trPr>
          <w:trHeight w:val="230"/>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r>
      <w:tr>
        <w:trPr>
          <w:trHeight w:val="230"/>
        </w:trPr>
        <w:tc>
          <w:tcPr>
            <w:tcW w:w="5260" w:type="dxa"/>
            <w:vAlign w:val="bottom"/>
          </w:tcPr>
          <w:p>
            <w:pPr>
              <w:ind w:left="120"/>
              <w:spacing w:after="0"/>
              <w:rPr>
                <w:sz w:val="20"/>
                <w:szCs w:val="20"/>
                <w:color w:val="auto"/>
              </w:rPr>
            </w:pPr>
            <w:r>
              <w:rPr>
                <w:rFonts w:ascii="Arial" w:cs="Arial" w:eastAsia="Arial" w:hAnsi="Arial"/>
                <w:sz w:val="18"/>
                <w:szCs w:val="18"/>
                <w:color w:val="auto"/>
              </w:rPr>
              <w:t>Loss on derivative</w:t>
            </w:r>
          </w:p>
        </w:tc>
        <w:tc>
          <w:tcPr>
            <w:tcW w:w="19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30"/>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early extinguishment of debt</w:t>
            </w:r>
          </w:p>
        </w:tc>
        <w:tc>
          <w:tcPr>
            <w:tcW w:w="19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38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38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(3.9)</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Consolidated net loss</w:t>
            </w:r>
          </w:p>
        </w:tc>
        <w:tc>
          <w:tcPr>
            <w:tcW w:w="138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38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(9.1)</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Less: Net income attributable to noncontrolling interest in subsidiary</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4"/>
              </w:rPr>
              <w:t>(0.7)%</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4"/>
              </w:rPr>
              <w:t>(1.5)%</w:t>
            </w:r>
          </w:p>
        </w:tc>
        <w:tc>
          <w:tcPr>
            <w:tcW w:w="240" w:type="dxa"/>
            <w:vAlign w:val="bottom"/>
          </w:tcPr>
          <w:p>
            <w:pPr>
              <w:spacing w:after="0"/>
              <w:rPr>
                <w:sz w:val="19"/>
                <w:szCs w:val="19"/>
                <w:color w:val="auto"/>
              </w:rPr>
            </w:pP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4"/>
              </w:rPr>
              <w:t>(2.8)%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4"/>
              </w:rPr>
              <w:t>(9.3)%</w:t>
            </w: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Comparison of Results for the Three Months Ended September 30, 2020 compared to the Three Months Ended September 30, 2019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Three Months Ended September 30,</w:t>
            </w:r>
          </w:p>
        </w:tc>
        <w:tc>
          <w:tcPr>
            <w:tcW w:w="1460" w:type="dxa"/>
            <w:vAlign w:val="bottom"/>
            <w:tcBorders>
              <w:bottom w:val="single" w:sz="8" w:color="auto"/>
            </w:tcBorders>
          </w:tcPr>
          <w:p>
            <w:pPr>
              <w:spacing w:after="0"/>
              <w:rPr>
                <w:sz w:val="20"/>
                <w:szCs w:val="20"/>
                <w:color w:val="auto"/>
              </w:rPr>
            </w:pPr>
          </w:p>
        </w:tc>
      </w:tr>
      <w:tr>
        <w:trPr>
          <w:trHeight w:val="169"/>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7"/>
              </w:rPr>
              <w:t>Increase</w:t>
            </w:r>
          </w:p>
        </w:tc>
        <w:tc>
          <w:tcPr>
            <w:tcW w:w="14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Increase</w:t>
            </w:r>
          </w:p>
        </w:tc>
      </w:tr>
      <w:tr>
        <w:trPr>
          <w:trHeight w:val="225"/>
        </w:trPr>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34"/>
        </w:trPr>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07"/>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0"/>
              </w:rPr>
              <w:t>(Amounts in thousands)</w:t>
            </w:r>
          </w:p>
        </w:tc>
        <w:tc>
          <w:tcPr>
            <w:tcW w:w="1460" w:type="dxa"/>
            <w:vAlign w:val="bottom"/>
          </w:tcPr>
          <w:p>
            <w:pPr>
              <w:spacing w:after="0"/>
              <w:rPr>
                <w:sz w:val="17"/>
                <w:szCs w:val="17"/>
                <w:color w:val="auto"/>
              </w:rPr>
            </w:pPr>
          </w:p>
        </w:tc>
      </w:tr>
      <w:tr>
        <w:trPr>
          <w:trHeight w:val="23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145,965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(12,229)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60.9 %</w:t>
            </w: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44.1 %</w:t>
            </w:r>
          </w:p>
        </w:tc>
      </w:tr>
      <w:tr>
        <w:trPr>
          <w:trHeight w:val="230"/>
        </w:trPr>
        <w:tc>
          <w:tcPr>
            <w:tcW w:w="5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derivative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81.5 %</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62.4 %</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79.8 %</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Consolidated net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57.4</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57.4 %</w:t>
            </w:r>
          </w:p>
        </w:tc>
      </w:tr>
      <w:tr>
        <w:trPr>
          <w:trHeight w:val="21"/>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from services decreased 7.3% to $194.0 million for the three months ended September 30, 2020, as compared to $209.2 million for the three months ended September 30, 2019, primarily due to volume declines across all of our lines of business. Bill rates for COVID-19 assignments trended downward in the third quarter, but remained higher than pre-COVID-19 rates, and were up as compared to the prior year. See further discussion in Segment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Direct operating expenses are comprised primarily of field employee compensation and independent contractor expenses, housing expenses, travel expenses, and related insurance expenses. Direct operating expenses decreased $12.2 million, or 7.7%, to $146.0 million for the three months ended September 30, 2020, as compared to $158.2 million for the three months ended September 30, 2019 as a result of revenue declines. As a percentage of total revenue, direct operating expenses decreased to 75.2% compared to 75.6% in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Selling, general and administrative expenses decreased 8.1% to $40.8 million for the three months ended September 30, 2020, as compared to $44.4 million for the three months ended September 30, 2019, primarily due to reductions in headcount, lower healthcare costs, and lower rent expense due to the closure of a significant number of offices, enabled by our ability to work remotely. These reductions were partially offset by increases in IT expenses and legal fees, as well as additional compensation expense related to the short-term incentive plan. As a percentage of total revenue, selling, general and administrative expenses decreased to 21.0% for the three months ended September 30, 2020 as compared to 21.2% for the three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Depreciation and amortization expense for the three months ended September 30, 2020 increased to $3.2 million as compared to $2.9 million for the three months ended September 30, 2019. Amortization expense increased due to accelerated amortization of trade names in our Nurse and Allied and Physician Staffing segments, associated with our rebranding initiatives. See Note 6 - Goodwill, Trade Names, and Other Intangible Assets. As a percentage of revenue, depreciation and amortization expense was 1.7% for the three months ended September 30, 2020 and 1.4% for the three months ended September 30,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integration-related costs</w:t>
      </w:r>
    </w:p>
    <w:p>
      <w:pPr>
        <w:spacing w:after="0" w:line="25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Acquisition and integration-related costs include accretion and valuation adjustments on our contingent consideration liability related to the Mediscan acquisition and was a benefit of $0.4 million for the three months ended September 30, 2019. There were no such costs for the three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Restructuring costs were primarily comprised of employee termination costs, ongoing lease costs related to the Company's strategic reduction of its real estate footprint, and reorganization costs as part of our planned cost savings initiatives and totaled $2.3 million during the three months ended September 30, 2020. During the three months ended September 30, 2019, restructuring costs totaled $1.6 million and were primarily comprised of employee termination costs and lease-related exit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Non-cash impairment charges totaled $1.1 million for the three months ended September 30, 2020. These were comprised of $0.2 million of customer list impairment of our Nurse and Allied business and $0.9 million related to real estate restructuring activities. During the three months ended September 30, 2019, in connection with our restructuring activities we ceased using leased space which resulted in impairment charges related to our right-of-use assets of $1.2 million and $0.6 million of impairment related to property and equipment. See Note 6 - Goodwill, Trade Names, and Other Intangible Assets to our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Interest expense was $0.6 million for the three months ended September 30, 2020 as compared to $1.4 million for the three months ended September 30, 2019, due to lower average borrowings and a lower effective rate. The effective interest rate on our borrowings was 3.3% for the three months ended September 30, 2020 compared to 6.4% for the three months ended September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derivative</w:t>
      </w:r>
    </w:p>
    <w:p>
      <w:pPr>
        <w:spacing w:after="0" w:line="2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Loss on derivative was $1.3 million for the three months ended September 30, 2019, which was paid to terminate an interest rate hedge related to our term loan that was subsequently refinanced in October 2019. There were no similar charges for the three months ended September 30, 2020</w:t>
      </w:r>
      <w:r>
        <w:rPr>
          <w:rFonts w:ascii="Arial" w:cs="Arial" w:eastAsia="Arial" w:hAnsi="Arial"/>
          <w:sz w:val="17"/>
          <w:szCs w:val="17"/>
          <w:b w:val="1"/>
          <w:bCs w:val="1"/>
          <w:i w:val="1"/>
          <w:iCs w:val="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5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Loss on early extinguishment of debt of $0.1 million for the three months ended September 30, 2019 related to write-offs of debt issuance costs resulting from a reduction in borrowing capacity on our revolving credit facility. There were no similar charges for the three months ended September 30,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 expense totaled $0.2 million for the three months ended September 30, 2020, compared to $0.1 million for the three months ended September 30, 2019. As a result of the Company's valuation allowance on substantially all of its domestic deferred tax assets, income tax expense for the three months ended September 30, 2020 and 2019 was primarily impacted by international and state taxes. See Note 13 -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Comparison of Results for the Nine Months Ended September 30, 2020 compared to the Nine Months Ended September 30, 2019</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Nine Months Ended September 30,</w:t>
            </w:r>
          </w:p>
        </w:tc>
        <w:tc>
          <w:tcPr>
            <w:tcW w:w="1460" w:type="dxa"/>
            <w:vAlign w:val="bottom"/>
            <w:tcBorders>
              <w:bottom w:val="single" w:sz="8" w:color="auto"/>
            </w:tcBorders>
          </w:tcPr>
          <w:p>
            <w:pPr>
              <w:spacing w:after="0"/>
              <w:rPr>
                <w:sz w:val="20"/>
                <w:szCs w:val="20"/>
                <w:color w:val="auto"/>
              </w:rPr>
            </w:pPr>
          </w:p>
        </w:tc>
      </w:tr>
      <w:tr>
        <w:trPr>
          <w:trHeight w:val="169"/>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7"/>
              </w:rPr>
              <w:t>Increase</w:t>
            </w:r>
          </w:p>
        </w:tc>
        <w:tc>
          <w:tcPr>
            <w:tcW w:w="14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Increase</w:t>
            </w:r>
          </w:p>
        </w:tc>
      </w:tr>
      <w:tr>
        <w:trPr>
          <w:trHeight w:val="225"/>
        </w:trPr>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34"/>
        </w:trPr>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07"/>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0"/>
              </w:rPr>
              <w:t>(Amounts in thousands)</w:t>
            </w:r>
          </w:p>
        </w:tc>
        <w:tc>
          <w:tcPr>
            <w:tcW w:w="1460" w:type="dxa"/>
            <w:vAlign w:val="bottom"/>
          </w:tcPr>
          <w:p>
            <w:pPr>
              <w:spacing w:after="0"/>
              <w:rPr>
                <w:sz w:val="17"/>
                <w:szCs w:val="17"/>
                <w:color w:val="auto"/>
              </w:rPr>
            </w:pPr>
          </w:p>
        </w:tc>
      </w:tr>
      <w:tr>
        <w:trPr>
          <w:trHeight w:val="23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472,471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16,191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58.5 %</w:t>
            </w: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80.7 %</w:t>
            </w: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Legal settlement charges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16.1 %</w:t>
            </w:r>
          </w:p>
        </w:tc>
      </w:tr>
      <w:tr>
        <w:trPr>
          <w:trHeight w:val="23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Loss on derivative</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5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78.3 %</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27.7 %</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69.3</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68.9 %</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 from services increased 2.3% to $620.8 million for the nine months ended September 30, 2020, as compared to $607.1 million for the nine months ended September 30, 2019, reflecting an increase in revenue in Nurse and Allied Staffing, partially offset by declines in Physician Staffing and Search. Revenue for the nine months ended September 30, 2020 reflects growth in all three segments in the first quarter and a high volume of COVID-19 assignments in Nurse and Allied Staffing in the second and third quarters, with volume declines in the third quarter in Physician Staffing and Search. See further discussion in Segment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 operating expenses increased $16.2 million, or 3.5%, to $472.5 million for the nine months ended September 30, 2020, as compared to $456.3 million for the nine months ended September 30, 2019. As a percentage of total revenue, direct operating expenses increased to 76.1% compared to 75.1% in the prior year period reflecting a change in the mix of business, primarily as the higher compensation of COVID-19 assignments were generally priced at a lower average margin.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Selling, general and administrative expenses decreased 5.5% to $128.9 million for the nine months ended September 30, 2020, as compared to $136.4 million for the nine months ended September 30, 2019, primarily driven by reductions in headcount, lower healthcare costs, and lower rent expense due to the closure of a significant number of offices, enabled by our ability to work remotely, coupled with lower consulting expenses. These reductions were partially offset by increases in equity compensation expense, IT expenses, and legal fees, as well as additional compensation expense related to the short-term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2" w:name="page33"/>
    <w:bookmarkEnd w:id="32"/>
    <w:p>
      <w:pPr>
        <w:ind w:right="40"/>
        <w:spacing w:after="0" w:line="277" w:lineRule="auto"/>
        <w:rPr>
          <w:sz w:val="20"/>
          <w:szCs w:val="20"/>
          <w:color w:val="auto"/>
        </w:rPr>
      </w:pPr>
      <w:r>
        <w:rPr>
          <w:rFonts w:ascii="Arial" w:cs="Arial" w:eastAsia="Arial" w:hAnsi="Arial"/>
          <w:sz w:val="18"/>
          <w:szCs w:val="18"/>
          <w:color w:val="auto"/>
        </w:rPr>
        <w:t>incentive plan. As a percentage of total revenue, selling, general and administrative expenses decreased to 20.8% for the nine months ended September 30, 2020 as compared to 22.5% for the nine months ended September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Depreciation and amortization expense for the nine months ended September 30, 2020 increased to $10.5 million as compared to $9.4 million for the nine months ended September 30, 2019. Amortization expense increased due to accelerated amortization of trade names in our Nurse and Allied and Physician Staffing segments, associated with our rebranding initiatives. As a percentage of revenue, depreciation and amortization expense was 1.7% for the nine months ended September 30, 2020 and 1.6% for the nine months ended September 30,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integration-related costs</w:t>
      </w:r>
    </w:p>
    <w:p>
      <w:pPr>
        <w:spacing w:after="0" w:line="25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Acquisition and integration-related costs include costs for prior acquisitions, costs incurred for potential transactions, and accretion and valuation adjustments on our contingent consideration liability related to the Mediscan acquisition. In the first quarter of 2020, the final earnout amount of the contingent consideration related to the Mediscan acquisition was determined, resulting in an additional accrual of $0.1 million. For the nine months ended September 30, 2019, costs totaled $0.4 million, and included $0.1 million of accretion and valuation adjustments on the contingent consideration liability and $0.3 million of expenses related to prior acquisitions. See Note 7 -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Restructuring costs were primarily comprised of employee termination costs, ongoing lease costs related to the Company's strategic reduction of its real estate footprint, and reorganization costs as part of our planned cost savings initiatives and totaled $5.2 million during the nine months ended September 30, 2020. During the nine months ended September 30, 2019, restructuring costs totaled $2.9 million and were primarily comprised of employee termination costs and lease-related exit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charges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Legal settlement charges totaled $1.6 million during the nine months ended September 30, 2019 and related to the resolution of a medical malpractice lawsuit in excess of carrier limits, as well as a 2019 California wage and hour class action settlement agreement. There were no similar charges for the nine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Non-cash impairment charges totaled $16.1 million for the nine months ended September 30, 2020. These were comprised of $10.7 million of impairment of our Search and Nurse and Allied businesses and $5.4 million related to real estate restructuring activities. During the nine months ended September 30, 2019, in connection with our restructuring activities we ceased using leased space which resulted in impairment charges related to our right-of-use assets of $1.2 million and $0.6 million of impairment related to property and equipment. In addition, as part of evolving our go-to-market strategy, in the second quarter of 2019, we eliminated certain brands across all of our segments as part of our rebranding initiatives and, as a result, $14.5 million of indefinite-lived trade names related to Nurse and Allied Staffing were written off as impairment charges. See Note 6 - Goodwill, Trade Names, and Other Intangible Assets and Note 8 - Leases to our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Interest expense was $2.2 million for the nine months ended September 30, 2020 as compared to $4.3 million for the nine months ended September 30, 2019, due to lower average borrowings and a lower effective interest rate. The effective interest rate on our borrowings was 3.7% for the nine months ended September 30, 2020 compared to 6.2% for the nine months ended September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derivative</w:t>
      </w:r>
    </w:p>
    <w:p>
      <w:pPr>
        <w:spacing w:after="0" w:line="25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Loss on derivative was $1.3 million for the nine months ended September 30, 2019, which was paid to terminate an interest rate hedge related to our term loan that was subsequently refinanced in October 2019. There were no similar charges for the nine months ended September 30, 2020</w:t>
      </w:r>
      <w:r>
        <w:rPr>
          <w:rFonts w:ascii="Arial" w:cs="Arial" w:eastAsia="Arial" w:hAnsi="Arial"/>
          <w:sz w:val="17"/>
          <w:szCs w:val="17"/>
          <w:b w:val="1"/>
          <w:bCs w:val="1"/>
          <w:i w:val="1"/>
          <w:iCs w:val="1"/>
          <w:color w:val="auto"/>
        </w:rPr>
        <w:t>.</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5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Loss on early extinguishment of debt of $0.5 million for the nine months ended September 30, 2019 related to write-offs of debt issuance costs resulting from a reduction in borrowing capacity on our revolving credit facility, as well as optional debt prepayments of $12.5 million made on our Term Loan. There were no similar charges for the nine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Income tax benefit was less than $0.1 million for the nine months ended September 30, 2020, compared to expense of $31.8 million for the nine months ended September 30, 2019. As a result of the Company's valuation allowance on substantially all of its domestic deferred tax assets, income tax (benefit) expense for the nine months ended September 30, 2020 and 2019 was impacted by international and state taxes as well as the impairment of indefinite-lived intangibles. Income tax expense for the nine months ended September 30, 2019 included $35.8 million of additional valuation allowance recorded as a discrete item in the second quarter of 2019. See Note 13 - Income Taxes to our condensed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loss from operations for the periods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8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8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w w:val="99"/>
              </w:rPr>
              <w:t>2019</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2019</w:t>
            </w:r>
          </w:p>
        </w:tc>
      </w:tr>
      <w:tr>
        <w:trPr>
          <w:trHeight w:val="207"/>
        </w:trPr>
        <w:tc>
          <w:tcPr>
            <w:tcW w:w="4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00" w:type="dxa"/>
            <w:vAlign w:val="bottom"/>
            <w:gridSpan w:val="5"/>
          </w:tcPr>
          <w:p>
            <w:pPr>
              <w:ind w:left="380"/>
              <w:spacing w:after="0"/>
              <w:rPr>
                <w:sz w:val="20"/>
                <w:szCs w:val="20"/>
                <w:color w:val="auto"/>
              </w:rPr>
            </w:pPr>
            <w:r>
              <w:rPr>
                <w:rFonts w:ascii="Arial" w:cs="Arial" w:eastAsia="Arial" w:hAnsi="Arial"/>
                <w:sz w:val="16"/>
                <w:szCs w:val="16"/>
                <w:color w:val="auto"/>
              </w:rPr>
              <w:t>(amounts in thousands)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4620" w:type="dxa"/>
            <w:vAlign w:val="bottom"/>
          </w:tcPr>
          <w:p>
            <w:pPr>
              <w:ind w:left="120"/>
              <w:spacing w:after="0"/>
              <w:rPr>
                <w:sz w:val="20"/>
                <w:szCs w:val="20"/>
                <w:color w:val="auto"/>
              </w:rPr>
            </w:pPr>
            <w:r>
              <w:rPr>
                <w:rFonts w:ascii="Arial" w:cs="Arial" w:eastAsia="Arial" w:hAnsi="Arial"/>
                <w:sz w:val="18"/>
                <w:szCs w:val="18"/>
                <w:color w:val="auto"/>
              </w:rPr>
              <w:t>Nurse and Allied Staffing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175,244</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184,974</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561,575</w:t>
            </w:r>
          </w:p>
        </w:tc>
        <w:tc>
          <w:tcPr>
            <w:tcW w:w="1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541,398</w:t>
            </w:r>
          </w:p>
        </w:tc>
      </w:tr>
      <w:tr>
        <w:trPr>
          <w:trHeight w:val="230"/>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54,594</w:t>
            </w:r>
          </w:p>
        </w:tc>
      </w:tr>
      <w:tr>
        <w:trPr>
          <w:trHeight w:val="229"/>
        </w:trPr>
        <w:tc>
          <w:tcPr>
            <w:tcW w:w="4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Search</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11,136</w:t>
            </w:r>
          </w:p>
        </w:tc>
      </w:tr>
      <w:tr>
        <w:trPr>
          <w:trHeight w:val="248"/>
        </w:trPr>
        <w:tc>
          <w:tcPr>
            <w:tcW w:w="4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193,968</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209,200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620,811</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607,128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income (loss):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620" w:type="dxa"/>
            <w:vAlign w:val="bottom"/>
          </w:tcPr>
          <w:p>
            <w:pPr>
              <w:ind w:left="120"/>
              <w:spacing w:after="0"/>
              <w:rPr>
                <w:sz w:val="20"/>
                <w:szCs w:val="20"/>
                <w:color w:val="auto"/>
              </w:rPr>
            </w:pPr>
            <w:r>
              <w:rPr>
                <w:rFonts w:ascii="Arial" w:cs="Arial" w:eastAsia="Arial" w:hAnsi="Arial"/>
                <w:sz w:val="18"/>
                <w:szCs w:val="18"/>
                <w:color w:val="auto"/>
              </w:rPr>
              <w:t>Nurse and Allied Staffing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18,233</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16,097</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53,028</w:t>
            </w:r>
          </w:p>
        </w:tc>
        <w:tc>
          <w:tcPr>
            <w:tcW w:w="14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46,504</w:t>
            </w:r>
          </w:p>
        </w:tc>
      </w:tr>
      <w:tr>
        <w:trPr>
          <w:trHeight w:val="230"/>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30"/>
        </w:trPr>
        <w:tc>
          <w:tcPr>
            <w:tcW w:w="4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Search</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23"/>
        </w:trPr>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w:t>
            </w:r>
          </w:p>
        </w:tc>
      </w:tr>
      <w:tr>
        <w:trPr>
          <w:trHeight w:val="270"/>
        </w:trPr>
        <w:tc>
          <w:tcPr>
            <w:tcW w:w="4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overhead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34,744</w:t>
            </w:r>
          </w:p>
        </w:tc>
      </w:tr>
      <w:tr>
        <w:trPr>
          <w:trHeight w:val="229"/>
        </w:trPr>
        <w:tc>
          <w:tcPr>
            <w:tcW w:w="46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10,472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9,448</w:t>
            </w:r>
          </w:p>
        </w:tc>
      </w:tr>
      <w:tr>
        <w:trPr>
          <w:trHeight w:val="230"/>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462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5,210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2,884</w:t>
            </w:r>
          </w:p>
        </w:tc>
      </w:tr>
      <w:tr>
        <w:trPr>
          <w:trHeight w:val="230"/>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Legal settlement charges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29"/>
        </w:trPr>
        <w:tc>
          <w:tcPr>
            <w:tcW w:w="4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 charges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16,082</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16,306</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(14,823)</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3"/>
              </w:rPr>
              <w:t>Three Months Ended</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9"/>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2020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Pr>
          <w:p>
            <w:pPr>
              <w:spacing w:after="0"/>
              <w:rPr>
                <w:sz w:val="19"/>
                <w:szCs w:val="19"/>
                <w:color w:val="auto"/>
              </w:rPr>
            </w:pPr>
          </w:p>
        </w:tc>
        <w:tc>
          <w:tcPr>
            <w:tcW w:w="1540" w:type="dxa"/>
            <w:vAlign w:val="bottom"/>
            <w:gridSpan w:val="2"/>
          </w:tcPr>
          <w:p>
            <w:pPr>
              <w:ind w:left="380"/>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auto"/>
            </w:tcBorders>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1"/>
              </w:rPr>
              <w:t>Nurse and Allied Staffing statistical data:</w:t>
            </w:r>
          </w:p>
        </w:tc>
        <w:tc>
          <w:tcPr>
            <w:tcW w:w="198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6"/>
                <w:szCs w:val="16"/>
                <w:color w:val="auto"/>
              </w:rPr>
              <w:t>FTEs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7,083</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(1,680)</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24.3 %</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484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Physician Staffing statistical data:</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500" w:type="dxa"/>
            <w:vAlign w:val="bottom"/>
            <w:tcBorders>
              <w:top w:val="single" w:sz="8" w:color="CCEEFF"/>
            </w:tcBorders>
            <w:gridSpan w:val="4"/>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9,682</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11,675</w:t>
            </w:r>
          </w:p>
        </w:tc>
        <w:tc>
          <w:tcPr>
            <w:tcW w:w="2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(1,993)</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(17.1)%</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426"/>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3"/>
              </w:rPr>
              <w:t>Nine Months Ended</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9"/>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2020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Pr>
          <w:p>
            <w:pPr>
              <w:spacing w:after="0"/>
              <w:rPr>
                <w:sz w:val="19"/>
                <w:szCs w:val="19"/>
                <w:color w:val="auto"/>
              </w:rPr>
            </w:pPr>
          </w:p>
        </w:tc>
        <w:tc>
          <w:tcPr>
            <w:tcW w:w="1540" w:type="dxa"/>
            <w:vAlign w:val="bottom"/>
            <w:gridSpan w:val="2"/>
          </w:tcPr>
          <w:p>
            <w:pPr>
              <w:ind w:left="380"/>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auto"/>
            </w:tcBorders>
            <w:gridSpan w:val="4"/>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1"/>
              </w:rPr>
              <w:t>Nurse and Allied Staffing statistical data: (a)</w:t>
            </w:r>
          </w:p>
        </w:tc>
        <w:tc>
          <w:tcPr>
            <w:tcW w:w="1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6"/>
                <w:szCs w:val="16"/>
                <w:color w:val="auto"/>
              </w:rPr>
              <w:t>FTEs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7,039</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(923)</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18.8 %</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Physician Staffing statistical data: (a)</w:t>
            </w:r>
          </w:p>
        </w:tc>
        <w:tc>
          <w:tcPr>
            <w:tcW w:w="2260" w:type="dxa"/>
            <w:vAlign w:val="bottom"/>
            <w:tcBorders>
              <w:bottom w:val="single" w:sz="8" w:color="CCEEFF"/>
            </w:tcBorders>
            <w:gridSpan w:val="3"/>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40" w:type="dxa"/>
            <w:vAlign w:val="bottom"/>
            <w:gridSpan w:val="5"/>
          </w:tcPr>
          <w:p>
            <w:pPr>
              <w:spacing w:after="0"/>
              <w:rPr>
                <w:sz w:val="20"/>
                <w:szCs w:val="20"/>
                <w:color w:val="auto"/>
              </w:rPr>
            </w:pPr>
            <w:r>
              <w:rPr>
                <w:rFonts w:ascii="Arial" w:cs="Arial" w:eastAsia="Arial" w:hAnsi="Arial"/>
                <w:sz w:val="16"/>
                <w:szCs w:val="16"/>
                <w:color w:val="auto"/>
              </w:rPr>
              <w:t>Days filled</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29,077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32,709</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(3,632)</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 under the Operating Metrics section of our Management's Discussion and Analysis.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September 30, 2020 compared to the Three Months Ended September 30, 2019</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Revenue decreased $9.7 million, or 5.3%, to $175.2 million for the three months ended September 30, 2020, compared to $185.0 million for the three months ended September 30, 2019, driven by volume declines in certain specialties, partly offset by higher bill rates. Volume for the three months ended September 30, 2020 was negatively impacted due to suspended services resulting from school closures as well as a decrease in census at our clients which resulted in lower demand for non-COVID-19 related assignments.</w:t>
      </w:r>
    </w:p>
    <w:p>
      <w:pPr>
        <w:spacing w:after="0" w:line="18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Contribution income increased $2.1 million,or 13.3%, to $18.2 million for the three months ended September 30, 2020, compared to $16.1 million for the three months ended September 30, 2019 driven by lower selling, general and administrative expenses. As a percentage of segment revenue, contribution income margin was 10.4% for the three months ended September 30, 2020, compared to 8.7% for the three months ended September 30, 2019.</w:t>
      </w:r>
    </w:p>
    <w:p>
      <w:pPr>
        <w:spacing w:after="0" w:line="176"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average number of FTEs on contract during the three months ended September 30, 2020 decreased 23.7% from the three months ended September 30, 2019, reflecting the decreased demand for non-COVID-19 related assignments, as well as the loss of an OWS customer that decided to bring their staffing in-house. The average revenue per FTE per day increased 24.3%, reflecting higher average bill rates related to increased pricing and mix.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Revenue decreased $4.0 million, or 19.4%, to $16.5 million for the three months ended September 30, 2020, compared to $20.4 million for the three months ended September 30, 2019, primarily due to reduced demand from our customers in the physician specialties as a result of the nationwide reduction in elective procedures, partly offset by growth in the advanced practice specialties.</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Contribution income was $0.8 million for the three months ended September 30, 2020, consistent with the three months ended September 30, 2019. As a percentage of segment revenue, contribution income was 5.0% for the three months ended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September 30, 2020, compared to 4.0% for the three months ended September 30, 2019, driven by lower selling, general and administrative expenses.</w:t>
      </w:r>
    </w:p>
    <w:p>
      <w:pPr>
        <w:spacing w:after="0" w:line="2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days filled for the three months ended September 30, 2020 were 9,682 as compared with 11,675 in the prior year. Revenue per day filled was $1,699 as compared with $1,748 in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Revenue decreased $1.5 million, or 40.5%, to $2.3 million for the three months ended September 30, 2020, compared to $3.8 million for the three months ended September 30, 2019, due to declines in executive search and physician search revenue as a result of the COVID-19 pandemic.</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Contribution loss was $0.3 million for the three months ended September 30, 2020, compared to contribution income of $0.1 million for the three months ended September 30, 2019, due to declines in demand as a result of the COVID-19 pandemic.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Corporate overhead includes unallocated executive leadership and other centralized corporate functional support costs such as finance, IT, legal, human resources, and marketing, as well as public company expenses and corporate-wide projects. Corporate overhead increased to $12.5 million for the three months ended September 30, 2020, from $11.0 million for the three months ended September 30, 2019, due to an increase in legal fees and IT expenses, as well as additional compensation expense related to the short-term incentive plan. As a percentage of consolidated revenue, corporate overhead was 6.4% for the three months ended September 30, 2020 and 5.2% for the three months ended September 30, 2019.</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Nine Months Ended September 30, 2020 compared to the Nine Months Ended September 30, 2019</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Revenue increased $20.2 million, or 3.7%, to $561.6 million for the nine months ended September 30, 2020, compared to $541.4 million for the nine months ended September 30, 2019, primarily driven by higher bill-rate COVID-19 related assignments worked by travelers, partly offset by volume declines in other specialties. Volume for the nine months ended September 30, 2020 was negatively impacted due to suspended services resulting from school closures as well as a decrease in census at our clients which resulted in lower demand for non-COVID-19 related assignments.</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Contribution income increased $6.5 million or 14.0%, to $53.0 million for the nine months ended September 30, 2020, compared to $46.5 million for the nine months ended September 30, 2019. As a percentage of segment revenue, contribution income margin was 9.4% for the nine months ended September 30, 2020, compared to 8.6% for the nine months ended September 30, 2019.</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average number of FTEs on contract during the nine months ended September 30, 2020 decreased 13.1% from the nine months ended September 30, 2019, reflecting the decreased demand for non-COVID-19 related assignments. The average Nurse and Allied Staffing revenue per FTE per day increased 18.8%, reflecting higher average bill rates related to increased pricing.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Revenue decreased $3.1 million, or 5.7%, to $51.5 million for the nine months ended September 30, 2020, compared to $54.6 million for the nine months ended September 30, 2019, primarily due to a reduction of volume related to reduced demand as a result of the nationwide reduction in elective procedures, partially offset by higher bill rates due to mix of business.</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Contribution income increased $1.0 million, or 55.3% to $2.7 million for the nine months ended September 30, 2020, compared to $1.7 million for the nine months ended September 30, 2019. As a percentage of segment revenue, contribution income was 5.2% for the nine months ended September 30, 2020, compared to 3.2% for the nine months ended September 30, 2019, driven by lower selling, general and administrative expenses.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days filled for the nine months ended September 30, 2020 were 29,077 as compared with 32,709 in the prior year. Revenue per day filled was $1,771 as compared with $1,669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Search</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Revenue decreased $3.4 million, or 30.6%, to $7.7 million for the nine months ended September 30, 2020, compared to $11.1 million for the nine months ended September 30, 2019, due to declines in executive search and physician search revenue as a result of the COVID-19 pandemic, partially offset by an increase in RPO revenue.</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Contribution loss was $1.7 million for the nine months ended September 30, 2020, compared to contribution loss of $0.5 million for the nine months ended September 30, 2019, due to declines in demand as a result of the COVID-19 pandemic.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Corporate overhead increased to $37.0 million for the nine months ended September 30, 2020, from $34.7 million for the nine months ended September 30, 2019, primarily due to higher IT expenses, legal expenses, additional compensation expense related to the short-term incentive plan, and higher equity compensation expense as a result of the acceleration of vesting of restricted stock awards related to directors who either retired or became retirement eligible, partially offset by lower consulting expense. As a percentage of consolidated revenue, corporate overhead was 6.0% for the nine months ended September 30, 2020 and 5.7% for the nine months ended September 30,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14 - Related Party Transactions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September 30, 2020, we had $3.4 million in cash and cash equivalents and $56.0 million of borrowings drawn under our ABL. Working capital decreased by $12.1 million to $85.8 million as of September 30, 2020, compared to $97.9 as of December 31, 2019. As of September 30, 2020, our days' sales outstanding, net of amounts owed to subcontractors, increased 6 days to 64 days as of September 30, 2020, compared to 58 days as of December 31, 2019, primarily due to a decrease in revenue.</w:t>
      </w:r>
    </w:p>
    <w:p>
      <w:pPr>
        <w:spacing w:after="0" w:line="21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in our Form 10-K for the year ended December 31, 2019. Although there is uncertainty related to the anticipated impact of COVID-19 on our future results, we expect to meet our future needs from a combination of cash on hand, operating cash flows, and funds available through the ABL. See debt discussion which follows.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cash provided by operating activities was $25.3 million in the nine months ended September 30, 2020, compared to $10.9 million in the nine months ended September 30, 2019, primarily due to stronger collections and the timing of disbursements.</w:t>
      </w:r>
    </w:p>
    <w:p>
      <w:pPr>
        <w:spacing w:after="0" w:line="19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Net cash used in investing activities was $3.7 million in the nine months ended September 30, 2020, compared to $2.0 million in the nine months ended September 30, 2019. Net cash used in both periods was for capital expenditures, primarily related to the project to replace our applicant tracking system. Net cash used in financing activities during the nine months ended September 30, 2020 was $19.2 million, compared to $15.4 million during the nine months ended September 30, 2019. During the nine months ended September 30, 2020, we used cash to repay borrowing on our ABL of $14.9 million, $2.4 million to pay our note payable, and $1.9 million for other financing activities. During the nine months ended September 30, 2019, we used cash to make optional principal prepayments on our term loan of $12.5 million and paid $2.9 million for other financing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ABL Credit Agreement</w:t>
      </w:r>
    </w:p>
    <w:p>
      <w:pPr>
        <w:spacing w:after="0" w:line="306"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On June 30, 2020, we amended the Loan Agreement, which increased the current aggregate committed size of the ABL from $120.0 million to $130.0 million. All other terms, conditions, covenants, and pricing of the Loan Agreement remain the same.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At September 30, 2020, availability under the ABL was $110.2 million and we had $56.0 million of borrowings drawn, as well as $19.5 million of letters of credit outstanding, leaving $34.7 million available for borrowing.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ind w:right="20"/>
        <w:spacing w:after="0" w:line="272" w:lineRule="auto"/>
        <w:rPr>
          <w:sz w:val="20"/>
          <w:szCs w:val="20"/>
          <w:color w:val="auto"/>
        </w:rPr>
      </w:pPr>
      <w:r>
        <w:rPr>
          <w:rFonts w:ascii="Arial" w:cs="Arial" w:eastAsia="Arial" w:hAnsi="Arial"/>
          <w:sz w:val="17"/>
          <w:szCs w:val="17"/>
          <w:color w:val="auto"/>
        </w:rPr>
        <w:t>As of September 30, 2020, the interest rate spreads and fees under the Loan Agreement were based on LIBOR plus 2.00% for the revolving portion of the borrowing base and LIBOR plus 4.00% on the Supplemental Availability. The Base Rate (as defined by the Loan Agreement) margins would have been 1.00% and 3.00%, respectively, for the revolving portion and Supplemental Availability, respectively. The LIBOR and Base Rate margins are subject to monthly pricing adjustments, pursuant to a pricing matrix based on our excess availability under the revolving credit facility. In addition, the facility is subject to an unused fee, letter of credit fees, and an administrative fee. The Loan Agreement contains various restrictions and covenants applicable to the Company and its subsidiaries, including a covenant to maintain a minimum fixed charge coverage ratio. We were in compliance with the fixed charge coverage ratio covenant as of September 30,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10 - Stockholders' Equity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 and Off-Balance Sheet Arrangements</w:t>
      </w:r>
    </w:p>
    <w:p>
      <w:pPr>
        <w:spacing w:after="0" w:line="22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As of September 30, 2020, we do not have any off-balance sheet arrangements. Our commitments over the next five years did not change materially from December 31, 2019. See Note 12 - Contingencies to our condensed consolidated financial statements.</w:t>
      </w: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critical accounting policies and estimates remain consistent with those reported in our Annual Report on Form 10-K for the year ended December 31, 2019, filed with the SEC, other than the adoption of ASU No. 2016-13, </w:t>
      </w:r>
      <w:r>
        <w:rPr>
          <w:rFonts w:ascii="Arial" w:cs="Arial" w:eastAsia="Arial" w:hAnsi="Arial"/>
          <w:sz w:val="18"/>
          <w:szCs w:val="18"/>
          <w:i w:val="1"/>
          <w:iCs w:val="1"/>
          <w:color w:val="auto"/>
        </w:rPr>
        <w:t>Financial Instruments - 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Financial Instruments </w:t>
      </w:r>
      <w:r>
        <w:rPr>
          <w:rFonts w:ascii="Arial" w:cs="Arial" w:eastAsia="Arial" w:hAnsi="Arial"/>
          <w:sz w:val="18"/>
          <w:szCs w:val="18"/>
          <w:color w:val="auto"/>
        </w:rPr>
        <w:t>as discussed in Note 2 - Summary of Significant Accounting Policies and Note 3 - Customer Contracts to our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95" w:right="479" w:bottom="1440" w:gutter="0" w:footer="0" w:header="0"/>
        </w:sectPr>
      </w:pPr>
    </w:p>
    <w:bookmarkStart w:id="38" w:name="page39"/>
    <w:bookmarkEnd w:id="38"/>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have been exposed to interest rate risk associated with our debt instruments which have had interest based on variable rates. As of September 30, 2020, we are exposed to the risk of fluctuation in interest rates relating to our ABL Credit Agreement (ABL) entered into on October 25, 2019. Our ABL charges us interest at a rate based on either LIBOR or Base Rate (as defined) plus an applicable margin.</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March 2018, we entered into an interest rate swap agreement, which initially fixed the interest rate on 50% of the amortizing balance on our term debt. The interest rate swap qualified as a cash flow hedge in accordance with the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Topic of the FASB ASC and the resulting changes in fair value of the interest rate swap were recorded to other comprehensive (loss) income and reclassified to interest expense over the life of the term debt. In September 2019, in anticipation of entering into the ABL, we terminated our interest rate swap agreement.</w:t>
      </w:r>
    </w:p>
    <w:p>
      <w:pPr>
        <w:spacing w:after="0" w:line="198"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A 1% change in interest rates on our variable rate debt would have resulted in interest expense fluctuating approximately $0.5 million and $0.6 million for the nine months ended September 30, 2020 and 2019, respectively, excluding the impact of the interest rate swap agreement. Considering the effect of our interest rate swap agreement in a 1% change in interest rates on our variable rate debt would have resulted in approximately $0.2 million change in interest expense for the nine months ended September 30, 2019. See Note 7 - Debt to our condensed consolidated financial statements.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our Form 10-K Item 1A. Risk Factors under "The interest rates under our ABL Credit Agreement may be impacted by the phase-out of the London Interbank Offered Rate (LIBOR)" for discussion of the interest rate risk related to the potential phase-out of LIBOR in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other exposures as disclosed in our Annual Report on Form 10-K filed for the year ended December 31, 2019.</w:t>
      </w:r>
    </w:p>
    <w:p>
      <w:pPr>
        <w:spacing w:after="0" w:line="2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 </w:t>
      </w:r>
      <w:r>
        <w:rPr>
          <w:rFonts w:ascii="Arial" w:cs="Arial" w:eastAsia="Arial" w:hAnsi="Arial"/>
          <w:sz w:val="18"/>
          <w:szCs w:val="18"/>
          <w:color w:val="212529"/>
        </w:rPr>
        <w:t>We have</w:t>
      </w:r>
      <w:r>
        <w:rPr>
          <w:rFonts w:ascii="Arial" w:cs="Arial" w:eastAsia="Arial" w:hAnsi="Arial"/>
          <w:sz w:val="18"/>
          <w:szCs w:val="18"/>
          <w:color w:val="auto"/>
        </w:rPr>
        <w:t xml:space="preserve"> </w:t>
      </w:r>
      <w:r>
        <w:rPr>
          <w:rFonts w:ascii="Arial" w:cs="Arial" w:eastAsia="Arial" w:hAnsi="Arial"/>
          <w:sz w:val="18"/>
          <w:szCs w:val="18"/>
          <w:color w:val="212529"/>
        </w:rPr>
        <w:t>not experienced any material impact to our internal controls over financial reporting despite the fact that most of our employees are working remotely due to the COVID-19 pandemic. We are continually monitoring and assessing the impacts of the COVID-19 pandemic on our internal controls to minimize the impact on their design and operating effectiveness.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Discussion of legal matters is incorporated by reference from Part I, Item 1, Note 12 - Contingencies - Legal Proceedings and Other Reserves of this Quarterly Report on Form 10-Q, and should be considered an integral part of Part II, Item 1, Legal Proceedings.</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addition to the other information set forth in this report, careful consideration should be given to the factors discussed in Item 1A, “Risk Factors” in our Form 10-K for the year ended December 31, 2019, our Form 10-Q for the fiscal quarter ended March 31, 2020, and our Form 10-Q for the fiscal quarter ended June 30, 2020, all of which could materially affect our business, financial condition or future results. The risks described herein and therein are not the only risks facing us. Additional risks and uncertainties not currently known to us, or that we currently deem to be immaterial, also may adversely affect our business, financial condition and/or operating results. The below Risk Factors have been updated to reflect the heightened impact of the COVID-19 pandemic since we filed our Annual Report on Form 10-K for the year ended December 31, 2019. As described herein, the COVID-19 pandemic may adversely affect our business and financial results and may also have the effect of exacerbating many of the other risks described in this section and in the “Risk Factors” section of our Annual Report on Form 10-K for the year ended December 31, 2019.</w:t>
      </w:r>
    </w:p>
    <w:p>
      <w:pPr>
        <w:spacing w:after="0" w:line="205"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Our operations and financial results have been and may continue to be negatively affected by the current ongoing COVID-19 pandemic and could be materially harmed by COVID-19 or the emergence and effects related to any other pandemics, epidemics, or other public health crisis.</w:t>
      </w:r>
    </w:p>
    <w:p>
      <w:pPr>
        <w:spacing w:after="0" w:line="15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operations and financial results have been and may continue to be adversely affected by the ongoing COVID-19 pandemic and changes in national or global economic conditions related thereto.</w:t>
      </w:r>
    </w:p>
    <w:p>
      <w:pPr>
        <w:spacing w:after="0" w:line="19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COVID-19 pandemic, certain of our healthcare professionals have been exposed, diagnosed and or quarantined as a result of the virus. If, as a result of such risks, our healthcare professionals do not want to, or are not able to provide services, it could negatively impact our supply and ability to provide staffing services to our customers. In addition, patients have canceled or deferred elective procedures or otherwise avoided medical treatment resulting in reduced census at our hospital customers. Additionally, healthcare facilities, such as ambulatory surgi-centers and other outpatient facilities, have been shut down temporarily. This has resulted in the cancellation of certain of our healthcare professionals (e.g. operating room nurses, physical therapists, surgeons, advanced practitioners, and many others) working at those facilities or under contract to provide services at those facilities in the future. In addition, the normal operations of our healthcare facility customers may be disrupted and impacted in ways that are difficult to predict and their financials could be adversely affected. This would not just negatively impact our staffing and workforce solutions business, but would also have an adverse effect on our search businesses (contingent, permanent, and retained) as healthcare customers may delay making decisions for executives, physicians, nurses, and other full-time staff. In addition to the negative impact on demand from our hospital and healthcare facility customers, school closures in the wake of the COVID-19 pandemic have had an adverse impact on our school staffing.</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impact to our healthcare customers from COVID-19 or any other pandemic, epidemic, outbreak of an infectious disease or other public health crisis may also impact their ability to pay for our services timely or altogether, including invoices for services provided prior to such an event that were in process. Such a failure to pay for our services timely or altogether would have an impact on our collections, resulting in a negative financial impact on our Company.</w:t>
      </w:r>
    </w:p>
    <w:p>
      <w:pPr>
        <w:spacing w:after="0" w:line="21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Finally, while we have disaster plans in place for all of our locations and we are able to operate remotely, the potential continuation of the COVID-19 pandemic, or the emergence of another pandemic, epidemic, or outbreak is difficult to predict and could adversely affect our operations. In particular, our operations are headquartered in South Florida and if our employees are working remotely as a result of a public health crisis during hurricane season and electricity, wi-fi and other resources are temporarily restricted or not available, it could negatively impact our operations and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applicable government regulations change, we may face increased costs that reduce our revenue and profitability.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temporary healthcare staffing industry is regulated in many states. For example, in some states, firms such as our nurse staffing companies must be registered to establish and advertise as a nurse-staffing agency or must qualify for an exemption from registration in those states. If we were to lose any required state licenses, we could be required to cease operating in those states. The introduction of new regulatory provisions could also substantially raise the costs associated with hiring temporary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0" w:name="page41"/>
    <w:bookmarkEnd w:id="40"/>
    <w:p>
      <w:pPr>
        <w:spacing w:after="0" w:line="273" w:lineRule="auto"/>
        <w:rPr>
          <w:sz w:val="20"/>
          <w:szCs w:val="20"/>
          <w:color w:val="auto"/>
        </w:rPr>
      </w:pPr>
      <w:r>
        <w:rPr>
          <w:rFonts w:ascii="Arial" w:cs="Arial" w:eastAsia="Arial" w:hAnsi="Arial"/>
          <w:sz w:val="17"/>
          <w:szCs w:val="17"/>
          <w:color w:val="auto"/>
        </w:rPr>
        <w:t>employees. For example, some states could impose sales taxes or increase sales tax rates on temporary healthcare staffing services. Also, as a result of the COVID-19 pandemic, several states have enacted various legislation to expand the application of workers compensation and other benefits to healthcare providers who are exposed to or who contract COVID-19 through their employment, and certain of our clients are requiring us to provide personal protection equipment to our workers. These increased costs may not be able to be passed on to clients. In addition, if government regulations were implemented that limited the amount we could charge for our services, our profitability could be adversely affected. We continuously monitor changes in regulations and legislation for potential impacts on our business.</w:t>
      </w:r>
    </w:p>
    <w:p>
      <w:pPr>
        <w:spacing w:after="0" w:line="20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On November 3, 2020, the Company’s Board of Directors approved the reinstatement of 100% of 2020 base salaries to its executive officers, effective October 1, 2020, as follows: Kevin C. Clark, Co-Founder &amp; Chief Executive Officer ($825,000); William J. Burns, Executive Vice President &amp; Chief Financial Officer ($525,000); Susan E. Ball, Executive Vice President, General Counsel and Corporate Secretary ($420,000); Buffy S. White, Group President ($430,000); and Stephen A. Saville, Executive Vice President of Operations ($430,000). On November 3, 2020, the Company’s Board of Directors also approved the reinstatement of 100% of 2020 cash compensation to its Board of Directors, effective October 1, 2020.</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95" w:right="499" w:bottom="1440" w:gutter="0" w:footer="0" w:header="0"/>
        </w:sectPr>
      </w:pPr>
    </w:p>
    <w:bookmarkStart w:id="41" w:name="page42"/>
    <w:bookmarkEnd w:id="41"/>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2"/>
          </w:tcPr>
          <w:p>
            <w:pPr>
              <w:ind w:left="46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8"/>
          </w:tcPr>
          <w:p>
            <w:pPr>
              <w:spacing w:after="0"/>
              <w:rPr>
                <w:rFonts w:ascii="Arial" w:cs="Arial" w:eastAsia="Arial" w:hAnsi="Arial"/>
                <w:sz w:val="18"/>
                <w:szCs w:val="18"/>
                <w:color w:val="0000FF"/>
                <w:w w:val="96"/>
              </w:rPr>
            </w:pPr>
            <w:hyperlink w:anchor="page44">
              <w:r>
                <w:rPr>
                  <w:rFonts w:ascii="Arial" w:cs="Arial" w:eastAsia="Arial" w:hAnsi="Arial"/>
                  <w:sz w:val="18"/>
                  <w:szCs w:val="18"/>
                  <w:color w:val="0000FF"/>
                  <w:w w:val="96"/>
                </w:rPr>
                <w:t>Certification pursuant to Rule 13a-14(a) and Rule 15d-14 (a) by Kevin C. Clark, Co-Founder, Chief Executive Officer, Director</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44">
              <w:r>
                <w:rPr>
                  <w:rFonts w:ascii="Arial" w:cs="Arial" w:eastAsia="Arial" w:hAnsi="Arial"/>
                  <w:sz w:val="18"/>
                  <w:szCs w:val="18"/>
                  <w:color w:val="0000FF"/>
                  <w:w w:val="93"/>
                </w:rPr>
                <w:t>(Principal Executive Officer)</w:t>
              </w:r>
            </w:hyperlink>
          </w:p>
        </w:tc>
        <w:tc>
          <w:tcPr>
            <w:tcW w:w="7100" w:type="dxa"/>
            <w:vAlign w:val="bottom"/>
            <w:tcBorders>
              <w:top w:val="single" w:sz="8" w:color="0000FF"/>
            </w:tcBorders>
            <w:gridSpan w:val="4"/>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8"/>
          </w:tcPr>
          <w:p>
            <w:pPr>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Certification pursuant to Rule 13a-14(a) and Rule 15d-14 (a) by William J. Burns, EVP &amp; Chief Financial Officer (Principal</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Accounting and Financial Officer)</w:t>
              </w:r>
            </w:hyperlink>
          </w:p>
        </w:tc>
        <w:tc>
          <w:tcPr>
            <w:tcW w:w="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8"/>
          </w:tcPr>
          <w:p>
            <w:pPr>
              <w:spacing w:after="0"/>
              <w:rPr>
                <w:rFonts w:ascii="Arial" w:cs="Arial" w:eastAsia="Arial" w:hAnsi="Arial"/>
                <w:sz w:val="18"/>
                <w:szCs w:val="18"/>
                <w:color w:val="0000FF"/>
                <w:w w:val="98"/>
              </w:rPr>
            </w:pPr>
            <w:hyperlink w:anchor="page46">
              <w:r>
                <w:rPr>
                  <w:rFonts w:ascii="Arial" w:cs="Arial" w:eastAsia="Arial" w:hAnsi="Arial"/>
                  <w:sz w:val="18"/>
                  <w:szCs w:val="18"/>
                  <w:color w:val="0000FF"/>
                  <w:w w:val="98"/>
                </w:rPr>
                <w:t>Certification pursuant to 18 U.S.C. Section 1350 by Kevin C. Clark, Co-Founder, Chief Executive Officer, Director (Principal</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Executive Officer)</w:t>
              </w:r>
            </w:hyperlink>
          </w:p>
        </w:tc>
        <w:tc>
          <w:tcPr>
            <w:tcW w:w="20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9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8"/>
          </w:tcPr>
          <w:p>
            <w:pPr>
              <w:spacing w:after="0"/>
              <w:rPr>
                <w:rFonts w:ascii="Arial" w:cs="Arial" w:eastAsia="Arial" w:hAnsi="Arial"/>
                <w:sz w:val="18"/>
                <w:szCs w:val="18"/>
                <w:color w:val="0000FF"/>
                <w:w w:val="96"/>
              </w:rPr>
            </w:pPr>
            <w:hyperlink w:anchor="page47">
              <w:r>
                <w:rPr>
                  <w:rFonts w:ascii="Arial" w:cs="Arial" w:eastAsia="Arial" w:hAnsi="Arial"/>
                  <w:sz w:val="18"/>
                  <w:szCs w:val="18"/>
                  <w:color w:val="0000FF"/>
                  <w:w w:val="96"/>
                </w:rPr>
                <w:t>Certification pursuant to 18 U.S.C. Section 1350 by William J. Burns, EVP &amp; Chief Financial Officer (Principal Accounting and</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5"/>
              </w:rPr>
            </w:pPr>
            <w:hyperlink w:anchor="page47">
              <w:r>
                <w:rPr>
                  <w:rFonts w:ascii="Arial" w:cs="Arial" w:eastAsia="Arial" w:hAnsi="Arial"/>
                  <w:sz w:val="18"/>
                  <w:szCs w:val="18"/>
                  <w:color w:val="0000FF"/>
                  <w:w w:val="95"/>
                </w:rPr>
                <w:t>Financial Officer)</w:t>
              </w:r>
            </w:hyperlink>
          </w:p>
        </w:tc>
        <w:tc>
          <w:tcPr>
            <w:tcW w:w="7940" w:type="dxa"/>
            <w:vAlign w:val="bottom"/>
            <w:tcBorders>
              <w:top w:val="single" w:sz="8" w:color="0000FF"/>
            </w:tcBorders>
            <w:gridSpan w:val="6"/>
          </w:tcPr>
          <w:p>
            <w:pPr>
              <w:spacing w:after="0"/>
              <w:rPr>
                <w:sz w:val="13"/>
                <w:szCs w:val="13"/>
                <w:color w:val="auto"/>
              </w:rPr>
            </w:pPr>
          </w:p>
        </w:tc>
        <w:tc>
          <w:tcPr>
            <w:tcW w:w="360" w:type="dxa"/>
            <w:vAlign w:val="bottom"/>
          </w:tcPr>
          <w:p>
            <w:pPr>
              <w:spacing w:after="0"/>
              <w:rPr>
                <w:sz w:val="13"/>
                <w:szCs w:val="13"/>
                <w:color w:val="auto"/>
              </w:rPr>
            </w:pPr>
          </w:p>
        </w:tc>
      </w:tr>
      <w:tr>
        <w:trPr>
          <w:trHeight w:val="30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28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84"/>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Filed herewith</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2" w:name="page43"/>
    <w:bookmarkEnd w:id="4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97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William J. Burns</w:t>
      </w:r>
    </w:p>
    <w:p>
      <w:pPr>
        <w:ind w:left="6200"/>
        <w:spacing w:after="0" w:line="228" w:lineRule="auto"/>
        <w:rPr>
          <w:sz w:val="20"/>
          <w:szCs w:val="20"/>
          <w:color w:val="auto"/>
        </w:rPr>
      </w:pPr>
      <w:r>
        <w:rPr>
          <w:rFonts w:ascii="Arial" w:cs="Arial" w:eastAsia="Arial" w:hAnsi="Arial"/>
          <w:sz w:val="16"/>
          <w:szCs w:val="16"/>
          <w:color w:val="auto"/>
        </w:rPr>
        <w:t>Executive Vice President &amp; Chief Financial Officer (Principal</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660"/>
          </w:cols>
          <w:pgMar w:left="320" w:top="891" w:right="9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Kevin C. Clark, certify that:</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November 5, 2020</w:t>
      </w:r>
      <w:r>
        <w:rPr>
          <w:sz w:val="20"/>
          <w:szCs w:val="20"/>
          <w:color w:val="auto"/>
        </w:rPr>
        <w:tab/>
      </w:r>
      <w:r>
        <w:rPr>
          <w:rFonts w:ascii="Arial" w:cs="Arial" w:eastAsia="Arial" w:hAnsi="Arial"/>
          <w:sz w:val="16"/>
          <w:szCs w:val="16"/>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Kevin C. Clark</w:t>
      </w:r>
    </w:p>
    <w:p>
      <w:pPr>
        <w:ind w:left="3000"/>
        <w:spacing w:after="0" w:line="203" w:lineRule="auto"/>
        <w:rPr>
          <w:sz w:val="20"/>
          <w:szCs w:val="20"/>
          <w:color w:val="auto"/>
        </w:rPr>
      </w:pPr>
      <w:r>
        <w:rPr>
          <w:rFonts w:ascii="Arial" w:cs="Arial" w:eastAsia="Arial" w:hAnsi="Arial"/>
          <w:sz w:val="18"/>
          <w:szCs w:val="18"/>
          <w:color w:val="auto"/>
        </w:rPr>
        <w:t>Co-Founder &amp; Chief Executive Officer</w:t>
      </w:r>
    </w:p>
    <w:p>
      <w:pPr>
        <w:ind w:left="3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November 5, 2020</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rPr>
          <w:sz w:val="20"/>
          <w:szCs w:val="20"/>
          <w:color w:val="auto"/>
        </w:rPr>
      </w:pPr>
      <w:r>
        <w:rPr>
          <w:rFonts w:ascii="Arial" w:cs="Arial" w:eastAsia="Arial" w:hAnsi="Arial"/>
          <w:sz w:val="18"/>
          <w:szCs w:val="18"/>
          <w:color w:val="auto"/>
        </w:rPr>
        <w:t>Executive Vice President &amp; Chief Financial Officer (Principal Accounting and Financial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September 30, 2020, (the "Periodic Report"), I, Kevin C. Clark, Co-Founder and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17" w:lineRule="exact"/>
        <w:rPr>
          <w:sz w:val="20"/>
          <w:szCs w:val="20"/>
          <w:color w:val="auto"/>
        </w:rPr>
      </w:pPr>
    </w:p>
    <w:p>
      <w:pPr>
        <w:ind w:left="20"/>
        <w:spacing w:after="0"/>
        <w:tabs>
          <w:tab w:leader="none" w:pos="660" w:val="left"/>
          <w:tab w:leader="none" w:pos="3020" w:val="left"/>
        </w:tabs>
        <w:rPr>
          <w:sz w:val="20"/>
          <w:szCs w:val="20"/>
          <w:color w:val="auto"/>
        </w:rPr>
      </w:pPr>
      <w:r>
        <w:rPr>
          <w:rFonts w:ascii="Arial" w:cs="Arial" w:eastAsia="Arial" w:hAnsi="Arial"/>
          <w:sz w:val="18"/>
          <w:szCs w:val="18"/>
          <w:color w:val="auto"/>
        </w:rPr>
        <w:t>Date:</w:t>
        <w:tab/>
        <w:t>November 5, 2020</w:t>
      </w:r>
      <w:r>
        <w:rPr>
          <w:sz w:val="20"/>
          <w:szCs w:val="20"/>
          <w:color w:val="auto"/>
        </w:rPr>
        <w:tab/>
      </w:r>
      <w:r>
        <w:rPr>
          <w:rFonts w:ascii="Arial" w:cs="Arial" w:eastAsia="Arial" w:hAnsi="Arial"/>
          <w:sz w:val="16"/>
          <w:szCs w:val="16"/>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14605</wp:posOffset>
            </wp:positionV>
            <wp:extent cx="52031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Kevin C. Clark</w:t>
      </w:r>
    </w:p>
    <w:p>
      <w:pPr>
        <w:ind w:left="3040"/>
        <w:spacing w:after="0" w:line="203" w:lineRule="auto"/>
        <w:rPr>
          <w:sz w:val="20"/>
          <w:szCs w:val="20"/>
          <w:color w:val="auto"/>
        </w:rPr>
      </w:pPr>
      <w:r>
        <w:rPr>
          <w:rFonts w:ascii="Arial" w:cs="Arial" w:eastAsia="Arial" w:hAnsi="Arial"/>
          <w:sz w:val="18"/>
          <w:szCs w:val="18"/>
          <w:color w:val="auto"/>
        </w:rPr>
        <w:t>Co-Founder &amp; Chief Executive Officer</w:t>
      </w:r>
    </w:p>
    <w:p>
      <w:pPr>
        <w:ind w:left="3040"/>
        <w:spacing w:after="0"/>
        <w:rPr>
          <w:sz w:val="20"/>
          <w:szCs w:val="20"/>
          <w:color w:val="auto"/>
        </w:rPr>
      </w:pPr>
      <w:r>
        <w:rPr>
          <w:rFonts w:ascii="Arial" w:cs="Arial" w:eastAsia="Arial" w:hAnsi="Arial"/>
          <w:sz w:val="18"/>
          <w:szCs w:val="18"/>
          <w:color w:val="auto"/>
        </w:rPr>
        <w:t>(Principal Executive Officer)</w:t>
      </w:r>
    </w:p>
    <w:p>
      <w:pPr>
        <w:spacing w:after="0" w:line="34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September 30, 2020,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17"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November 5, 2020</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rPr>
          <w:sz w:val="20"/>
          <w:szCs w:val="20"/>
          <w:color w:val="auto"/>
        </w:rPr>
      </w:pPr>
      <w:r>
        <w:rPr>
          <w:rFonts w:ascii="Arial" w:cs="Arial" w:eastAsia="Arial" w:hAnsi="Arial"/>
          <w:sz w:val="18"/>
          <w:szCs w:val="18"/>
          <w:color w:val="auto"/>
        </w:rPr>
        <w:t>Executive Vice President &amp; Chief Financial Officer (Principal Accounting and Financial Officer)</w:t>
      </w:r>
    </w:p>
    <w:p>
      <w:pPr>
        <w:spacing w:after="0" w:line="34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10"/>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6"/>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2020-11-05T10:39:07Z</dcterms:created>
  <dcterms:modified xsi:type="dcterms:W3CDTF">2020-11-05T10:39:07Z</dcterms:modified>
</cp:coreProperties>
</file>