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154940</wp:posOffset>
            </wp:positionH>
            <wp:positionV relativeFrom="page">
              <wp:posOffset>112395</wp:posOffset>
            </wp:positionV>
            <wp:extent cx="725233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3810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28" w:lineRule="exact"/>
        <w:rPr>
          <w:sz w:val="24"/>
          <w:szCs w:val="24"/>
          <w:color w:val="auto"/>
        </w:rPr>
      </w:pPr>
    </w:p>
    <w:p>
      <w:pPr>
        <w:ind w:left="3880" w:right="2180" w:hanging="1627"/>
        <w:spacing w:after="0" w:line="529" w:lineRule="auto"/>
        <w:tabs>
          <w:tab w:leader="none" w:pos="246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2013</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24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2570480</wp:posOffset>
            </wp:positionH>
            <wp:positionV relativeFrom="paragraph">
              <wp:posOffset>168910</wp:posOffset>
            </wp:positionV>
            <wp:extent cx="2124075" cy="748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4075" cy="748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CROSS COUNTRY HEALTHCARE, INC.</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31" w:lineRule="exact"/>
        <w:rPr>
          <w:sz w:val="24"/>
          <w:szCs w:val="24"/>
          <w:color w:val="auto"/>
        </w:rPr>
      </w:pPr>
    </w:p>
    <w:tbl>
      <w:tblPr>
        <w:tblLayout w:type="fixed"/>
        <w:tblInd w:w="780" w:type="dxa"/>
        <w:tblCellMar>
          <w:top w:w="0" w:type="dxa"/>
          <w:left w:w="0" w:type="dxa"/>
          <w:bottom w:w="0" w:type="dxa"/>
          <w:right w:w="0" w:type="dxa"/>
        </w:tblCellMar>
      </w:tblPr>
      <w:tr>
        <w:trPr>
          <w:trHeight w:val="218"/>
        </w:trPr>
        <w:tc>
          <w:tcPr>
            <w:tcW w:w="2640" w:type="dxa"/>
            <w:vAlign w:val="bottom"/>
          </w:tcPr>
          <w:p>
            <w:pPr>
              <w:jc w:val="center"/>
              <w:ind w:right="311"/>
              <w:spacing w:after="0"/>
              <w:rPr>
                <w:sz w:val="20"/>
                <w:szCs w:val="20"/>
                <w:color w:val="auto"/>
              </w:rPr>
            </w:pPr>
            <w:r>
              <w:rPr>
                <w:rFonts w:ascii="Arial" w:cs="Arial" w:eastAsia="Arial" w:hAnsi="Arial"/>
                <w:sz w:val="18"/>
                <w:szCs w:val="18"/>
                <w:b w:val="1"/>
                <w:bCs w:val="1"/>
                <w:color w:val="auto"/>
                <w:w w:val="91"/>
              </w:rPr>
              <w:t>Delaware</w:t>
            </w:r>
          </w:p>
        </w:tc>
        <w:tc>
          <w:tcPr>
            <w:tcW w:w="4740" w:type="dxa"/>
            <w:vAlign w:val="bottom"/>
          </w:tcPr>
          <w:p>
            <w:pPr>
              <w:jc w:val="center"/>
              <w:ind w:right="51"/>
              <w:spacing w:after="0"/>
              <w:rPr>
                <w:sz w:val="20"/>
                <w:szCs w:val="20"/>
                <w:color w:val="auto"/>
              </w:rPr>
            </w:pPr>
            <w:r>
              <w:rPr>
                <w:rFonts w:ascii="Arial" w:cs="Arial" w:eastAsia="Arial" w:hAnsi="Arial"/>
                <w:sz w:val="18"/>
                <w:szCs w:val="18"/>
                <w:b w:val="1"/>
                <w:bCs w:val="1"/>
                <w:color w:val="auto"/>
                <w:w w:val="90"/>
              </w:rPr>
              <w:t>0-33169</w:t>
            </w:r>
          </w:p>
        </w:tc>
        <w:tc>
          <w:tcPr>
            <w:tcW w:w="2200" w:type="dxa"/>
            <w:vAlign w:val="bottom"/>
          </w:tcPr>
          <w:p>
            <w:pPr>
              <w:jc w:val="center"/>
              <w:ind w:left="491"/>
              <w:spacing w:after="0"/>
              <w:rPr>
                <w:sz w:val="20"/>
                <w:szCs w:val="20"/>
                <w:color w:val="auto"/>
              </w:rPr>
            </w:pPr>
            <w:r>
              <w:rPr>
                <w:rFonts w:ascii="Arial" w:cs="Arial" w:eastAsia="Arial" w:hAnsi="Arial"/>
                <w:sz w:val="18"/>
                <w:szCs w:val="18"/>
                <w:b w:val="1"/>
                <w:bCs w:val="1"/>
                <w:color w:val="auto"/>
                <w:w w:val="89"/>
              </w:rPr>
              <w:t>13-4066229</w:t>
            </w:r>
          </w:p>
        </w:tc>
      </w:tr>
      <w:tr>
        <w:trPr>
          <w:trHeight w:val="214"/>
        </w:trPr>
        <w:tc>
          <w:tcPr>
            <w:tcW w:w="2640" w:type="dxa"/>
            <w:vAlign w:val="bottom"/>
          </w:tcPr>
          <w:p>
            <w:pPr>
              <w:jc w:val="center"/>
              <w:ind w:right="331"/>
              <w:spacing w:after="0"/>
              <w:rPr>
                <w:sz w:val="20"/>
                <w:szCs w:val="20"/>
                <w:color w:val="auto"/>
              </w:rPr>
            </w:pPr>
            <w:r>
              <w:rPr>
                <w:rFonts w:ascii="Arial" w:cs="Arial" w:eastAsia="Arial" w:hAnsi="Arial"/>
                <w:sz w:val="18"/>
                <w:szCs w:val="18"/>
                <w:i w:val="1"/>
                <w:iCs w:val="1"/>
                <w:color w:val="auto"/>
                <w:w w:val="93"/>
              </w:rPr>
              <w:t>(State or other jurisdiction of</w:t>
            </w:r>
          </w:p>
        </w:tc>
        <w:tc>
          <w:tcPr>
            <w:tcW w:w="4740" w:type="dxa"/>
            <w:vAlign w:val="bottom"/>
          </w:tcPr>
          <w:p>
            <w:pPr>
              <w:jc w:val="center"/>
              <w:ind w:right="51"/>
              <w:spacing w:after="0"/>
              <w:rPr>
                <w:sz w:val="20"/>
                <w:szCs w:val="20"/>
                <w:color w:val="auto"/>
              </w:rPr>
            </w:pPr>
            <w:r>
              <w:rPr>
                <w:rFonts w:ascii="Arial" w:cs="Arial" w:eastAsia="Arial" w:hAnsi="Arial"/>
                <w:sz w:val="18"/>
                <w:szCs w:val="18"/>
                <w:i w:val="1"/>
                <w:iCs w:val="1"/>
                <w:color w:val="auto"/>
                <w:w w:val="88"/>
              </w:rPr>
              <w:t>Commission</w:t>
            </w:r>
          </w:p>
        </w:tc>
        <w:tc>
          <w:tcPr>
            <w:tcW w:w="2200" w:type="dxa"/>
            <w:vAlign w:val="bottom"/>
          </w:tcPr>
          <w:p>
            <w:pPr>
              <w:jc w:val="center"/>
              <w:ind w:left="471"/>
              <w:spacing w:after="0"/>
              <w:rPr>
                <w:sz w:val="20"/>
                <w:szCs w:val="20"/>
                <w:color w:val="auto"/>
              </w:rPr>
            </w:pPr>
            <w:r>
              <w:rPr>
                <w:rFonts w:ascii="Arial" w:cs="Arial" w:eastAsia="Arial" w:hAnsi="Arial"/>
                <w:sz w:val="18"/>
                <w:szCs w:val="18"/>
                <w:i w:val="1"/>
                <w:iCs w:val="1"/>
                <w:color w:val="auto"/>
                <w:w w:val="90"/>
              </w:rPr>
              <w:t>(I.R.S. Employer</w:t>
            </w:r>
          </w:p>
        </w:tc>
      </w:tr>
      <w:tr>
        <w:trPr>
          <w:trHeight w:val="227"/>
        </w:trPr>
        <w:tc>
          <w:tcPr>
            <w:tcW w:w="2640" w:type="dxa"/>
            <w:vAlign w:val="bottom"/>
          </w:tcPr>
          <w:p>
            <w:pPr>
              <w:jc w:val="center"/>
              <w:ind w:right="331"/>
              <w:spacing w:after="0"/>
              <w:rPr>
                <w:sz w:val="20"/>
                <w:szCs w:val="20"/>
                <w:color w:val="auto"/>
              </w:rPr>
            </w:pPr>
            <w:r>
              <w:rPr>
                <w:rFonts w:ascii="Arial" w:cs="Arial" w:eastAsia="Arial" w:hAnsi="Arial"/>
                <w:sz w:val="18"/>
                <w:szCs w:val="18"/>
                <w:i w:val="1"/>
                <w:iCs w:val="1"/>
                <w:color w:val="auto"/>
                <w:w w:val="94"/>
              </w:rPr>
              <w:t>Incorporation or organization)</w:t>
            </w:r>
          </w:p>
        </w:tc>
        <w:tc>
          <w:tcPr>
            <w:tcW w:w="4740" w:type="dxa"/>
            <w:vAlign w:val="bottom"/>
          </w:tcPr>
          <w:p>
            <w:pPr>
              <w:jc w:val="center"/>
              <w:ind w:right="51"/>
              <w:spacing w:after="0"/>
              <w:rPr>
                <w:sz w:val="20"/>
                <w:szCs w:val="20"/>
                <w:color w:val="auto"/>
              </w:rPr>
            </w:pPr>
            <w:r>
              <w:rPr>
                <w:rFonts w:ascii="Arial" w:cs="Arial" w:eastAsia="Arial" w:hAnsi="Arial"/>
                <w:sz w:val="18"/>
                <w:szCs w:val="18"/>
                <w:i w:val="1"/>
                <w:iCs w:val="1"/>
                <w:color w:val="auto"/>
                <w:w w:val="89"/>
              </w:rPr>
              <w:t>file number</w:t>
            </w:r>
          </w:p>
        </w:tc>
        <w:tc>
          <w:tcPr>
            <w:tcW w:w="2200" w:type="dxa"/>
            <w:vAlign w:val="bottom"/>
          </w:tcPr>
          <w:p>
            <w:pPr>
              <w:jc w:val="center"/>
              <w:ind w:left="471"/>
              <w:spacing w:after="0"/>
              <w:rPr>
                <w:sz w:val="20"/>
                <w:szCs w:val="20"/>
                <w:color w:val="auto"/>
              </w:rPr>
            </w:pPr>
            <w:r>
              <w:rPr>
                <w:rFonts w:ascii="Arial" w:cs="Arial" w:eastAsia="Arial" w:hAnsi="Arial"/>
                <w:sz w:val="18"/>
                <w:szCs w:val="18"/>
                <w:i w:val="1"/>
                <w:iCs w:val="1"/>
                <w:color w:val="auto"/>
                <w:w w:val="93"/>
              </w:rPr>
              <w:t>Identification Number)</w:t>
            </w:r>
          </w:p>
        </w:tc>
      </w:tr>
      <w:tr>
        <w:trPr>
          <w:trHeight w:val="438"/>
        </w:trPr>
        <w:tc>
          <w:tcPr>
            <w:tcW w:w="2640" w:type="dxa"/>
            <w:vAlign w:val="bottom"/>
          </w:tcPr>
          <w:p>
            <w:pPr>
              <w:spacing w:after="0"/>
              <w:rPr>
                <w:sz w:val="24"/>
                <w:szCs w:val="24"/>
                <w:color w:val="auto"/>
              </w:rPr>
            </w:pPr>
          </w:p>
        </w:tc>
        <w:tc>
          <w:tcPr>
            <w:tcW w:w="4740" w:type="dxa"/>
            <w:vAlign w:val="bottom"/>
          </w:tcPr>
          <w:p>
            <w:pPr>
              <w:jc w:val="center"/>
              <w:ind w:right="51"/>
              <w:spacing w:after="0"/>
              <w:rPr>
                <w:sz w:val="20"/>
                <w:szCs w:val="20"/>
                <w:color w:val="auto"/>
              </w:rPr>
            </w:pPr>
            <w:r>
              <w:rPr>
                <w:rFonts w:ascii="Arial" w:cs="Arial" w:eastAsia="Arial" w:hAnsi="Arial"/>
                <w:sz w:val="18"/>
                <w:szCs w:val="18"/>
                <w:b w:val="1"/>
                <w:bCs w:val="1"/>
                <w:color w:val="auto"/>
                <w:w w:val="91"/>
              </w:rPr>
              <w:t>6551 Park of Commerce Blvd, N.W.</w:t>
            </w:r>
          </w:p>
        </w:tc>
        <w:tc>
          <w:tcPr>
            <w:tcW w:w="2200" w:type="dxa"/>
            <w:vAlign w:val="bottom"/>
          </w:tcPr>
          <w:p>
            <w:pPr>
              <w:spacing w:after="0"/>
              <w:rPr>
                <w:sz w:val="24"/>
                <w:szCs w:val="24"/>
                <w:color w:val="auto"/>
              </w:rPr>
            </w:pPr>
          </w:p>
        </w:tc>
      </w:tr>
      <w:tr>
        <w:trPr>
          <w:trHeight w:val="218"/>
        </w:trPr>
        <w:tc>
          <w:tcPr>
            <w:tcW w:w="2640" w:type="dxa"/>
            <w:vAlign w:val="bottom"/>
          </w:tcPr>
          <w:p>
            <w:pPr>
              <w:spacing w:after="0"/>
              <w:rPr>
                <w:sz w:val="18"/>
                <w:szCs w:val="18"/>
                <w:color w:val="auto"/>
              </w:rPr>
            </w:pPr>
          </w:p>
        </w:tc>
        <w:tc>
          <w:tcPr>
            <w:tcW w:w="474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Boca Raton, Florida 33487</w:t>
            </w:r>
          </w:p>
        </w:tc>
        <w:tc>
          <w:tcPr>
            <w:tcW w:w="2200" w:type="dxa"/>
            <w:vAlign w:val="bottom"/>
          </w:tcPr>
          <w:p>
            <w:pPr>
              <w:spacing w:after="0"/>
              <w:rPr>
                <w:sz w:val="18"/>
                <w:szCs w:val="18"/>
                <w:color w:val="auto"/>
              </w:rPr>
            </w:pPr>
          </w:p>
        </w:tc>
      </w:tr>
      <w:tr>
        <w:trPr>
          <w:trHeight w:val="227"/>
        </w:trPr>
        <w:tc>
          <w:tcPr>
            <w:tcW w:w="2640" w:type="dxa"/>
            <w:vAlign w:val="bottom"/>
          </w:tcPr>
          <w:p>
            <w:pPr>
              <w:spacing w:after="0"/>
              <w:rPr>
                <w:sz w:val="19"/>
                <w:szCs w:val="19"/>
                <w:color w:val="auto"/>
              </w:rPr>
            </w:pPr>
          </w:p>
        </w:tc>
        <w:tc>
          <w:tcPr>
            <w:tcW w:w="4740" w:type="dxa"/>
            <w:vAlign w:val="bottom"/>
          </w:tcPr>
          <w:p>
            <w:pPr>
              <w:jc w:val="center"/>
              <w:ind w:right="51"/>
              <w:spacing w:after="0"/>
              <w:rPr>
                <w:sz w:val="20"/>
                <w:szCs w:val="20"/>
                <w:color w:val="auto"/>
              </w:rPr>
            </w:pPr>
            <w:r>
              <w:rPr>
                <w:rFonts w:ascii="Arial" w:cs="Arial" w:eastAsia="Arial" w:hAnsi="Arial"/>
                <w:sz w:val="18"/>
                <w:szCs w:val="18"/>
                <w:i w:val="1"/>
                <w:iCs w:val="1"/>
                <w:color w:val="auto"/>
                <w:w w:val="90"/>
              </w:rPr>
              <w:t>(Address of principal executive offices)(Zip Code)</w:t>
            </w:r>
          </w:p>
        </w:tc>
        <w:tc>
          <w:tcPr>
            <w:tcW w:w="2200" w:type="dxa"/>
            <w:vAlign w:val="bottom"/>
          </w:tcPr>
          <w:p>
            <w:pPr>
              <w:spacing w:after="0"/>
              <w:rPr>
                <w:sz w:val="19"/>
                <w:szCs w:val="19"/>
                <w:color w:val="auto"/>
              </w:rPr>
            </w:pPr>
          </w:p>
        </w:tc>
      </w:tr>
      <w:tr>
        <w:trPr>
          <w:trHeight w:val="442"/>
        </w:trPr>
        <w:tc>
          <w:tcPr>
            <w:tcW w:w="2640" w:type="dxa"/>
            <w:vAlign w:val="bottom"/>
          </w:tcPr>
          <w:p>
            <w:pPr>
              <w:spacing w:after="0"/>
              <w:rPr>
                <w:sz w:val="24"/>
                <w:szCs w:val="24"/>
                <w:color w:val="auto"/>
              </w:rPr>
            </w:pPr>
          </w:p>
        </w:tc>
        <w:tc>
          <w:tcPr>
            <w:tcW w:w="4740" w:type="dxa"/>
            <w:vAlign w:val="bottom"/>
          </w:tcPr>
          <w:p>
            <w:pPr>
              <w:jc w:val="center"/>
              <w:ind w:right="51"/>
              <w:spacing w:after="0"/>
              <w:rPr>
                <w:sz w:val="20"/>
                <w:szCs w:val="20"/>
                <w:color w:val="auto"/>
              </w:rPr>
            </w:pPr>
            <w:r>
              <w:rPr>
                <w:rFonts w:ascii="Arial" w:cs="Arial" w:eastAsia="Arial" w:hAnsi="Arial"/>
                <w:sz w:val="18"/>
                <w:szCs w:val="18"/>
                <w:b w:val="1"/>
                <w:bCs w:val="1"/>
                <w:color w:val="auto"/>
                <w:w w:val="90"/>
              </w:rPr>
              <w:t>(561) 998-2232</w:t>
            </w:r>
          </w:p>
        </w:tc>
        <w:tc>
          <w:tcPr>
            <w:tcW w:w="2200" w:type="dxa"/>
            <w:vAlign w:val="bottom"/>
          </w:tcPr>
          <w:p>
            <w:pPr>
              <w:spacing w:after="0"/>
              <w:rPr>
                <w:sz w:val="24"/>
                <w:szCs w:val="24"/>
                <w:color w:val="auto"/>
              </w:rPr>
            </w:pPr>
          </w:p>
        </w:tc>
      </w:tr>
      <w:tr>
        <w:trPr>
          <w:trHeight w:val="227"/>
        </w:trPr>
        <w:tc>
          <w:tcPr>
            <w:tcW w:w="2640" w:type="dxa"/>
            <w:vAlign w:val="bottom"/>
          </w:tcPr>
          <w:p>
            <w:pPr>
              <w:spacing w:after="0"/>
              <w:rPr>
                <w:sz w:val="19"/>
                <w:szCs w:val="19"/>
                <w:color w:val="auto"/>
              </w:rPr>
            </w:pPr>
          </w:p>
        </w:tc>
        <w:tc>
          <w:tcPr>
            <w:tcW w:w="4740" w:type="dxa"/>
            <w:vAlign w:val="bottom"/>
          </w:tcPr>
          <w:p>
            <w:pPr>
              <w:jc w:val="center"/>
              <w:ind w:right="71"/>
              <w:spacing w:after="0"/>
              <w:rPr>
                <w:sz w:val="20"/>
                <w:szCs w:val="20"/>
                <w:color w:val="auto"/>
              </w:rPr>
            </w:pPr>
            <w:r>
              <w:rPr>
                <w:rFonts w:ascii="Arial" w:cs="Arial" w:eastAsia="Arial" w:hAnsi="Arial"/>
                <w:sz w:val="18"/>
                <w:szCs w:val="18"/>
                <w:i w:val="1"/>
                <w:iCs w:val="1"/>
                <w:color w:val="auto"/>
                <w:w w:val="89"/>
              </w:rPr>
              <w:t>(Registrant’s telephone number, including area code)</w:t>
            </w:r>
          </w:p>
        </w:tc>
        <w:tc>
          <w:tcPr>
            <w:tcW w:w="2200" w:type="dxa"/>
            <w:vAlign w:val="bottom"/>
          </w:tcPr>
          <w:p>
            <w:pPr>
              <w:spacing w:after="0"/>
              <w:rPr>
                <w:sz w:val="19"/>
                <w:szCs w:val="19"/>
                <w:color w:val="auto"/>
              </w:rPr>
            </w:pPr>
          </w:p>
        </w:tc>
      </w:tr>
    </w:tbl>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3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48" w:lineRule="exact"/>
        <w:rPr>
          <w:sz w:val="24"/>
          <w:szCs w:val="24"/>
          <w:color w:val="auto"/>
        </w:rPr>
      </w:pPr>
    </w:p>
    <w:p>
      <w:pPr>
        <w:ind w:right="4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0" w:lineRule="exact"/>
        <w:rPr>
          <w:sz w:val="24"/>
          <w:szCs w:val="24"/>
          <w:color w:val="auto"/>
        </w:rPr>
      </w:pPr>
    </w:p>
    <w:p>
      <w:pPr>
        <w:jc w:val="both"/>
        <w:ind w:right="10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210"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69"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pacing w:after="0" w:line="49"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 Smaller Reporting Company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30,902,314 shares of Common Stock, par value $0.0001 per share, as of April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7252335"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444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597535</wp:posOffset>
            </wp:positionV>
            <wp:extent cx="725233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295" w:right="2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5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Words such as “expects”, “anticipates”, “intends”, “plans”, “believes”, “estimates”, “suggests”,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existing or future government regulation and federal and state legislative and enforcement initiatives on our business, our clients’ ability to pay us for our services, our ability to successfully implement our acquisition and development strategies,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2012, as filed and updated in our Quarterly Reports on Form 10-Q and other filings with the Securities and Exchange Commission.</w:t>
      </w:r>
    </w:p>
    <w:p>
      <w:pPr>
        <w:spacing w:after="0" w:line="216" w:lineRule="exact"/>
        <w:rPr>
          <w:sz w:val="20"/>
          <w:szCs w:val="20"/>
          <w:color w:val="auto"/>
        </w:rPr>
      </w:pPr>
    </w:p>
    <w:p>
      <w:pPr>
        <w:ind w:right="280"/>
        <w:spacing w:after="0" w:line="328" w:lineRule="auto"/>
        <w:rPr>
          <w:sz w:val="20"/>
          <w:szCs w:val="20"/>
          <w:color w:val="auto"/>
        </w:rPr>
      </w:pPr>
      <w:r>
        <w:rPr>
          <w:rFonts w:ascii="Arial" w:cs="Arial" w:eastAsia="Arial" w:hAnsi="Arial"/>
          <w:sz w:val="14"/>
          <w:szCs w:val="14"/>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120" w:firstLine="7"/>
        <w:spacing w:after="0" w:line="274" w:lineRule="auto"/>
        <w:tabs>
          <w:tab w:leader="none" w:pos="213"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20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All references to “we”, “us”, “our”, or “Cross Country” in this Quarterly Report on Form 10-Q mean Cross Country Healthcare, Inc., its subsidiaries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389890</wp:posOffset>
            </wp:positionV>
            <wp:extent cx="725233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60" w:type="dxa"/>
            <w:vAlign w:val="bottom"/>
            <w:gridSpan w:val="8"/>
          </w:tcPr>
          <w:p>
            <w:pPr>
              <w:jc w:val="center"/>
              <w:ind w:right="740"/>
              <w:spacing w:after="0"/>
              <w:rPr>
                <w:sz w:val="20"/>
                <w:szCs w:val="20"/>
                <w:color w:val="auto"/>
              </w:rPr>
            </w:pPr>
            <w:r>
              <w:rPr>
                <w:rFonts w:ascii="Arial" w:cs="Arial" w:eastAsia="Arial" w:hAnsi="Arial"/>
                <w:sz w:val="18"/>
                <w:szCs w:val="18"/>
                <w:b w:val="1"/>
                <w:bCs w:val="1"/>
                <w:color w:val="auto"/>
                <w:w w:val="99"/>
              </w:rPr>
              <w:t>CROSS COUNTRY HEALTHCARE, INC.</w:t>
            </w:r>
          </w:p>
        </w:tc>
        <w:tc>
          <w:tcPr>
            <w:tcW w:w="2260" w:type="dxa"/>
            <w:vAlign w:val="bottom"/>
          </w:tcPr>
          <w:p>
            <w:pPr>
              <w:spacing w:after="0"/>
              <w:rPr>
                <w:sz w:val="20"/>
                <w:szCs w:val="20"/>
                <w:color w:val="auto"/>
              </w:rPr>
            </w:pPr>
          </w:p>
        </w:tc>
      </w:tr>
      <w:tr>
        <w:trPr>
          <w:trHeight w:val="45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INDEX</w:t>
            </w:r>
          </w:p>
        </w:tc>
        <w:tc>
          <w:tcPr>
            <w:tcW w:w="2260" w:type="dxa"/>
            <w:vAlign w:val="bottom"/>
          </w:tcPr>
          <w:p>
            <w:pPr>
              <w:spacing w:after="0"/>
              <w:rPr>
                <w:sz w:val="24"/>
                <w:szCs w:val="24"/>
                <w:color w:val="auto"/>
              </w:rPr>
            </w:pPr>
          </w:p>
        </w:tc>
      </w:tr>
      <w:tr>
        <w:trPr>
          <w:trHeight w:val="45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40" w:type="dxa"/>
            <w:vAlign w:val="bottom"/>
            <w:gridSpan w:val="5"/>
          </w:tcPr>
          <w:p>
            <w:pPr>
              <w:jc w:val="center"/>
              <w:ind w:right="2840"/>
              <w:spacing w:after="0"/>
              <w:rPr>
                <w:sz w:val="20"/>
                <w:szCs w:val="20"/>
                <w:color w:val="auto"/>
              </w:rPr>
            </w:pPr>
            <w:r>
              <w:rPr>
                <w:rFonts w:ascii="Arial" w:cs="Arial" w:eastAsia="Arial" w:hAnsi="Arial"/>
                <w:sz w:val="18"/>
                <w:szCs w:val="18"/>
                <w:b w:val="1"/>
                <w:bCs w:val="1"/>
                <w:color w:val="auto"/>
                <w:w w:val="97"/>
              </w:rPr>
              <w:t>FORM 10-Q</w:t>
            </w:r>
          </w:p>
        </w:tc>
        <w:tc>
          <w:tcPr>
            <w:tcW w:w="2260" w:type="dxa"/>
            <w:vAlign w:val="bottom"/>
          </w:tcPr>
          <w:p>
            <w:pPr>
              <w:spacing w:after="0"/>
              <w:rPr>
                <w:sz w:val="24"/>
                <w:szCs w:val="24"/>
                <w:color w:val="auto"/>
              </w:rPr>
            </w:pPr>
          </w:p>
        </w:tc>
      </w:tr>
      <w:tr>
        <w:trPr>
          <w:trHeight w:val="45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40" w:type="dxa"/>
            <w:vAlign w:val="bottom"/>
            <w:gridSpan w:val="6"/>
          </w:tcPr>
          <w:p>
            <w:pPr>
              <w:jc w:val="center"/>
              <w:ind w:right="2340"/>
              <w:spacing w:after="0"/>
              <w:rPr>
                <w:sz w:val="20"/>
                <w:szCs w:val="20"/>
                <w:color w:val="auto"/>
              </w:rPr>
            </w:pPr>
            <w:r>
              <w:rPr>
                <w:rFonts w:ascii="Arial" w:cs="Arial" w:eastAsia="Arial" w:hAnsi="Arial"/>
                <w:sz w:val="18"/>
                <w:szCs w:val="18"/>
                <w:b w:val="1"/>
                <w:bCs w:val="1"/>
                <w:color w:val="auto"/>
                <w:w w:val="95"/>
              </w:rPr>
              <w:t>MARCH 31, 2013</w:t>
            </w:r>
          </w:p>
        </w:tc>
        <w:tc>
          <w:tcPr>
            <w:tcW w:w="2260" w:type="dxa"/>
            <w:vAlign w:val="bottom"/>
          </w:tcPr>
          <w:p>
            <w:pPr>
              <w:spacing w:after="0"/>
              <w:rPr>
                <w:sz w:val="24"/>
                <w:szCs w:val="24"/>
                <w:color w:val="auto"/>
              </w:rPr>
            </w:pPr>
          </w:p>
        </w:tc>
      </w:tr>
      <w:tr>
        <w:trPr>
          <w:trHeight w:val="45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90"/>
        </w:trPr>
        <w:tc>
          <w:tcPr>
            <w:tcW w:w="300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PART I. – FINANCIAL INFORMATION</w:t>
              </w:r>
            </w:hyperlink>
          </w:p>
        </w:tc>
        <w:tc>
          <w:tcPr>
            <w:tcW w:w="6160" w:type="dxa"/>
            <w:vAlign w:val="bottom"/>
            <w:gridSpan w:val="8"/>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08"/>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80" w:type="dxa"/>
            <w:vAlign w:val="bottom"/>
            <w:gridSpan w:val="3"/>
          </w:tcPr>
          <w:p>
            <w:pPr>
              <w:spacing w:after="0"/>
              <w:rPr>
                <w:sz w:val="24"/>
                <w:szCs w:val="24"/>
                <w:color w:val="auto"/>
              </w:rPr>
            </w:pPr>
          </w:p>
        </w:tc>
        <w:tc>
          <w:tcPr>
            <w:tcW w:w="8360" w:type="dxa"/>
            <w:vAlign w:val="bottom"/>
            <w:gridSpan w:val="15"/>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0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60" w:type="dxa"/>
            <w:vAlign w:val="bottom"/>
            <w:gridSpan w:val="15"/>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0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60" w:type="dxa"/>
            <w:vAlign w:val="bottom"/>
            <w:gridSpan w:val="15"/>
          </w:tcPr>
          <w:p>
            <w:pPr>
              <w:ind w:left="20"/>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0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60" w:type="dxa"/>
            <w:vAlign w:val="bottom"/>
            <w:tcBorders>
              <w:bottom w:val="single" w:sz="8" w:color="0000EE"/>
            </w:tcBorders>
            <w:gridSpan w:val="14"/>
          </w:tcPr>
          <w:p>
            <w:pPr>
              <w:ind w:left="20"/>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Income (Loss) (Unaudited)</w:t>
              </w:r>
            </w:hyperlink>
          </w:p>
        </w:tc>
        <w:tc>
          <w:tcPr>
            <w:tcW w:w="24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0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0" w:type="dxa"/>
            <w:vAlign w:val="bottom"/>
            <w:tcBorders>
              <w:bottom w:val="single" w:sz="8" w:color="0000EE"/>
            </w:tcBorders>
            <w:gridSpan w:val="12"/>
          </w:tcPr>
          <w:p>
            <w:pPr>
              <w:ind w:left="20"/>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 (Unaudited)</w:t>
              </w:r>
            </w:hyperlink>
          </w:p>
        </w:tc>
        <w:tc>
          <w:tcPr>
            <w:tcW w:w="3760" w:type="dxa"/>
            <w:vAlign w:val="bottom"/>
            <w:gridSpan w:val="3"/>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tcBorders>
              <w:bottom w:val="single" w:sz="8" w:color="0000EE"/>
            </w:tcBorders>
            <w:gridSpan w:val="13"/>
          </w:tcPr>
          <w:p>
            <w:pPr>
              <w:ind w:left="20"/>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 (Unaudited)</w:t>
              </w:r>
            </w:hyperlink>
          </w:p>
        </w:tc>
        <w:tc>
          <w:tcPr>
            <w:tcW w:w="3480" w:type="dxa"/>
            <w:vAlign w:val="bottom"/>
            <w:gridSpan w:val="2"/>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8"/>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280" w:type="dxa"/>
            <w:vAlign w:val="bottom"/>
            <w:gridSpan w:val="3"/>
          </w:tcPr>
          <w:p>
            <w:pPr>
              <w:spacing w:after="0"/>
              <w:rPr>
                <w:sz w:val="24"/>
                <w:szCs w:val="24"/>
                <w:color w:val="auto"/>
              </w:rPr>
            </w:pPr>
          </w:p>
        </w:tc>
        <w:tc>
          <w:tcPr>
            <w:tcW w:w="454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w:t>
              </w:r>
            </w:hyperlink>
          </w:p>
        </w:tc>
        <w:tc>
          <w:tcPr>
            <w:tcW w:w="3820" w:type="dxa"/>
            <w:vAlign w:val="bottom"/>
            <w:gridSpan w:val="4"/>
          </w:tcPr>
          <w:p>
            <w:pPr>
              <w:spacing w:after="0"/>
              <w:rPr>
                <w:sz w:val="24"/>
                <w:szCs w:val="24"/>
                <w:color w:val="auto"/>
              </w:rPr>
            </w:pPr>
          </w:p>
        </w:tc>
        <w:tc>
          <w:tcPr>
            <w:tcW w:w="2260" w:type="dxa"/>
            <w:vAlign w:val="bottom"/>
          </w:tcPr>
          <w:p>
            <w:pPr>
              <w:spacing w:after="0"/>
              <w:rPr>
                <w:sz w:val="24"/>
                <w:szCs w:val="24"/>
                <w:color w:val="auto"/>
              </w:rPr>
            </w:pPr>
          </w:p>
        </w:tc>
      </w:tr>
      <w:tr>
        <w:trPr>
          <w:trHeight w:val="194"/>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tcBorders>
              <w:bottom w:val="single" w:sz="8" w:color="0000EE"/>
            </w:tcBorders>
            <w:gridSpan w:val="5"/>
          </w:tcPr>
          <w:p>
            <w:pPr>
              <w:ind w:left="20"/>
              <w:spacing w:after="0" w:line="195"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and Results of Operations</w:t>
              </w:r>
            </w:hyperlink>
          </w:p>
        </w:tc>
        <w:tc>
          <w:tcPr>
            <w:tcW w:w="6500" w:type="dxa"/>
            <w:vAlign w:val="bottom"/>
            <w:gridSpan w:val="10"/>
          </w:tcPr>
          <w:p>
            <w:pPr>
              <w:spacing w:after="0"/>
              <w:rPr>
                <w:sz w:val="16"/>
                <w:szCs w:val="16"/>
                <w:color w:val="auto"/>
              </w:rPr>
            </w:pPr>
          </w:p>
        </w:tc>
        <w:tc>
          <w:tcPr>
            <w:tcW w:w="226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r>
      <w:tr>
        <w:trPr>
          <w:trHeight w:val="408"/>
        </w:trPr>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280" w:type="dxa"/>
            <w:vAlign w:val="bottom"/>
            <w:gridSpan w:val="3"/>
          </w:tcPr>
          <w:p>
            <w:pPr>
              <w:spacing w:after="0"/>
              <w:rPr>
                <w:sz w:val="24"/>
                <w:szCs w:val="24"/>
                <w:color w:val="auto"/>
              </w:rPr>
            </w:pPr>
          </w:p>
        </w:tc>
        <w:tc>
          <w:tcPr>
            <w:tcW w:w="8360" w:type="dxa"/>
            <w:vAlign w:val="bottom"/>
            <w:gridSpan w:val="15"/>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08"/>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280" w:type="dxa"/>
            <w:vAlign w:val="bottom"/>
            <w:gridSpan w:val="3"/>
          </w:tcPr>
          <w:p>
            <w:pPr>
              <w:spacing w:after="0"/>
              <w:rPr>
                <w:sz w:val="24"/>
                <w:szCs w:val="24"/>
                <w:color w:val="auto"/>
              </w:rPr>
            </w:pPr>
          </w:p>
        </w:tc>
        <w:tc>
          <w:tcPr>
            <w:tcW w:w="4320" w:type="dxa"/>
            <w:vAlign w:val="bottom"/>
            <w:tcBorders>
              <w:top w:val="single" w:sz="8" w:color="0000EE"/>
            </w:tcBorders>
            <w:gridSpan w:val="10"/>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040" w:type="dxa"/>
            <w:vAlign w:val="bottom"/>
            <w:gridSpan w:val="5"/>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80" w:type="dxa"/>
            <w:vAlign w:val="bottom"/>
            <w:gridSpan w:val="9"/>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08"/>
        </w:trPr>
        <w:tc>
          <w:tcPr>
            <w:tcW w:w="916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PART II. – OTHER INFORMATION</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08"/>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w:t>
              </w:r>
            </w:hyperlink>
          </w:p>
        </w:tc>
        <w:tc>
          <w:tcPr>
            <w:tcW w:w="280" w:type="dxa"/>
            <w:vAlign w:val="bottom"/>
            <w:tcBorders>
              <w:top w:val="single" w:sz="8" w:color="0000EE"/>
            </w:tcBorders>
            <w:gridSpan w:val="3"/>
          </w:tcPr>
          <w:p>
            <w:pPr>
              <w:spacing w:after="0"/>
              <w:rPr>
                <w:sz w:val="24"/>
                <w:szCs w:val="24"/>
                <w:color w:val="auto"/>
              </w:rPr>
            </w:pPr>
          </w:p>
        </w:tc>
        <w:tc>
          <w:tcPr>
            <w:tcW w:w="1340" w:type="dxa"/>
            <w:vAlign w:val="bottom"/>
            <w:tcBorders>
              <w:top w:val="single" w:sz="8" w:color="0000EE"/>
              <w:bottom w:val="single" w:sz="8" w:color="0000EE"/>
            </w:tcBorders>
            <w:gridSpan w:val="3"/>
          </w:tcPr>
          <w:p>
            <w:pPr>
              <w:ind w:left="20"/>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6480" w:type="dxa"/>
            <w:vAlign w:val="bottom"/>
            <w:gridSpan w:val="9"/>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08"/>
        </w:trPr>
        <w:tc>
          <w:tcPr>
            <w:tcW w:w="80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8360" w:type="dxa"/>
            <w:vAlign w:val="bottom"/>
            <w:gridSpan w:val="15"/>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08"/>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900" w:type="dxa"/>
            <w:vAlign w:val="bottom"/>
            <w:tcBorders>
              <w:top w:val="single" w:sz="8" w:color="0000EE"/>
            </w:tcBorders>
            <w:gridSpan w:val="2"/>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460" w:type="dxa"/>
            <w:vAlign w:val="bottom"/>
            <w:gridSpan w:val="13"/>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08"/>
        </w:trPr>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b w:val="1"/>
          <w:bCs w:val="1"/>
          <w:color w:val="auto"/>
        </w:rPr>
        <w:t>PART I. 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8800" w:type="dxa"/>
            <w:vAlign w:val="bottom"/>
          </w:tcPr>
          <w:p>
            <w:pPr>
              <w:jc w:val="center"/>
              <w:ind w:left="2391"/>
              <w:spacing w:after="0"/>
              <w:rPr>
                <w:sz w:val="20"/>
                <w:szCs w:val="20"/>
                <w:color w:val="auto"/>
              </w:rPr>
            </w:pPr>
            <w:r>
              <w:rPr>
                <w:rFonts w:ascii="Arial" w:cs="Arial" w:eastAsia="Arial" w:hAnsi="Arial"/>
                <w:sz w:val="18"/>
                <w:szCs w:val="18"/>
                <w:b w:val="1"/>
                <w:bCs w:val="1"/>
                <w:color w:val="auto"/>
                <w:w w:val="91"/>
              </w:rPr>
              <w:t>Cross Country Healthcare, Inc.</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jc w:val="center"/>
              <w:ind w:left="2391"/>
              <w:spacing w:after="0"/>
              <w:rPr>
                <w:sz w:val="20"/>
                <w:szCs w:val="20"/>
                <w:color w:val="auto"/>
              </w:rPr>
            </w:pPr>
            <w:r>
              <w:rPr>
                <w:rFonts w:ascii="Arial" w:cs="Arial" w:eastAsia="Arial" w:hAnsi="Arial"/>
                <w:sz w:val="18"/>
                <w:szCs w:val="18"/>
                <w:b w:val="1"/>
                <w:bCs w:val="1"/>
                <w:color w:val="auto"/>
                <w:w w:val="86"/>
              </w:rPr>
              <w:t>Condensed Consolidated Balance Sheets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0" w:type="dxa"/>
            <w:vAlign w:val="bottom"/>
          </w:tcPr>
          <w:p>
            <w:pPr>
              <w:jc w:val="center"/>
              <w:ind w:left="2391"/>
              <w:spacing w:after="0"/>
              <w:rPr>
                <w:sz w:val="20"/>
                <w:szCs w:val="20"/>
                <w:color w:val="auto"/>
              </w:rPr>
            </w:pPr>
            <w:r>
              <w:rPr>
                <w:rFonts w:ascii="Arial" w:cs="Arial" w:eastAsia="Arial" w:hAnsi="Arial"/>
                <w:sz w:val="18"/>
                <w:szCs w:val="18"/>
                <w:b w:val="1"/>
                <w:bCs w:val="1"/>
                <w:color w:val="auto"/>
                <w:w w:val="88"/>
              </w:rPr>
              <w:t>(Unaudited, amounts in thousands)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24"/>
                <w:szCs w:val="24"/>
                <w:color w:val="auto"/>
              </w:rPr>
            </w:pPr>
          </w:p>
        </w:tc>
        <w:tc>
          <w:tcPr>
            <w:tcW w:w="124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3"/>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20,905</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10,463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00" w:type="dxa"/>
            <w:vAlign w:val="bottom"/>
          </w:tcPr>
          <w:p>
            <w:pPr>
              <w:ind w:left="120"/>
              <w:spacing w:after="0" w:line="200" w:lineRule="exact"/>
              <w:rPr>
                <w:sz w:val="20"/>
                <w:szCs w:val="20"/>
                <w:color w:val="auto"/>
              </w:rPr>
            </w:pPr>
            <w:r>
              <w:rPr>
                <w:rFonts w:ascii="Arial" w:cs="Arial" w:eastAsia="Arial" w:hAnsi="Arial"/>
                <w:sz w:val="18"/>
                <w:szCs w:val="18"/>
                <w:color w:val="auto"/>
              </w:rPr>
              <w:t>Accounts receivable, less allowance for doubtful accounts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of $1,919 in 2013 and $1,841 in 2012</w:t>
            </w: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62,674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46,971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Insurance recovery receivable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115,636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145,368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Property and equipment, net of accumulated depreciation of</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$42,942 in 2013 and $41,918 in 2012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Trademarks, net</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48,701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48,701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62,712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identifiable intangible assets, net</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net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Non-current deferred tax assets</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13,517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16,182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Indemnity escrow receivable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Non-current insurance recovery receivable</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281,396</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305,923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12,513</w:t>
            </w:r>
          </w:p>
        </w:tc>
        <w:tc>
          <w:tcPr>
            <w:tcW w:w="3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Accrued employee compensation and benefits</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19,541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21,650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33,683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Liabilities related to assets held for sale</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5,742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72,587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accrued claims</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22,147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16,347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68,157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96,801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245,523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244,924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213,239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209,122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281,396</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305,923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Cross Country Healthcare, Inc.</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110,316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109,800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 operating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81,440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80,750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27,065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27,883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110,515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110,714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expenses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loss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before 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00" w:type="dxa"/>
            <w:vAlign w:val="bottom"/>
          </w:tcPr>
          <w:p>
            <w:pPr>
              <w:spacing w:after="0" w:line="200" w:lineRule="exact"/>
              <w:rPr>
                <w:sz w:val="20"/>
                <w:szCs w:val="20"/>
                <w:color w:val="auto"/>
              </w:rPr>
            </w:pPr>
            <w:r>
              <w:rPr>
                <w:rFonts w:ascii="Arial" w:cs="Arial" w:eastAsia="Arial" w:hAnsi="Arial"/>
                <w:sz w:val="18"/>
                <w:szCs w:val="18"/>
                <w:color w:val="auto"/>
              </w:rPr>
              <w:t>Income (loss) from discontinued operations,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tcPr>
          <w:p>
            <w:pPr>
              <w:ind w:left="120"/>
              <w:spacing w:after="0"/>
              <w:rPr>
                <w:sz w:val="20"/>
                <w:szCs w:val="20"/>
                <w:color w:val="auto"/>
              </w:rPr>
            </w:pPr>
            <w:r>
              <w:rPr>
                <w:rFonts w:ascii="Arial" w:cs="Arial" w:eastAsia="Arial" w:hAnsi="Arial"/>
                <w:sz w:val="18"/>
                <w:szCs w:val="18"/>
                <w:color w:val="auto"/>
              </w:rPr>
              <w:t>net of income taxes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2,504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vMerge w:val="continue"/>
          </w:tcPr>
          <w:p>
            <w:pPr>
              <w:spacing w:after="0"/>
              <w:rPr>
                <w:sz w:val="22"/>
                <w:szCs w:val="22"/>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8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 basic:</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ind w:left="120"/>
              <w:spacing w:after="0"/>
              <w:rPr>
                <w:sz w:val="20"/>
                <w:szCs w:val="20"/>
                <w:color w:val="auto"/>
              </w:rPr>
            </w:pPr>
            <w:r>
              <w:rPr>
                <w:rFonts w:ascii="Arial" w:cs="Arial" w:eastAsia="Arial" w:hAnsi="Arial"/>
                <w:sz w:val="18"/>
                <w:szCs w:val="18"/>
                <w:color w:val="auto"/>
              </w:rPr>
              <w:t>(Loss) income from continuing operations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Net income (loss) per common share, diluted: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income from continuing operations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8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30,902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30,766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30,902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30,837</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Cross Country Healthcare, Inc.</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18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02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Reclassification of currency translation adjustments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related to sale of clinical trial services business (see Note 3 - Comprehensive Income)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Pr>
          <w:p>
            <w:pPr>
              <w:ind w:left="140"/>
              <w:spacing w:after="0"/>
              <w:rPr>
                <w:sz w:val="20"/>
                <w:szCs w:val="20"/>
                <w:color w:val="auto"/>
              </w:rPr>
            </w:pPr>
            <w:r>
              <w:rPr>
                <w:rFonts w:ascii="Arial" w:cs="Arial" w:eastAsia="Arial" w:hAnsi="Arial"/>
                <w:sz w:val="18"/>
                <w:szCs w:val="18"/>
                <w:color w:val="auto"/>
              </w:rPr>
              <w:t>Net change in fair value of marketable securities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020" w:type="dxa"/>
            <w:vAlign w:val="bottom"/>
          </w:tcPr>
          <w:p>
            <w:pPr>
              <w:ind w:left="140"/>
              <w:spacing w:after="0" w:line="200" w:lineRule="exact"/>
              <w:rPr>
                <w:sz w:val="20"/>
                <w:szCs w:val="20"/>
                <w:color w:val="auto"/>
              </w:rPr>
            </w:pPr>
            <w:r>
              <w:rPr>
                <w:rFonts w:ascii="Arial" w:cs="Arial" w:eastAsia="Arial" w:hAnsi="Arial"/>
                <w:sz w:val="18"/>
                <w:szCs w:val="18"/>
                <w:color w:val="auto"/>
              </w:rPr>
              <w:t>Income tax (benefit) expense related to</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20" w:type="dxa"/>
            <w:vAlign w:val="bottom"/>
          </w:tcPr>
          <w:p>
            <w:pPr>
              <w:ind w:left="30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835"/>
        </w:trPr>
        <w:tc>
          <w:tcPr>
            <w:tcW w:w="20" w:type="dxa"/>
            <w:vAlign w:val="bottom"/>
          </w:tcPr>
          <w:p>
            <w:pPr>
              <w:spacing w:after="0"/>
              <w:rPr>
                <w:sz w:val="24"/>
                <w:szCs w:val="24"/>
                <w:color w:val="auto"/>
              </w:rPr>
            </w:pPr>
          </w:p>
        </w:tc>
        <w:tc>
          <w:tcPr>
            <w:tcW w:w="9020" w:type="dxa"/>
            <w:vAlign w:val="bottom"/>
            <w:tcBorders>
              <w:top w:val="single" w:sz="8" w:color="CCEEFF"/>
            </w:tcBorders>
          </w:tcPr>
          <w:p>
            <w:pPr>
              <w:ind w:left="5640"/>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6" w:name="page7"/>
    <w:bookmarkEnd w:id="6"/>
    <w:p>
      <w:pPr>
        <w:jc w:val="center"/>
        <w:ind w:right="100"/>
        <w:spacing w:after="0"/>
        <w:rPr>
          <w:sz w:val="20"/>
          <w:szCs w:val="20"/>
          <w:color w:val="auto"/>
        </w:rPr>
      </w:pPr>
      <w:r>
        <w:rPr>
          <w:rFonts w:ascii="Arial" w:cs="Arial" w:eastAsia="Arial" w:hAnsi="Arial"/>
          <w:sz w:val="18"/>
          <w:szCs w:val="18"/>
          <w:b w:val="1"/>
          <w:bCs w:val="1"/>
          <w:color w:val="auto"/>
        </w:rPr>
        <w:t>Cross Country Healthcare, Inc.</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427"/>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020" w:type="dxa"/>
            <w:vAlign w:val="bottom"/>
          </w:tcPr>
          <w:p>
            <w:pPr>
              <w:spacing w:after="0" w:line="200" w:lineRule="exact"/>
              <w:rPr>
                <w:sz w:val="20"/>
                <w:szCs w:val="20"/>
                <w:color w:val="auto"/>
              </w:rPr>
            </w:pPr>
            <w:r>
              <w:rPr>
                <w:rFonts w:ascii="Arial" w:cs="Arial" w:eastAsia="Arial" w:hAnsi="Arial"/>
                <w:sz w:val="18"/>
                <w:szCs w:val="18"/>
                <w:color w:val="auto"/>
              </w:rPr>
              <w:t>Adjustments to reconcile net income (loss) to net cash (used in)</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040" w:type="dxa"/>
            <w:vAlign w:val="bottom"/>
            <w:gridSpan w:val="2"/>
          </w:tcPr>
          <w:p>
            <w:pPr>
              <w:spacing w:after="0"/>
              <w:rPr>
                <w:sz w:val="20"/>
                <w:szCs w:val="20"/>
                <w:color w:val="auto"/>
              </w:rPr>
            </w:pPr>
            <w:r>
              <w:rPr>
                <w:rFonts w:ascii="Arial" w:cs="Arial" w:eastAsia="Arial" w:hAnsi="Arial"/>
                <w:sz w:val="18"/>
                <w:szCs w:val="18"/>
                <w:color w:val="auto"/>
              </w:rPr>
              <w:t>provided by operating activities: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 expense (benefit)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clinical trial services business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ind w:left="3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Pr>
          <w:p>
            <w:pPr>
              <w:ind w:left="30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Proceeds from sale of business segment, net of cash sold and transaction costs</w:t>
            </w: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46,064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45,832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Principal repayments on term loan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Repayments on revolving credit facility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Borrowings under revolving credit facility</w:t>
            </w: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Repayments on asset-based revolving credit facility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Borrowings under asset-based revolving credit facility</w:t>
            </w: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49,244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 and note payable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repurchase and retirement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2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10,442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10,463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20,905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1" w:lineRule="exact"/>
        <w:rPr>
          <w:sz w:val="20"/>
          <w:szCs w:val="20"/>
          <w:color w:val="auto"/>
        </w:rPr>
      </w:pPr>
    </w:p>
    <w:p>
      <w:pPr>
        <w:ind w:left="640" w:hanging="633"/>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52"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The accompanying condensed consolidated financial statements include the accounts of Cross Country Healthcare, Inc. and its direct and indirect wholly-owned subsidiaries (collectively, the Company). All material intercompany transactions and balances have been eliminated in consolidation. 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U.S. generally accepted accounting principles (U.S. GAAP) for complete financial statements. The preparation of consolidated financial statements, in conformity with U.S. GAAP, requires management to make estimates and assumptions that affect the reported amounts in the condensed consolidated financial statements and accompanying notes. Estimates are used for, but not limited to, the valuation of accounts receivable, goodwill and intangible assets, other long-lived assets, accruals for health, workers’ compensation and professional liability claims, legal contingencies, future contingent considerations, income taxes and sales and other non-income tax liabilities. Accrued claims and reserves include estimated settlements from known claims and actuarial estimates for claims incurred but not reported. Actual results could differ from those estimates. In the opinion of management, all adjustments (consisting of normal recurring accruals) considered necessary for a fair presentation have been included. These operating results are not necessarily indicative of the results that may be expected for the year ending December 31, 2013. Typically,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the fiscal year, the Company’s profitability is negatively impacted by the reset of payroll taxes.</w:t>
      </w:r>
    </w:p>
    <w:p>
      <w:pPr>
        <w:spacing w:after="0" w:line="23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2012 included in the Company’s Annual Report on Form 10-K as filed with the Securities and Exchange Commission. The December 31, 2012 condensed consolidated balance sheet included herein was derived from the December 31, 2012 audited consolidated balance sheet included in the Company’s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Certain prior year amounts have been reclassified to conform to the current period presentation (see see Note 10 – Segment Data for more information).</w:t>
      </w:r>
    </w:p>
    <w:p>
      <w:pPr>
        <w:spacing w:after="0" w:line="267" w:lineRule="exact"/>
        <w:rPr>
          <w:sz w:val="20"/>
          <w:szCs w:val="20"/>
          <w:color w:val="auto"/>
        </w:rPr>
      </w:pPr>
    </w:p>
    <w:p>
      <w:pPr>
        <w:ind w:left="640" w:hanging="633"/>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clinical trial services business provided clinical trial, drug safety, and regulatory professionals and services on a contract staffing and outsourced basis to companies in the pharmaceutical, biotechnology and medical device industries, as well as to contract research organizations, primarily in the United States, and also in Canada and Europe. During the fourth quarter of 2012, the Company’s Board of Directors approved a plan to exit the clinical trial services business as a result of an extensive review of its business and the changing landscape in the pharmaceutical outsourcing industry. Classification of a disposal group as held for sale occurs when sufficient authority to sell the disposal group has been obtained, the disposal group is available for immediate sale, an active program to sell the disposal group has been initiated and its sale is probable within one year. Accordingly, the clinical trial services business was classified as a disposal group held for sale as of December 31, 2012.</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15, 2013, the Company completed the sale of its clinical trial services business to ICON Clinical Research, Inc. and ICON Clinical Research UK Limited (the “Buyer”) for an aggregate $52.0 million in cash, subject to certain adjustments. The agreement includes a provision for an earn-out of up to $3.75 million related to certain performance-based milestones. Of the $52.0 million purchase price, paid at closing, $3.75 million was placed in escrow for a period of 18 months following the closing to provide partial security to the Buyer in the event of any breach of the representations, warranties and covenants of the Company. The maximum earn-out amount of $3.75 million was also deposited in escrow by Buyer as security for the earn-out payment, if any. The Company has agreed to provide certain transitional services to the Buyer for a period of up to 6 months, subject to extension in certain circumstances (including the Company’s prior written consent).</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recorded the $3.75 million indemnity escrow funds as an escrow receivable, and will adjust the amount, each reporting period, based on any known information that may arise that would be reasonable and estimable. The $3.75 million earn out related to certain performance based milestones is treated as contingent consideration and the Company assigned no fair value to this earn-out as of March 31, 2013 (see Note 8 – Fair Value Measurements for more information).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8" w:name="page9"/>
    <w:bookmarkEnd w:id="8"/>
    <w:p>
      <w:pPr>
        <w:ind w:right="20"/>
        <w:spacing w:after="0" w:line="293" w:lineRule="auto"/>
        <w:rPr>
          <w:sz w:val="20"/>
          <w:szCs w:val="20"/>
          <w:color w:val="auto"/>
        </w:rPr>
      </w:pPr>
      <w:r>
        <w:rPr>
          <w:rFonts w:ascii="Arial" w:cs="Arial" w:eastAsia="Arial" w:hAnsi="Arial"/>
          <w:sz w:val="16"/>
          <w:szCs w:val="16"/>
          <w:color w:val="auto"/>
        </w:rPr>
        <w:t>As a result of the disposal, the underlying operations and cash flows of the clinical trial services business have been eliminated from the Company’s continuing operations and the Company no longer has the ability to influence the operating and/or financial policies of the disposal group. In addition, the future continuing cash flows from the disposed business resulting from a short-term transitional services agreement are not expected to be significant and do not constitute a material continuing financial interest in the clinical trial services business. As a result, pursuant to generally accepted accounting principles, the historical financial results of operations, except for disclosures related to cash flows, have been presented as discontinued operations for all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revenues and the components of discontinued operations, net of tax:</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w w:val="96"/>
              </w:rPr>
              <w:t>March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140"/>
              <w:spacing w:after="0"/>
              <w:rPr>
                <w:sz w:val="20"/>
                <w:szCs w:val="20"/>
                <w:color w:val="auto"/>
              </w:rPr>
            </w:pPr>
            <w:r>
              <w:rPr>
                <w:rFonts w:ascii="Arial" w:cs="Arial" w:eastAsia="Arial" w:hAnsi="Arial"/>
                <w:sz w:val="18"/>
                <w:szCs w:val="18"/>
                <w:color w:val="auto"/>
                <w:w w:val="87"/>
              </w:rPr>
              <w:t>(amounts in</w:t>
            </w:r>
          </w:p>
        </w:tc>
        <w:tc>
          <w:tcPr>
            <w:tcW w:w="8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78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w:t>
            </w:r>
          </w:p>
        </w:tc>
        <w:tc>
          <w:tcPr>
            <w:tcW w:w="0" w:type="dxa"/>
            <w:vAlign w:val="bottom"/>
          </w:tcPr>
          <w:p>
            <w:pPr>
              <w:spacing w:after="0"/>
              <w:rPr>
                <w:sz w:val="1"/>
                <w:szCs w:val="1"/>
                <w:color w:val="auto"/>
              </w:rPr>
            </w:pPr>
          </w:p>
        </w:tc>
      </w:tr>
      <w:tr>
        <w:trPr>
          <w:trHeight w:val="207"/>
        </w:trPr>
        <w:tc>
          <w:tcPr>
            <w:tcW w:w="380" w:type="dxa"/>
            <w:vAlign w:val="bottom"/>
          </w:tcPr>
          <w:p>
            <w:pPr>
              <w:spacing w:after="0"/>
              <w:rPr>
                <w:sz w:val="18"/>
                <w:szCs w:val="18"/>
                <w:color w:val="auto"/>
              </w:rPr>
            </w:pPr>
          </w:p>
        </w:tc>
        <w:tc>
          <w:tcPr>
            <w:tcW w:w="780" w:type="dxa"/>
            <w:vAlign w:val="bottom"/>
            <w:vMerge w:val="restart"/>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from discontinued operations before gain on sale and income taxes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0" w:type="dxa"/>
            <w:vAlign w:val="bottom"/>
          </w:tcPr>
          <w:p>
            <w:pPr>
              <w:ind w:left="120"/>
              <w:spacing w:after="0" w:line="200" w:lineRule="exact"/>
              <w:rPr>
                <w:sz w:val="20"/>
                <w:szCs w:val="20"/>
                <w:color w:val="auto"/>
              </w:rPr>
            </w:pPr>
            <w:r>
              <w:rPr>
                <w:rFonts w:ascii="Arial" w:cs="Arial" w:eastAsia="Arial" w:hAnsi="Arial"/>
                <w:sz w:val="18"/>
                <w:szCs w:val="18"/>
                <w:color w:val="auto"/>
              </w:rPr>
              <w:t>Income (loss) from discontinued operations,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0" w:type="dxa"/>
            <w:vAlign w:val="bottom"/>
          </w:tcPr>
          <w:p>
            <w:pPr>
              <w:ind w:left="260"/>
              <w:spacing w:after="0"/>
              <w:rPr>
                <w:sz w:val="20"/>
                <w:szCs w:val="20"/>
                <w:color w:val="auto"/>
              </w:rPr>
            </w:pPr>
            <w:r>
              <w:rPr>
                <w:rFonts w:ascii="Arial" w:cs="Arial" w:eastAsia="Arial" w:hAnsi="Arial"/>
                <w:sz w:val="18"/>
                <w:szCs w:val="18"/>
                <w:color w:val="auto"/>
              </w:rPr>
              <w:t>net of income taxes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2,504</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
        </w:trPr>
        <w:tc>
          <w:tcPr>
            <w:tcW w:w="38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w w:val="79"/>
              </w:rPr>
              <w:t>3.</w:t>
            </w:r>
          </w:p>
        </w:tc>
        <w:tc>
          <w:tcPr>
            <w:tcW w:w="678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COMPREHENSIVE INCOME</w:t>
            </w: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80" w:type="dxa"/>
            <w:vAlign w:val="bottom"/>
            <w:vMerge w:val="continue"/>
          </w:tcPr>
          <w:p>
            <w:pPr>
              <w:spacing w:after="0"/>
              <w:rPr>
                <w:sz w:val="24"/>
                <w:szCs w:val="24"/>
                <w:color w:val="auto"/>
              </w:rPr>
            </w:pPr>
          </w:p>
        </w:tc>
        <w:tc>
          <w:tcPr>
            <w:tcW w:w="67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Total comprehensive income includes net income (loss), foreign currency translation adjustments, and net changes in the fair value of marketable securities available for sale, net of any related deferred taxes. Certain of the Company’s foreign operations use their respective local currency as their functional currency. In accordance with the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Topic of the FASB Accounting Standards Codification (ASC), assets and liabilities of these operations are translated at the exchange rates in effect on the balance sheet date. Statement of operations items are translated at the average exchange rates for the period. The cumulative impact of currency translation is included in accumulated other comprehensive loss in the accompanying condensed consolidated balance sheets and was $0.8 million and $3.1 million at March 31, 2013 and December 31, 2012, respectively.</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February 2013, the FASB issued ASU 2013-02, </w:t>
      </w:r>
      <w:r>
        <w:rPr>
          <w:rFonts w:ascii="Arial" w:cs="Arial" w:eastAsia="Arial" w:hAnsi="Arial"/>
          <w:sz w:val="18"/>
          <w:szCs w:val="18"/>
          <w:i w:val="1"/>
          <w:iCs w:val="1"/>
          <w:color w:val="auto"/>
        </w:rPr>
        <w:t>Comprehensive Income (Topic 220): Reporting of Amounts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(ASU 2013-02). ASU 2013-02 adds new disclosure requirements for items reclassified out of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(AOCI), including (1) disaggregating and separately presenting changes in AOCI balances by component and (2) presenting significant items reclassified out of AOCI either on the face of the statement where net income is presented or as a separate disclosure in the notes to the financial statements. It does not amend any existing requirements for reporting net income or other comprehensive income in the financial statements. The ASU is effective for fiscal years beginning after December 15, 2012 (and interim periods within those years), and is to be applied prospectively. The Company adopted this guidance in its first quarter of 2013.</w:t>
      </w:r>
    </w:p>
    <w:p>
      <w:pPr>
        <w:spacing w:after="0" w:line="21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In March 2013, the FASB issued ASU 2013-05, </w:t>
      </w:r>
      <w:r>
        <w:rPr>
          <w:rFonts w:ascii="Arial" w:cs="Arial" w:eastAsia="Arial" w:hAnsi="Arial"/>
          <w:sz w:val="18"/>
          <w:szCs w:val="18"/>
          <w:i w:val="1"/>
          <w:iCs w:val="1"/>
          <w:color w:val="auto"/>
        </w:rPr>
        <w:t>Foreign Currency Matters (Topic 830), Parent’s Accounting for the Cumulative Translation Adjustment upon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Derecognition of Certain Subsidiaries or Groups of Assets within a Foreign Entity or of an Investment in a Foreign Entity (a consensus of the FASB Emerging Issues Task Force </w:t>
      </w:r>
      <w:r>
        <w:rPr>
          <w:rFonts w:ascii="Arial" w:cs="Arial" w:eastAsia="Arial" w:hAnsi="Arial"/>
          <w:sz w:val="18"/>
          <w:szCs w:val="18"/>
          <w:color w:val="auto"/>
        </w:rPr>
        <w:t>(ASU 2013-05). The objective of ASU 2013-05 is to resolve the diversity in practice as to the release of the cumulative translation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into net income when a parent either sells a part or all of its investment in a foreign entity or no longer holds a controlling financial interest in a subsidiary or group of assets that is a nonprofit activity or a business (other than a sale of in substance real estate or conveyance of oil and gas mineral rights) within a foreign entity.</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9" w:name="page10"/>
    <w:bookmarkEnd w:id="9"/>
    <w:p>
      <w:pPr>
        <w:spacing w:after="0" w:line="267" w:lineRule="auto"/>
        <w:rPr>
          <w:sz w:val="20"/>
          <w:szCs w:val="20"/>
          <w:color w:val="auto"/>
        </w:rPr>
      </w:pPr>
      <w:r>
        <w:rPr>
          <w:rFonts w:ascii="Arial" w:cs="Arial" w:eastAsia="Arial" w:hAnsi="Arial"/>
          <w:sz w:val="17"/>
          <w:szCs w:val="17"/>
          <w:color w:val="auto"/>
        </w:rPr>
        <w:t>ASU 2013-05 clarifies that a cumulative translation adjustment (CTA) should be released into earnings when an entity ceases to have a controlling financial interest in a subsidiary or group of assets within a consolidated foreign entity and the sale or transfer results in the complete or substantially complete liquidation of the foreign entity. For sales of an equity method investment that is a foreign entity, a pro rata portion of CTA attributable to the investment would be recognized in earnings when the investment is sold. When an entity sells either a part or all of its investment in a consolidated foreign entity, CTA would be recognized in earnings only if the sale results in the parent no longer having a controlling financial interest in the foreign entity. In addition, CTA should be recognized in earnings in a business combination achieved in stages (i.e., a step acquisition). This ASU is effective for years beginning after December 15, 2013. Early adoption is permitted. The Company adopted this guidance and released into earnings $2.3 million of its cumulative currency translation losses related to the sale of clinical trial services business in the first quarter of 2013, which was included in the income (loss) from discontinued operations, net of income taxes on the condensed consolidated statements of operations.</w:t>
      </w:r>
    </w:p>
    <w:p>
      <w:pPr>
        <w:spacing w:after="0" w:line="207" w:lineRule="exact"/>
        <w:rPr>
          <w:sz w:val="20"/>
          <w:szCs w:val="20"/>
          <w:color w:val="auto"/>
        </w:rPr>
      </w:pPr>
    </w:p>
    <w:p>
      <w:pPr>
        <w:ind w:left="640" w:hanging="633"/>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5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94"/>
              </w:rPr>
              <w:t>Other Human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90"/>
              </w:rPr>
              <w:t>Nurse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191"/>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92"/>
              </w:rPr>
              <w:t>And Allied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b w:val="1"/>
                <w:bCs w:val="1"/>
                <w:color w:val="auto"/>
                <w:w w:val="92"/>
              </w:rPr>
              <w:t>Physician</w:t>
            </w:r>
          </w:p>
        </w:tc>
        <w:tc>
          <w:tcPr>
            <w:tcW w:w="100" w:type="dxa"/>
            <w:vAlign w:val="bottom"/>
          </w:tcPr>
          <w:p>
            <w:pPr>
              <w:spacing w:after="0"/>
              <w:rPr>
                <w:sz w:val="18"/>
                <w:szCs w:val="18"/>
                <w:color w:val="auto"/>
              </w:rPr>
            </w:pPr>
          </w:p>
        </w:tc>
        <w:tc>
          <w:tcPr>
            <w:tcW w:w="122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90"/>
              </w:rPr>
              <w:t>Management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2"/>
              </w:rPr>
              <w:t>Staffing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Staffing</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3"/>
              </w:rPr>
              <w:t>Services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7"/>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Balances as of December 31, 2012</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(amounts in</w:t>
            </w: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0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Aggregate goodwill acquired</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259,732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43,405</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19,307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322,444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Accumulated impairment loss (a)</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Goodwill, net of impairment loss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62,712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to aggregate goodwill in 2013</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Impairment charges</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Balances as of March 31, 2013</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Aggregate goodwill acquired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259,732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322,444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Accumulated impairment loss</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Goodwill, net of impairment loss</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43,405</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19,307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480" w:right="60" w:hanging="232"/>
        <w:spacing w:after="0" w:line="272" w:lineRule="auto"/>
        <w:tabs>
          <w:tab w:leader="none" w:pos="480" w:val="left"/>
        </w:tabs>
        <w:numPr>
          <w:ilvl w:val="1"/>
          <w:numId w:val="6"/>
        </w:numPr>
        <w:rPr>
          <w:rFonts w:ascii="Arial" w:cs="Arial" w:eastAsia="Arial" w:hAnsi="Arial"/>
          <w:sz w:val="17"/>
          <w:szCs w:val="17"/>
          <w:color w:val="auto"/>
        </w:rPr>
      </w:pPr>
      <w:r>
        <w:rPr>
          <w:rFonts w:ascii="Arial" w:cs="Arial" w:eastAsia="Arial" w:hAnsi="Arial"/>
          <w:sz w:val="17"/>
          <w:szCs w:val="17"/>
          <w:color w:val="auto"/>
        </w:rPr>
        <w:t>A non-cash pretax impairment charge of approximately $241.0 million was recorded to reduce the carrying value of goodwill to the estimated fair value in the fourth quarter of 2008 for the Company’s nurse and allied staffing business segment. The majority of the goodwill impairment was attributable to the Company’s initial capitalization in 1999, which was accounted for as an asset purchase (see Note 1 – Organization and Basis of Presentation), and subsequent nurse staffing acquisitions made through 2003. In addition, the Company recorded $18.7 million of pre-tax impairment charge in the second quarter of 2012 related to the Company’s nurse and allied staffing business segment.</w:t>
      </w:r>
    </w:p>
    <w:p>
      <w:pPr>
        <w:spacing w:after="0" w:line="199" w:lineRule="exact"/>
        <w:rPr>
          <w:rFonts w:ascii="Arial" w:cs="Arial" w:eastAsia="Arial" w:hAnsi="Arial"/>
          <w:sz w:val="17"/>
          <w:szCs w:val="17"/>
          <w:color w:val="auto"/>
        </w:rPr>
      </w:pPr>
    </w:p>
    <w:p>
      <w:pPr>
        <w:ind w:left="640" w:hanging="633"/>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accordance with the requirements of the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of the FASB ASC, basic earnings per share is computed by dividing net (loss) income by the weighted average number of shares outstanding (excluding unvested restricted stock) and diluted earnings per share reflects the dilutive effects of stock options and restricted stock (as calculated utilizing the treasury stock method). Certain shares of common stock that are issuable upon the exercise of options and vesting of restricted stock have been excluded from the per share calculations because their effect would have been anti-dilutive. Such shares amounted to 1,714,406 and 1,644,606, during the three months ended March 31, 2013 and 2012, respectively. For purposes of calculating net loss per common share – diluted for the three months ended March 31, 2013, the Company excluded potentially dilutive shares of 175,375 from the calculation as their effect would have been anti-dilutive due to the Company’s net loss from continuing operations in this period.</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jc w:val="right"/>
              <w:ind w:right="371"/>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(amounts in</w:t>
            </w:r>
          </w:p>
        </w:tc>
        <w:tc>
          <w:tcPr>
            <w:tcW w:w="8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78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54"/>
        </w:trPr>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7"/>
        </w:trPr>
        <w:tc>
          <w:tcPr>
            <w:tcW w:w="380" w:type="dxa"/>
            <w:vAlign w:val="bottom"/>
          </w:tcPr>
          <w:p>
            <w:pPr>
              <w:spacing w:after="0"/>
              <w:rPr>
                <w:sz w:val="18"/>
                <w:szCs w:val="18"/>
                <w:color w:val="auto"/>
              </w:rPr>
            </w:pPr>
          </w:p>
        </w:tc>
        <w:tc>
          <w:tcPr>
            <w:tcW w:w="78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 basic:</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13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80" w:type="dxa"/>
            <w:vAlign w:val="bottom"/>
          </w:tcPr>
          <w:p>
            <w:pPr>
              <w:spacing w:after="0"/>
              <w:rPr>
                <w:sz w:val="18"/>
                <w:szCs w:val="18"/>
                <w:color w:val="auto"/>
              </w:rPr>
            </w:pPr>
          </w:p>
        </w:tc>
        <w:tc>
          <w:tcPr>
            <w:tcW w:w="78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 per common share, diluted: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1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4"/>
        </w:trPr>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7"/>
        </w:trPr>
        <w:tc>
          <w:tcPr>
            <w:tcW w:w="380" w:type="dxa"/>
            <w:vAlign w:val="bottom"/>
          </w:tcPr>
          <w:p>
            <w:pPr>
              <w:spacing w:after="0"/>
              <w:rPr>
                <w:sz w:val="18"/>
                <w:szCs w:val="18"/>
                <w:color w:val="auto"/>
              </w:rPr>
            </w:pPr>
          </w:p>
        </w:tc>
        <w:tc>
          <w:tcPr>
            <w:tcW w:w="78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outstanding-basic</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30,766</w:t>
            </w: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plus dilutive equity awards</w:t>
            </w:r>
          </w:p>
        </w:tc>
        <w:tc>
          <w:tcPr>
            <w:tcW w:w="1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4"/>
        </w:trPr>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outstanding-diluted</w:t>
            </w:r>
          </w:p>
        </w:tc>
        <w:tc>
          <w:tcPr>
            <w:tcW w:w="1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30,837</w:t>
            </w:r>
          </w:p>
        </w:tc>
        <w:tc>
          <w:tcPr>
            <w:tcW w:w="0" w:type="dxa"/>
            <w:vAlign w:val="bottom"/>
          </w:tcPr>
          <w:p>
            <w:pPr>
              <w:spacing w:after="0"/>
              <w:rPr>
                <w:sz w:val="1"/>
                <w:szCs w:val="1"/>
                <w:color w:val="auto"/>
              </w:rPr>
            </w:pPr>
          </w:p>
        </w:tc>
      </w:tr>
      <w:tr>
        <w:trPr>
          <w:trHeight w:val="447"/>
        </w:trPr>
        <w:tc>
          <w:tcPr>
            <w:tcW w:w="380" w:type="dxa"/>
            <w:vAlign w:val="bottom"/>
          </w:tcPr>
          <w:p>
            <w:pPr>
              <w:jc w:val="right"/>
              <w:ind w:right="151"/>
              <w:spacing w:after="0"/>
              <w:rPr>
                <w:sz w:val="20"/>
                <w:szCs w:val="20"/>
                <w:color w:val="auto"/>
              </w:rPr>
            </w:pPr>
            <w:r>
              <w:rPr>
                <w:rFonts w:ascii="Arial" w:cs="Arial" w:eastAsia="Arial" w:hAnsi="Arial"/>
                <w:sz w:val="18"/>
                <w:szCs w:val="18"/>
                <w:b w:val="1"/>
                <w:bCs w:val="1"/>
                <w:color w:val="auto"/>
                <w:w w:val="79"/>
              </w:rPr>
              <w:t>6.</w:t>
            </w:r>
          </w:p>
        </w:tc>
        <w:tc>
          <w:tcPr>
            <w:tcW w:w="6100" w:type="dxa"/>
            <w:vAlign w:val="bottom"/>
            <w:gridSpan w:val="2"/>
          </w:tcPr>
          <w:p>
            <w:pPr>
              <w:ind w:left="240"/>
              <w:spacing w:after="0"/>
              <w:rPr>
                <w:sz w:val="20"/>
                <w:szCs w:val="20"/>
                <w:color w:val="auto"/>
              </w:rPr>
            </w:pPr>
            <w:r>
              <w:rPr>
                <w:rFonts w:ascii="Arial" w:cs="Arial" w:eastAsia="Arial" w:hAnsi="Arial"/>
                <w:sz w:val="18"/>
                <w:szCs w:val="18"/>
                <w:b w:val="1"/>
                <w:bCs w:val="1"/>
                <w:color w:val="auto"/>
              </w:rPr>
              <w:t>ACQUISITIONS</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2008, the Company consummated the acquisition of substantially all of the assets of privately-held MDA Holdings, Inc. and its subsidiaries and all of the outstanding stock of Jamestown Indemnity Ltd., a Cayman Island company and wholly-owned subsidiary (collectively, MDA). As of March 31, 2013, an indemnification escrow account of $3.6 million exists.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0" w:type="dxa"/>
            <w:vAlign w:val="bottom"/>
          </w:tcPr>
          <w:p>
            <w:pPr>
              <w:spacing w:after="0"/>
              <w:rPr>
                <w:sz w:val="20"/>
                <w:szCs w:val="20"/>
                <w:color w:val="auto"/>
              </w:rPr>
            </w:pPr>
            <w:r>
              <w:rPr>
                <w:rFonts w:ascii="Arial" w:cs="Arial" w:eastAsia="Arial" w:hAnsi="Arial"/>
                <w:sz w:val="18"/>
                <w:szCs w:val="18"/>
                <w:b w:val="1"/>
                <w:bCs w:val="1"/>
                <w:color w:val="auto"/>
              </w:rPr>
              <w:t>7.</w:t>
            </w:r>
          </w:p>
        </w:tc>
        <w:tc>
          <w:tcPr>
            <w:tcW w:w="65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DEBT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6960" w:type="dxa"/>
            <w:vAlign w:val="bottom"/>
            <w:gridSpan w:val="3"/>
          </w:tcPr>
          <w:p>
            <w:pPr>
              <w:spacing w:after="0"/>
              <w:rPr>
                <w:sz w:val="20"/>
                <w:szCs w:val="20"/>
                <w:color w:val="auto"/>
              </w:rPr>
            </w:pPr>
            <w:r>
              <w:rPr>
                <w:rFonts w:ascii="Arial" w:cs="Arial" w:eastAsia="Arial" w:hAnsi="Arial"/>
                <w:sz w:val="18"/>
                <w:szCs w:val="18"/>
                <w:color w:val="auto"/>
              </w:rPr>
              <w:t>At March 31, 2013 and December 31, 2012, long-term debt consists of the following:</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24"/>
                <w:szCs w:val="24"/>
                <w:color w:val="auto"/>
              </w:rPr>
            </w:pPr>
          </w:p>
        </w:tc>
        <w:tc>
          <w:tcPr>
            <w:tcW w:w="118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(amounts in</w:t>
            </w:r>
          </w:p>
        </w:tc>
        <w:tc>
          <w:tcPr>
            <w:tcW w:w="8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78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Term loan, interest 2.72% at December 31, 2012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0" w:type="dxa"/>
            <w:vAlign w:val="bottom"/>
          </w:tcPr>
          <w:p>
            <w:pPr>
              <w:spacing w:after="0" w:line="200" w:lineRule="exact"/>
              <w:rPr>
                <w:sz w:val="20"/>
                <w:szCs w:val="20"/>
                <w:color w:val="auto"/>
              </w:rPr>
            </w:pPr>
            <w:r>
              <w:rPr>
                <w:rFonts w:ascii="Arial" w:cs="Arial" w:eastAsia="Arial" w:hAnsi="Arial"/>
                <w:sz w:val="18"/>
                <w:szCs w:val="18"/>
                <w:color w:val="auto"/>
              </w:rPr>
              <w:t>Revolving credit facility, interest 2.72%</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at December 31, 2012</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obligations and note payable</w:t>
            </w: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33,859</w:t>
            </w: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current portion</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(33,683)</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As of March 31, 2013, the Company’s capital lease obligations mature serially through December 31 as follows (amounts in thousands): 2013 - $305; 2014-$83; 2015 - $65; and 2016 - $28.</w:t>
      </w:r>
    </w:p>
    <w:p>
      <w:pPr>
        <w:spacing w:after="0" w:line="20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Company had $11.8 million letters of credit outstanding as of March 31, 2013. The letters of credit relate to the Company’s workers’ compensation and professional liability policies.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Loan Agreement</w:t>
      </w:r>
    </w:p>
    <w:p>
      <w:pPr>
        <w:spacing w:after="0" w:line="248" w:lineRule="exact"/>
        <w:rPr>
          <w:sz w:val="20"/>
          <w:szCs w:val="20"/>
          <w:color w:val="auto"/>
        </w:rPr>
      </w:pPr>
    </w:p>
    <w:p>
      <w:pPr>
        <w:jc w:val="both"/>
        <w:ind w:right="260"/>
        <w:spacing w:after="0" w:line="335" w:lineRule="auto"/>
        <w:rPr>
          <w:sz w:val="20"/>
          <w:szCs w:val="20"/>
          <w:color w:val="auto"/>
        </w:rPr>
      </w:pPr>
      <w:r>
        <w:rPr>
          <w:rFonts w:ascii="Arial" w:cs="Arial" w:eastAsia="Arial" w:hAnsi="Arial"/>
          <w:sz w:val="16"/>
          <w:szCs w:val="16"/>
          <w:color w:val="auto"/>
        </w:rPr>
        <w:t>On January 9, 2013, the Company terminated its commitments under senior secured credit agreement (July 2012 Credit Agreement) and entered into a Loan and Security Agreement, (Loan Agreement), by and among the Company and certain of its subsidiaries, as borrowers, and Bank of America, N.A., as agent.</w:t>
      </w:r>
    </w:p>
    <w:p>
      <w:pPr>
        <w:spacing w:after="0" w:line="15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Loan Agreement provides for: a three-year senior secured asset-based revolving credit facility in the aggregate principal amount of up to $65.0 million (as described below), which includes a subfacility for swingline loans up to an amount equal to 10% of the aggregate Revolver Commitments, and a $20.0 million subfacility for standby letters of credit. Swingline loans and letters of credit issued under the Loan Agreement reduce available revolving credit commitments on a dollar-for-dollar basis. Subject to certain conditions, the Company is permitted, at any time prior to the maturity date for the revolving credit facility, to increase the total revolving credit commitments in an aggregate principal amount of up to $20.0 million, with additional commitments from Lenders or new commitments from financial institutions, subject to certain conditions as described in the Loan Agreement. Pursuant to the Loan Agreement, the aggregate amount of advances under the Line of Credit (Borrowing Base) cannot exceed the lesser of (a) (i) $65.0 million, or (ii) 85% of eligible billed accounts receivable as defined in the Loan Agreement; plus (b) the lesser of (i) 85% of eligible unbilled accounts receivable and (ii) $12.0 million; minus (c) reserves as defined by the Loan Agreement, which include one week’s worth of W-2 payroll and fees payable to independent contractors. As of March 31, 2013, the availability under the Loan Agreement was approximately $40.5 million. The Company had $11.8 million of letters of credit outstanding as of March 31, 2013.</w:t>
      </w:r>
    </w:p>
    <w:p>
      <w:pPr>
        <w:spacing w:after="0" w:line="19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initial proceeds from the revolving credit facility were used to finance the repayment of existing indebtedness of the Company under its prior credit agreement and the payment of fees and expenses. The repayment of the term loan portion of the Company’s debt outstanding in the first quarter of 2013 is treated as extinguishment of debt, and, as a result, the Company recognized a loss on extinguishment in the first quarter of 2013, related to the write-off of unamortized net debt issuance costs of approximately $0.3 million. The repayment of the revolver portion of the Company’s debt outstanding in the first quarter of 2013 is treated partially as extinguishment and partially as a modification. The fees related to the modified portion of $0.1 million relate to the continuation of credit provided by Bank of America, N.A. in its Loan Agreement. The Company wrote-off the remaining unamortized net debt issuance costs of approximately $1.1 million in the first quarter of 2013.</w:t>
      </w:r>
    </w:p>
    <w:p>
      <w:pPr>
        <w:spacing w:after="0" w:line="20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revolving credit facility can be used to provide ongoing working capital and for other general corporate purposes of the Company and its subsidiaries. The initial interest rate spreads and fees under the Loan Agreement are based on LIBOR plus 1.5% or Base Rate plus 0.50%. The LIBOR and Base Rate margins are subject to performance pricing adjustments, commencing September 1, 2013, pursuant to a pricing matrix based on the Company’s excess availability under the revolving credit facility, and would increase by 200 basis points if an event of default exists.</w:t>
      </w:r>
    </w:p>
    <w:p>
      <w:pPr>
        <w:spacing w:after="0" w:line="201"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The Loan Agreement contains customary representations, warranties, and affirmative covenants. The Loan Agreement also contains customary negative covenants; including covenants with respect to, among other things, (i) indebtedness, (ii) liens, (iii) investments, (iv) significant corporate changes, including mergers and acquisitions, (v) dispositions, (vi) dividend, distributions and other restricted payments, (vii) transactions with affiliates and (viii) restrictive agreements. In addition, if the Company’s availability under the revolving credit facility is less than the greater of (i) 12.5% of the Loan Cap, as defined, and</w:t>
      </w:r>
    </w:p>
    <w:p>
      <w:pPr>
        <w:spacing w:after="0" w:line="1" w:lineRule="exact"/>
        <w:rPr>
          <w:sz w:val="20"/>
          <w:szCs w:val="20"/>
          <w:color w:val="auto"/>
        </w:rPr>
      </w:pPr>
    </w:p>
    <w:p>
      <w:pPr>
        <w:ind w:right="180" w:firstLine="7"/>
        <w:spacing w:after="0" w:line="274" w:lineRule="auto"/>
        <w:tabs>
          <w:tab w:leader="none" w:pos="263" w:val="left"/>
        </w:tabs>
        <w:numPr>
          <w:ilvl w:val="0"/>
          <w:numId w:val="8"/>
        </w:numPr>
        <w:rPr>
          <w:rFonts w:ascii="Arial" w:cs="Arial" w:eastAsia="Arial" w:hAnsi="Arial"/>
          <w:sz w:val="17"/>
          <w:szCs w:val="17"/>
          <w:color w:val="auto"/>
        </w:rPr>
      </w:pPr>
      <w:r>
        <w:rPr>
          <w:rFonts w:ascii="Arial" w:cs="Arial" w:eastAsia="Arial" w:hAnsi="Arial"/>
          <w:sz w:val="17"/>
          <w:szCs w:val="17"/>
          <w:color w:val="auto"/>
        </w:rPr>
        <w:t>$6.25 million, the Company is required to meet a minimum fixed charge coverage ratio of 1.0, as defined in the Loan Agreement. The Loan Agreement also contains customary events of default, such as payment defaults, cross-defaults to other material indebtedness, bankruptcy and insolvency, the occurrence of a defined change in control and the failure to observe covenants or conditions under the credit facility documents.</w:t>
      </w:r>
    </w:p>
    <w:p>
      <w:pPr>
        <w:spacing w:after="0" w:line="201" w:lineRule="exact"/>
        <w:rPr>
          <w:sz w:val="20"/>
          <w:szCs w:val="20"/>
          <w:color w:val="auto"/>
        </w:rPr>
      </w:pPr>
    </w:p>
    <w:p>
      <w:pPr>
        <w:ind w:right="520"/>
        <w:spacing w:after="0" w:line="307" w:lineRule="auto"/>
        <w:rPr>
          <w:sz w:val="20"/>
          <w:szCs w:val="20"/>
          <w:color w:val="auto"/>
        </w:rPr>
      </w:pPr>
      <w:r>
        <w:rPr>
          <w:rFonts w:ascii="Arial" w:cs="Arial" w:eastAsia="Arial" w:hAnsi="Arial"/>
          <w:sz w:val="16"/>
          <w:szCs w:val="16"/>
          <w:color w:val="auto"/>
        </w:rPr>
        <w:t>The Company’s obligations under the Loan Agreement are guaranteed by all material domestic subsidiaries of the Company that are not co-borrowers (Subsidiary Guarantors). As collateral security for their obligations under the Loan Agreement and guarantees thereof, the Company and the Subsidiary Guarantors have granted to Bank of America, N.A., a security interest in substantially all of their tangible and intangible assets.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July 2012 Credit Agreement</w:t>
      </w: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entered into July 2012 Credit Agreement on July 10, 2012 , by and among the Company, as borrower, a syndicate of lenders, Wells Fargo Bank, National Association, as administrative agent, swingline lender and issuing lender, Bank of America, N.A., as syndication agent, and U.S. Bank National Association, as documentation agent. The July 2012 Credit Agreement provided for: (i) a five-year senior secured term loan facility in the aggregate principal amount of $25.0 million, and (ii) a five-year senior secured revolving credit facility in the aggregate principal amount of up to $50.0 million, which included a $10.0 million subfacility for swingline loans, and a $20.0 million subfacility for standby letters of credit. Swingline loans and letters of credit issued under the July 2012 Credit Agreement reduced available revolving credit commitments on a dollar-for-dollar basis. Subject to certain conditions under the Credit Agreement, the Company was permitted, at any time prior to the maturity date for the revolving credit facility, to increase its total revolving credit commitments in an aggregate principal amount of up to $25.0 million.</w:t>
      </w:r>
    </w:p>
    <w:p>
      <w:pPr>
        <w:spacing w:after="0" w:line="20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Through December 31, 2012, interest on the term loan and revolving credit portion of the July 2012 Credit Agreement was based on LIBOR plus a margin of 2.50% or Base Rate (as defined by the July 2012 Credit Agreement, as modified) plus a margin of 1.50%. In addition, the Company was required to pay a quarterly commitment fee on its average daily unused portion of the revolving loan facility of 0.50%. The interest rate spreads and fees fluctuated during the term of the July 2012 Credit Agreement based on the consolidated total leverage ratio at each calculation date, as defined.</w:t>
      </w:r>
    </w:p>
    <w:p>
      <w:pPr>
        <w:spacing w:after="0" w:line="197" w:lineRule="exact"/>
        <w:rPr>
          <w:sz w:val="20"/>
          <w:szCs w:val="20"/>
          <w:color w:val="auto"/>
        </w:rPr>
      </w:pPr>
    </w:p>
    <w:p>
      <w:pPr>
        <w:ind w:left="640" w:hanging="633"/>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48"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Level 1 prices such as quoted prices for similar assets or liabilities; quoted prices in markets that are not active;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inputs that are observable or can be corroborated by observable market data for substantially the full term of the assets or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52" w:lineRule="exact"/>
        <w:rPr>
          <w:sz w:val="20"/>
          <w:szCs w:val="20"/>
          <w:color w:val="auto"/>
        </w:rPr>
      </w:pPr>
    </w:p>
    <w:p>
      <w:pPr>
        <w:ind w:right="300"/>
        <w:spacing w:after="0" w:line="335" w:lineRule="auto"/>
        <w:rPr>
          <w:sz w:val="20"/>
          <w:szCs w:val="20"/>
          <w:color w:val="auto"/>
        </w:rPr>
      </w:pPr>
      <w:r>
        <w:rPr>
          <w:rFonts w:ascii="Arial" w:cs="Arial" w:eastAsia="Arial" w:hAnsi="Arial"/>
          <w:sz w:val="16"/>
          <w:szCs w:val="16"/>
          <w:color w:val="auto"/>
        </w:rPr>
        <w:t>At March 31, 2013 and December 31, 2012, the Company’s financial assets/liabilities required to be measured on a recurring basis were its deferred compensation liability included in other long-term liabilities and contingent consideration receivable related to the sale of its clinical trial services business.</w:t>
      </w:r>
    </w:p>
    <w:p>
      <w:pPr>
        <w:spacing w:after="0" w:line="15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Company utilizes Level 1 inputs to value its deferred compensation liability. The Company’s deferred compensation liability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publicly available indices that define the liability amounts, as per the plan documents.</w:t>
      </w:r>
    </w:p>
    <w:p>
      <w:pPr>
        <w:spacing w:after="0" w:line="20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i w:val="1"/>
          <w:iCs w:val="1"/>
          <w:color w:val="auto"/>
        </w:rPr>
        <w:t>Contingent Consideration Receivable</w:t>
      </w:r>
      <w:r>
        <w:rPr>
          <w:rFonts w:ascii="Arial" w:cs="Arial" w:eastAsia="Arial" w:hAnsi="Arial"/>
          <w:sz w:val="17"/>
          <w:szCs w:val="17"/>
          <w:color w:val="auto"/>
        </w:rPr>
        <w:t>—The earn out related to the Company’s sale of its clinical trial services business is treated as a contingent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for accounting purposes. The Company utilizes Level 3 inputs to value its contingent consideration receivable as significant unobservable inputs are used in the calculation of its fair value and are related to future performance of the disposed business. The fair value of the contingent consideration receivable will be adjusted to its fair value on a quarterly basis with the adjustment to the related receivable and the gain/loss on the sale of assets (included in discontinued operations). The future performance of the disposed business directly impacts the contingent consideration that could be paid to the Company, thus performance that exceeds target could result in a higher payout, and a performance under target could result in a lower payout. As of March 31, 2013, the Company assigned no value to the performance earn-out based on recent information available to the Company including a revised revenue forecast for the Arena Contract (as defined in the agreement). The Company does not expect that the clinical trial services business now owned by the Buyer will achieve the Arena Contract revenue level that is needed to reach the minimum milestone based on the latest forecast provided to the Company. In addition, the initial reports provided by the Buyer indicate that the FTE earn-out (as defined in the agreement) has not been earned. See Note 2- Discontinued Operations for further information.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3" w:name="page14"/>
    <w:bookmarkEnd w:id="13"/>
    <w:p>
      <w:pPr>
        <w:ind w:right="280"/>
        <w:spacing w:after="0" w:line="271" w:lineRule="auto"/>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 as of March 31, 2013 and December 31, 2012:</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7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4"/>
              </w:rPr>
              <w:t>Fair Value Measurements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b w:val="1"/>
                <w:bCs w:val="1"/>
                <w:color w:val="auto"/>
                <w:w w:val="96"/>
              </w:rPr>
              <w:t>March 31,</w:t>
            </w:r>
          </w:p>
        </w:tc>
        <w:tc>
          <w:tcPr>
            <w:tcW w:w="11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0"/>
        </w:trPr>
        <w:tc>
          <w:tcPr>
            <w:tcW w:w="29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(Level 3)</w:t>
            </w: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(amounts in</w:t>
            </w:r>
          </w:p>
        </w:tc>
        <w:tc>
          <w:tcPr>
            <w:tcW w:w="1180" w:type="dxa"/>
            <w:vAlign w:val="bottom"/>
            <w:gridSpan w:val="2"/>
          </w:tcPr>
          <w:p>
            <w:pPr>
              <w:spacing w:after="0" w:line="200" w:lineRule="exact"/>
              <w:rPr>
                <w:sz w:val="20"/>
                <w:szCs w:val="20"/>
                <w:color w:val="auto"/>
              </w:rPr>
            </w:pPr>
            <w:r>
              <w:rPr>
                <w:rFonts w:ascii="Arial" w:cs="Arial" w:eastAsia="Arial" w:hAnsi="Arial"/>
                <w:sz w:val="18"/>
                <w:szCs w:val="18"/>
                <w:color w:val="auto"/>
              </w:rPr>
              <w:t>thousands)</w:t>
            </w:r>
          </w:p>
        </w:tc>
        <w:tc>
          <w:tcPr>
            <w:tcW w:w="0" w:type="dxa"/>
            <w:vAlign w:val="bottom"/>
          </w:tcPr>
          <w:p>
            <w:pPr>
              <w:spacing w:after="0"/>
              <w:rPr>
                <w:sz w:val="1"/>
                <w:szCs w:val="1"/>
                <w:color w:val="auto"/>
              </w:rPr>
            </w:pPr>
          </w:p>
        </w:tc>
      </w:tr>
      <w:tr>
        <w:trPr>
          <w:trHeight w:val="228"/>
        </w:trPr>
        <w:tc>
          <w:tcPr>
            <w:tcW w:w="290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Contingent consideration receivable</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1)</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Financial Liabilities: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If required by the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Topic of the FASB ASC, the Company’s goodwill and other identifiable intangible assets are measured at fair value on a nonrecurring basis using significant unobservable inputs (Level 3) described in Note 4- Goodwill and Other Identifiable Intangible Assets. Goodwill and other identifiable intangible assets with indefinite lives are reviewed for impairment annually, and whenever events or changes in circumstances indicate that the carrying value may not be recoverable. Long-lived assets and identifiable intangible assets are also reviewed for impairment whenever events or changes in circumstances indicate that amounts may not be recoverable. If the testing performed indicates that impairment has occurred, the Company records a non-cash impairment charge for the difference between the carrying amount of the goodwill or other intangible assets and the implied fair value of the goodwill or other intangible assets in the period the determination is made.</w:t>
      </w:r>
    </w:p>
    <w:p>
      <w:pPr>
        <w:spacing w:after="0" w:line="20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December 31, 2012, the Company disclosed all the assets and liabilities held for sale at fair value with the exception of other intangible assets whose carrying value was below fair value. For other assets and liabilities except for goodwill and other intangible assets, fair value approximated their carrying amount due to their short-term nature. The following table presented the fair value of goodwill, which was the most significant component of the assets held for sale, measured on a non-recurring basis for the Company’s clinical trial services reporting unit included in assets held for sale as of December 31, 2012:</w:t>
      </w:r>
    </w:p>
    <w:p>
      <w:pPr>
        <w:spacing w:after="0" w:line="183" w:lineRule="exact"/>
        <w:rPr>
          <w:sz w:val="20"/>
          <w:szCs w:val="20"/>
          <w:color w:val="auto"/>
        </w:rPr>
      </w:pPr>
    </w:p>
    <w:tbl>
      <w:tblPr>
        <w:tblLayout w:type="fixed"/>
        <w:tblInd w:w="2300" w:type="dxa"/>
        <w:tblCellMar>
          <w:top w:w="0" w:type="dxa"/>
          <w:left w:w="0" w:type="dxa"/>
          <w:bottom w:w="0" w:type="dxa"/>
          <w:right w:w="0" w:type="dxa"/>
        </w:tblCellMar>
      </w:tblPr>
      <w:tr>
        <w:trPr>
          <w:trHeight w:val="218"/>
        </w:trPr>
        <w:tc>
          <w:tcPr>
            <w:tcW w:w="5660" w:type="dxa"/>
            <w:vAlign w:val="bottom"/>
          </w:tcPr>
          <w:p>
            <w:pPr>
              <w:jc w:val="center"/>
              <w:ind w:left="1091"/>
              <w:spacing w:after="0"/>
              <w:rPr>
                <w:sz w:val="20"/>
                <w:szCs w:val="20"/>
                <w:color w:val="auto"/>
              </w:rPr>
            </w:pPr>
            <w:r>
              <w:rPr>
                <w:rFonts w:ascii="Arial" w:cs="Arial" w:eastAsia="Arial" w:hAnsi="Arial"/>
                <w:sz w:val="18"/>
                <w:szCs w:val="18"/>
                <w:b w:val="1"/>
                <w:bCs w:val="1"/>
                <w:color w:val="auto"/>
                <w:w w:val="90"/>
              </w:rPr>
              <w:t>Fair Value Measurements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60" w:type="dxa"/>
            <w:vAlign w:val="bottom"/>
          </w:tcPr>
          <w:p>
            <w:pPr>
              <w:jc w:val="center"/>
              <w:ind w:left="1071"/>
              <w:spacing w:after="0"/>
              <w:rPr>
                <w:sz w:val="20"/>
                <w:szCs w:val="20"/>
                <w:color w:val="auto"/>
              </w:rPr>
            </w:pPr>
            <w:r>
              <w:rPr>
                <w:rFonts w:ascii="Arial" w:cs="Arial" w:eastAsia="Arial" w:hAnsi="Arial"/>
                <w:sz w:val="18"/>
                <w:szCs w:val="18"/>
                <w:color w:val="auto"/>
                <w:w w:val="88"/>
              </w:rPr>
              <w:t>(amounts in thousands)</w:t>
            </w: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7"/>
        </w:trPr>
        <w:tc>
          <w:tcPr>
            <w:tcW w:w="56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3"/>
        </w:trPr>
        <w:tc>
          <w:tcPr>
            <w:tcW w:w="566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Clinical trial services segment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Pr>
          <w:p>
            <w:pPr>
              <w:ind w:left="220"/>
              <w:spacing w:after="0"/>
              <w:rPr>
                <w:sz w:val="20"/>
                <w:szCs w:val="20"/>
                <w:color w:val="auto"/>
              </w:rPr>
            </w:pPr>
            <w:r>
              <w:rPr>
                <w:rFonts w:ascii="Arial" w:cs="Arial" w:eastAsia="Arial" w:hAnsi="Arial"/>
                <w:sz w:val="18"/>
                <w:szCs w:val="18"/>
                <w:color w:val="auto"/>
              </w:rPr>
              <w:t>goodwill at December 31, 2012</w:t>
            </w:r>
          </w:p>
        </w:tc>
        <w:tc>
          <w:tcPr>
            <w:tcW w:w="2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Financial instruments not measured or recorded at fair value in the accompanying condensed consolidated balance sheets consist of cash and cash equivalents, accounts receivable, escrow receivable, accounts payable and accrued expenses and short and long-term debt. The estimated fair value of accounts receivable, accounts payable and accrued expenses approximate their carrying amount due to the short-term nature of these instruments. As of December 31, 2012, the fair value of the Company’s term loan and revolver credit facility was calculated using discounted cash flow analysis and appropriate valuation methodologies using Level 2 inputs and available market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the $3.75 million indemnity escrow funds related to the sale of its clinical trial services business as an escrow receivable (see Note 2-</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for more information), and will adjust the amount to the estimated fair value, each reporting period, based on any known information.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2013, the fair value of the escrow receivable was calculated using Level 2 inputs and reflecting a discount for the time value of money.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ind w:right="40"/>
        <w:spacing w:after="0" w:line="271" w:lineRule="auto"/>
        <w:rPr>
          <w:sz w:val="20"/>
          <w:szCs w:val="20"/>
          <w:color w:val="auto"/>
        </w:rPr>
      </w:pPr>
      <w:r>
        <w:rPr>
          <w:rFonts w:ascii="Arial" w:cs="Arial" w:eastAsia="Arial" w:hAnsi="Arial"/>
          <w:sz w:val="18"/>
          <w:szCs w:val="18"/>
          <w:color w:val="auto"/>
        </w:rPr>
        <w:t>The following table represents the carrying amounts and estimated fair values of the Company’s significant financial instruments that were not measured at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8"/>
                <w:szCs w:val="18"/>
                <w:b w:val="1"/>
                <w:bCs w:val="1"/>
                <w:color w:val="auto"/>
              </w:rPr>
              <w:t>March 31, 2013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8"/>
                <w:szCs w:val="18"/>
                <w:b w:val="1"/>
                <w:bCs w:val="1"/>
                <w:color w:val="auto"/>
              </w:rPr>
              <w:t>December 31, 2012</w:t>
            </w:r>
          </w:p>
        </w:tc>
      </w:tr>
      <w:tr>
        <w:trPr>
          <w:trHeight w:val="196"/>
        </w:trPr>
        <w:tc>
          <w:tcPr>
            <w:tcW w:w="6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91"/>
              <w:spacing w:after="0" w:line="195"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71"/>
              <w:spacing w:after="0" w:line="195"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71"/>
              <w:spacing w:after="0" w:line="195" w:lineRule="exact"/>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71"/>
              <w:spacing w:after="0" w:line="195" w:lineRule="exact"/>
              <w:rPr>
                <w:sz w:val="20"/>
                <w:szCs w:val="20"/>
                <w:color w:val="auto"/>
              </w:rPr>
            </w:pPr>
            <w:r>
              <w:rPr>
                <w:rFonts w:ascii="Arial" w:cs="Arial" w:eastAsia="Arial" w:hAnsi="Arial"/>
                <w:sz w:val="18"/>
                <w:szCs w:val="18"/>
                <w:b w:val="1"/>
                <w:bCs w:val="1"/>
                <w:color w:val="auto"/>
              </w:rPr>
              <w:t>Fair</w:t>
            </w:r>
          </w:p>
        </w:tc>
      </w:tr>
      <w:tr>
        <w:trPr>
          <w:trHeight w:val="239"/>
        </w:trPr>
        <w:tc>
          <w:tcPr>
            <w:tcW w:w="6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Value</w:t>
            </w:r>
          </w:p>
        </w:tc>
      </w:tr>
      <w:tr>
        <w:trPr>
          <w:trHeight w:val="214"/>
        </w:trPr>
        <w:tc>
          <w:tcPr>
            <w:tcW w:w="652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Arial" w:cs="Arial" w:eastAsia="Arial" w:hAnsi="Arial"/>
                <w:sz w:val="18"/>
                <w:szCs w:val="18"/>
                <w:color w:val="auto"/>
                <w:w w:val="87"/>
              </w:rPr>
              <w:t>(amounts in</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6520" w:type="dxa"/>
            <w:vAlign w:val="bottom"/>
          </w:tcPr>
          <w:p>
            <w:pPr>
              <w:ind w:left="240"/>
              <w:spacing w:after="0"/>
              <w:rPr>
                <w:sz w:val="20"/>
                <w:szCs w:val="20"/>
                <w:color w:val="auto"/>
              </w:rPr>
            </w:pPr>
            <w:r>
              <w:rPr>
                <w:rFonts w:ascii="Arial" w:cs="Arial" w:eastAsia="Arial" w:hAnsi="Arial"/>
                <w:sz w:val="18"/>
                <w:szCs w:val="18"/>
                <w:color w:val="auto"/>
              </w:rPr>
              <w:t>Escrow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3,750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3,645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6520" w:type="dxa"/>
            <w:vAlign w:val="bottom"/>
          </w:tcPr>
          <w:p>
            <w:pPr>
              <w:ind w:left="220"/>
              <w:spacing w:after="0"/>
              <w:rPr>
                <w:sz w:val="20"/>
                <w:szCs w:val="20"/>
                <w:color w:val="auto"/>
              </w:rPr>
            </w:pPr>
            <w:r>
              <w:rPr>
                <w:rFonts w:ascii="Arial" w:cs="Arial" w:eastAsia="Arial" w:hAnsi="Arial"/>
                <w:sz w:val="18"/>
                <w:szCs w:val="18"/>
                <w:color w:val="auto"/>
              </w:rPr>
              <w:t>Term loan and revolver credit faciltiy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33,125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32,654</w:t>
            </w:r>
          </w:p>
        </w:tc>
      </w:tr>
      <w:tr>
        <w:trPr>
          <w:trHeight w:val="20"/>
        </w:trPr>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52"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The Company has invested its excess cash in highly rated overnight funds and other highly 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performs ongoing credit evaluations of its customers’ financial conditions and, generally, does not require collateral.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its customers. The Company’s contract terms typically require payment between 30 to 60 days from the date services are provided and are considered past due based on the particular negotiated contract terms. Overall, based on the large number of customers in differing geographic areas throughout the United States and its territories, the Company believes the concentration of credit risk is limited.</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48" w:lineRule="exact"/>
        <w:rPr>
          <w:sz w:val="20"/>
          <w:szCs w:val="20"/>
          <w:color w:val="auto"/>
        </w:rPr>
      </w:pPr>
    </w:p>
    <w:p>
      <w:pPr>
        <w:jc w:val="both"/>
        <w:ind w:right="420"/>
        <w:spacing w:after="0" w:line="282" w:lineRule="auto"/>
        <w:rPr>
          <w:sz w:val="20"/>
          <w:szCs w:val="20"/>
          <w:color w:val="auto"/>
        </w:rPr>
      </w:pPr>
      <w:r>
        <w:rPr>
          <w:rFonts w:ascii="Arial" w:cs="Arial" w:eastAsia="Arial" w:hAnsi="Arial"/>
          <w:sz w:val="17"/>
          <w:szCs w:val="17"/>
          <w:color w:val="auto"/>
        </w:rPr>
        <w:t>As of March 31, 2013, there are 942,443 shares remaining under its February 2008 Board authorization and the Company had approximately 30.9 million shares of common stock outstanding. Subject to certain conditions as described in its Loan Agreement entered into on January 9, 2013, the Company may repurchase up to an aggregate amount of $5.0 million of its Equity Interests (as defined in the Loan Agreement).</w:t>
      </w:r>
    </w:p>
    <w:p>
      <w:pPr>
        <w:spacing w:after="0" w:line="19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During the three months ended March 31, 2012, the Company repurchased 71,653 shares at an average price of $5.22, under its February 2008 Board of Directors’ authorization. The cost of such purchases was $0.4 million. All of the common stock was retired.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During both the three months ended March 31, 2013 and 2012, $0.6 million was included in selling, general and administrative expenses related to share-based payments.</w:t>
      </w:r>
    </w:p>
    <w:p>
      <w:pPr>
        <w:spacing w:after="0" w:line="202"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On April 1, 2013, 50,000 shares of stock appreciation rights and 46,729 shares of restricted stock were granted to Mr. William J. Grubbs, the Company’s President and Chief Operating Officer. Similar to prior grants, the restricted stock vests ratably over a four year period on the anniversary date of the grant. The stock appreciation rights vest 25% per year over a four year period, expire after seven years and can only be settled with stock.</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ind w:left="720" w:hanging="713"/>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historically reported four business segments – nurse and allied staffing, clinical trial services, physician staffing, and other human capital management services. During the fourth quarter of 2012, the Company decided to divest its clinical trial services business segment. Their results of operations have been classified as discontinued operations for all periods presented. The remaining three business segments in continuing operations are described below:</w:t>
      </w:r>
    </w:p>
    <w:p>
      <w:pPr>
        <w:spacing w:after="0" w:line="218" w:lineRule="exact"/>
        <w:rPr>
          <w:sz w:val="20"/>
          <w:szCs w:val="20"/>
          <w:color w:val="auto"/>
        </w:rPr>
      </w:pPr>
    </w:p>
    <w:p>
      <w:pPr>
        <w:ind w:left="480" w:right="140" w:hanging="293"/>
        <w:spacing w:after="0" w:line="307"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Nurse and allied staffing </w:t>
      </w:r>
      <w:r>
        <w:rPr>
          <w:rFonts w:ascii="Arial" w:cs="Arial" w:eastAsia="Arial" w:hAnsi="Arial"/>
          <w:sz w:val="16"/>
          <w:szCs w:val="16"/>
          <w:color w:val="auto"/>
        </w:rPr>
        <w:t>- The nurse and allied staffing business segment provides travel nurse and allied staffing services and per diem nurse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acute care hospitals. Nurse and allied staffing services are marketed to public and private and for-profit and not-for-profit healthcare facilities throughout the U.S. The Company aggregates the different brands that it markets to its customers in this business segment.</w:t>
      </w:r>
    </w:p>
    <w:p>
      <w:pPr>
        <w:spacing w:after="0" w:line="150" w:lineRule="exact"/>
        <w:rPr>
          <w:rFonts w:ascii="Arial" w:cs="Arial" w:eastAsia="Arial" w:hAnsi="Arial"/>
          <w:sz w:val="16"/>
          <w:szCs w:val="16"/>
          <w:color w:val="auto"/>
        </w:rPr>
      </w:pPr>
    </w:p>
    <w:p>
      <w:pPr>
        <w:ind w:left="480" w:right="240" w:hanging="293"/>
        <w:spacing w:after="0" w:line="271"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The physician staffing business segment provides multi-specialty locum tenens services to the healthcare industry throughout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U.S.</w:t>
      </w:r>
    </w:p>
    <w:p>
      <w:pPr>
        <w:spacing w:after="0" w:line="174" w:lineRule="exact"/>
        <w:rPr>
          <w:rFonts w:ascii="Arial" w:cs="Arial" w:eastAsia="Arial" w:hAnsi="Arial"/>
          <w:sz w:val="18"/>
          <w:szCs w:val="18"/>
          <w:color w:val="auto"/>
        </w:rPr>
      </w:pPr>
    </w:p>
    <w:p>
      <w:pPr>
        <w:ind w:left="480" w:right="480" w:hanging="293"/>
        <w:spacing w:after="0" w:line="301"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Other human capital management services </w:t>
      </w:r>
      <w:r>
        <w:rPr>
          <w:rFonts w:ascii="Arial" w:cs="Arial" w:eastAsia="Arial" w:hAnsi="Arial"/>
          <w:sz w:val="17"/>
          <w:szCs w:val="17"/>
          <w:color w:val="auto"/>
        </w:rPr>
        <w:t>- The other human capital management services business segment includes the combined results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education and training and retained search businesses that both have operations within the U.S.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management evaluates performance of each segment primarily based on revenue and contribution income. The Company’s management does not evaluate, manage or measure performance of segments using asset information; accordingly,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loss from operations for the periods indicated are as follows: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4"/>
          </w:tcPr>
          <w:p>
            <w:pPr>
              <w:jc w:val="right"/>
              <w:ind w:right="251"/>
              <w:spacing w:after="0"/>
              <w:rPr>
                <w:sz w:val="20"/>
                <w:szCs w:val="20"/>
                <w:color w:val="auto"/>
              </w:rPr>
            </w:pPr>
            <w:r>
              <w:rPr>
                <w:rFonts w:ascii="Arial" w:cs="Arial" w:eastAsia="Arial" w:hAnsi="Arial"/>
                <w:sz w:val="18"/>
                <w:szCs w:val="18"/>
                <w:b w:val="1"/>
                <w:bCs w:val="1"/>
                <w:color w:val="auto"/>
                <w:w w:val="94"/>
              </w:rPr>
              <w:t>Three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4"/>
              </w:rPr>
              <w:t>2012 (b)</w:t>
            </w:r>
          </w:p>
        </w:tc>
        <w:tc>
          <w:tcPr>
            <w:tcW w:w="0" w:type="dxa"/>
            <w:vAlign w:val="bottom"/>
          </w:tcPr>
          <w:p>
            <w:pPr>
              <w:spacing w:after="0"/>
              <w:rPr>
                <w:sz w:val="1"/>
                <w:szCs w:val="1"/>
                <w:color w:val="auto"/>
              </w:rPr>
            </w:pPr>
          </w:p>
        </w:tc>
      </w:tr>
      <w:tr>
        <w:trPr>
          <w:trHeight w:val="227"/>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Revenue from services: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(amounts in</w:t>
            </w:r>
          </w:p>
        </w:tc>
        <w:tc>
          <w:tcPr>
            <w:tcW w:w="8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0" w:type="dxa"/>
            <w:vAlign w:val="bottom"/>
          </w:tcPr>
          <w:p>
            <w:pPr>
              <w:spacing w:after="0"/>
              <w:rPr>
                <w:sz w:val="1"/>
                <w:szCs w:val="1"/>
                <w:color w:val="auto"/>
              </w:rPr>
            </w:pPr>
          </w:p>
        </w:tc>
      </w:tr>
      <w:tr>
        <w:trPr>
          <w:trHeight w:val="201"/>
        </w:trPr>
        <w:tc>
          <w:tcPr>
            <w:tcW w:w="75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Nurse and allied staffing</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72,749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Physician staffing</w:t>
            </w:r>
          </w:p>
        </w:tc>
        <w:tc>
          <w:tcPr>
            <w:tcW w:w="16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28,067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human capital management services</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9,500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110,316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Contribution income (a):</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Nurse and allied staffing (c)</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5,343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ind w:left="360"/>
              <w:spacing w:after="0"/>
              <w:rPr>
                <w:sz w:val="20"/>
                <w:szCs w:val="20"/>
                <w:color w:val="auto"/>
              </w:rPr>
            </w:pPr>
            <w:r>
              <w:rPr>
                <w:rFonts w:ascii="Arial" w:cs="Arial" w:eastAsia="Arial" w:hAnsi="Arial"/>
                <w:sz w:val="18"/>
                <w:szCs w:val="18"/>
                <w:color w:val="auto"/>
              </w:rPr>
              <w:t>Physician staffing</w:t>
            </w:r>
          </w:p>
        </w:tc>
        <w:tc>
          <w:tcPr>
            <w:tcW w:w="16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human capital management services</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7,805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overhead (c)</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5306695</wp:posOffset>
            </wp:positionH>
            <wp:positionV relativeFrom="paragraph">
              <wp:posOffset>-7620</wp:posOffset>
            </wp:positionV>
            <wp:extent cx="1402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5306695</wp:posOffset>
            </wp:positionH>
            <wp:positionV relativeFrom="paragraph">
              <wp:posOffset>-147320</wp:posOffset>
            </wp:positionV>
            <wp:extent cx="1402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227" w:lineRule="exact"/>
        <w:rPr>
          <w:sz w:val="20"/>
          <w:szCs w:val="20"/>
          <w:color w:val="auto"/>
        </w:rPr>
      </w:pPr>
    </w:p>
    <w:p>
      <w:pPr>
        <w:ind w:left="480" w:right="260" w:hanging="473"/>
        <w:spacing w:after="0" w:line="282"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Company defines contribution income as income or loss from operations before depreciation, amortization, impairment charges and corporate expenses not specifically identified to a reporting segment. Contribution income is a financial measure used by management when assessing segment performance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w:t>
      </w:r>
    </w:p>
    <w:p>
      <w:pPr>
        <w:spacing w:after="0" w:line="167" w:lineRule="exact"/>
        <w:rPr>
          <w:rFonts w:ascii="Arial" w:cs="Arial" w:eastAsia="Arial" w:hAnsi="Arial"/>
          <w:sz w:val="17"/>
          <w:szCs w:val="17"/>
          <w:color w:val="auto"/>
        </w:rPr>
      </w:pPr>
    </w:p>
    <w:p>
      <w:pPr>
        <w:ind w:left="480" w:right="180" w:hanging="473"/>
        <w:spacing w:after="0" w:line="271"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periods have been restated to conform to the 2013 presentation of the Company’s former clinical trial services business segment from continuing operations to discontinued operations.</w:t>
      </w:r>
    </w:p>
    <w:p>
      <w:pPr>
        <w:spacing w:after="0" w:line="174" w:lineRule="exact"/>
        <w:rPr>
          <w:rFonts w:ascii="Arial" w:cs="Arial" w:eastAsia="Arial" w:hAnsi="Arial"/>
          <w:sz w:val="18"/>
          <w:szCs w:val="18"/>
          <w:color w:val="auto"/>
        </w:rPr>
      </w:pPr>
    </w:p>
    <w:p>
      <w:pPr>
        <w:ind w:left="480" w:right="340" w:hanging="473"/>
        <w:spacing w:after="0" w:line="335"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2013, we refined our methodology for allocating certain corporate overhead expenses and our nurse and allied staffing segment expenses to more accurately reflect this segment’s profitability. Prior year information has been reclassified to conform to current year presentation.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16" w:name="page17"/>
    <w:bookmarkEnd w:id="16"/>
    <w:p>
      <w:pPr>
        <w:ind w:left="720" w:hanging="713"/>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December 4, 2012, the Company's subsidiary, CC Staffing, Inc. (now known as Travel Staff, LLC) became the subject of a purported class action lawsuit (Alice Ogues, on behalf of herself and all others similarly situated, Plaintiffs, vs. CC Staffing, Inc., a Delaware corporation; and DOES 1-50, inclusive, Defendants) filed in the United States District Court, Northern District of California. Plaintiff alleges that travelling employees were denied meal periods and rest breaks, that they should have been paid overtime on reimbursement amounts, and that they are entitled to associated penalties. The Company attended a mediation in April 2013 that was unsuccessful. At this early stage, the Company is unable to determine its potential exposure, if any, and intends to vigorously defend this matter.</w:t>
      </w:r>
    </w:p>
    <w:p>
      <w:pPr>
        <w:spacing w:after="0" w:line="2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September 8, 2010, the Company's subsidiary, Cross Country TravCorps, Inc. became the subject of an indemnity lawsuit (New Hanover Regional Medical Center vs. Cross Country TravCorps, Inc., d/b/a Cross Country Staffing, and Christina Lynn White) filed in the New Hanover County Civil Superior Court, State of North Carolina. Plaintiff alleges that Christina White, a former employee of Cross Country TravCorps was negligent in caring for a patient on September 12, 2007 which resulted in the death of that patient. New Hanover Regional Medical Center settled the claim pre-suit and subsequently brought an indemnity claim against Ms. White and against Cross Country TravCorps for the actions of Ms. White pursuant to the Staffing Agreement between Cross Country TravCorps and the hospital.</w:t>
      </w:r>
    </w:p>
    <w:p>
      <w:pPr>
        <w:spacing w:after="0" w:line="2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All of the parties to this litigation were mandated to arbitration in April 2013. On April 19, 2013, an arbitration panel found that Nurse White negligently caused the death of the patient and that New Hanover Regional Medical Center had no active negligence contributing to that death. Furthermore, the arbitration panel found that New Hanover Regional Medical Center's settlement with the family of the deceased was fair and reasonable, and that the facility is entitled to recover compensatory damages from Ms. White and Cross Country Staffing in the amount of approximately $2.0 million, plus pre-judgment interest (from September 8, 2010) at 8% per year. In addition, New Hanover Regional Medical Center is entitled to recover from Cross Country prejudgment interest on the compensatory damages from March 31, 2008 through September 7, 2010 at the rate of 8% per year and approximately $41,000 in attorneys' fees. The panel also found that, but for the negligence of Ms. White, Cross Country would have no liability to New Hanover Regional Medical Center; therefore, as a matter of equity Cross Country is entitled to recover indemnity from Ms. White to the full extent Cross Country actually pays New Hanover Regional Medical Center any portion of the award (other than the prejudgment interest from March 31, 2008 through September 7, 2010 and the approximately $41,000 in attorneys' fees). Ms. White has insurance coverage for this claim with $2.0 million (individual)/$4.0 million (aggregate) limits and no deductible. In addition, the Company has excess coverage that is expected to cover the amount of loss over $2.0 million.</w:t>
      </w:r>
    </w:p>
    <w:p>
      <w:pPr>
        <w:spacing w:after="0" w:line="194" w:lineRule="exact"/>
        <w:rPr>
          <w:sz w:val="20"/>
          <w:szCs w:val="20"/>
          <w:color w:val="auto"/>
        </w:rPr>
      </w:pPr>
    </w:p>
    <w:p>
      <w:pPr>
        <w:ind w:right="380"/>
        <w:spacing w:after="0" w:line="254" w:lineRule="auto"/>
        <w:rPr>
          <w:sz w:val="20"/>
          <w:szCs w:val="20"/>
          <w:color w:val="auto"/>
        </w:rPr>
      </w:pPr>
      <w:r>
        <w:rPr>
          <w:rFonts w:ascii="Arial" w:cs="Arial" w:eastAsia="Arial" w:hAnsi="Arial"/>
          <w:sz w:val="21"/>
          <w:szCs w:val="21"/>
          <w:color w:val="auto"/>
        </w:rPr>
        <w:t>Based on the facts of this case, as of March 31, 2013, the Company has included a $3.3 million contingent liability for this claim included in long term accrued claims as well as a $3.3 million non-current insurance recovery receivable on the Company's condensed consolidated balance sheets.</w:t>
      </w:r>
    </w:p>
    <w:p>
      <w:pPr>
        <w:spacing w:after="0" w:line="204"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color w:val="auto"/>
        </w:rPr>
        <w:t>The Company is also subject to other legal proceedings and claims that arise in the ordinary course of its business. In the opinion of management, the outcome of these other matters will not have a significant effect on the Company’s consolidated financial position or results of operations.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7" w:name="page18"/>
    <w:bookmarkEnd w:id="17"/>
    <w:p>
      <w:pPr>
        <w:ind w:left="720" w:hanging="713"/>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income tax provision and the corresponding annual effective tax rate are based on expected income, statutory tax rates and tax planning opportunities available in the various jurisdictions in which we operate. For interim financial reporting, except in circumstances as described in the following paragraph, we estimate the annual effective tax rate based on projected taxable income for the full year and record a quarterly tax provision in accordance with the expected annual effective tax rate. As the year progresses, we refine the estimates of the year’s taxable income as new information becomes available, including year-to-date financial results. This continual estimation process often results in a change to our expected annual effective tax rate for the year. When this occurs, we adjust the income tax provision during the quarter in which the change in estimate occurs so that the year-to-date income tax provision reflects the expected annual effective tax rate. Significant judgment is required in determining our annual effective tax rate and in evaluating our tax positions.</w:t>
      </w:r>
    </w:p>
    <w:p>
      <w:pPr>
        <w:spacing w:after="0" w:line="19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When projected taxable income for the full year is close to break-even, the expected annual effective tax rate becomes volatile and will distort the income tax provision for an interim period. When this happens we calculate the income tax provision or benefit using the year-to-date effective tax rate in accordance with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of the ASC (ASC 740), paragraphs 270-30-18. This cut-off method results in an income tax provision or benefit based solely on the year-to-date pretax income or loss as adjusted for permanent differences on a pro rata basis.</w:t>
      </w:r>
    </w:p>
    <w:p>
      <w:pPr>
        <w:spacing w:after="0" w:line="20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the period ended March 31, 2013 the Company has calculated its effective tax rate based on year-to-date results (under ASC 740-280-30-18) as opposed to estimating its annual effective tax rate. Company’s effective tax rate for continuing operations for the three months ended March 31, 2013 was 27.1% including the impact of discrete items. The effective tax rate is lower than the statutory rates primarily due to the impact of the non-deductibility of certain per diem expenses, state taxes and foreign taxes offsetting the tax benefit arising from the loss from continuing operations.</w:t>
      </w:r>
    </w:p>
    <w:p>
      <w:pPr>
        <w:spacing w:after="0" w:line="20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a reconciliation of the beginning and ending amounts of unrecognized tax benefits, including estimated interest and penalties, is as follows:</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(amounts in thousands)</w:t>
            </w:r>
          </w:p>
        </w:tc>
      </w:tr>
      <w:tr>
        <w:trPr>
          <w:trHeight w:val="214"/>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5,203</w:t>
            </w:r>
          </w:p>
        </w:tc>
      </w:tr>
      <w:tr>
        <w:trPr>
          <w:trHeight w:val="214"/>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Additions based on tax provisions related to prior years</w:t>
            </w:r>
          </w:p>
        </w:tc>
        <w:tc>
          <w:tcPr>
            <w:tcW w:w="7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27</w:t>
            </w:r>
          </w:p>
        </w:tc>
      </w:tr>
      <w:tr>
        <w:trPr>
          <w:trHeight w:val="221"/>
        </w:trPr>
        <w:tc>
          <w:tcPr>
            <w:tcW w:w="20" w:type="dxa"/>
            <w:vAlign w:val="bottom"/>
          </w:tcPr>
          <w:p>
            <w:pPr>
              <w:spacing w:after="0"/>
              <w:rPr>
                <w:sz w:val="19"/>
                <w:szCs w:val="19"/>
                <w:color w:val="auto"/>
              </w:rPr>
            </w:pPr>
          </w:p>
        </w:tc>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 based on tax provisions related to current year</w:t>
            </w:r>
          </w:p>
        </w:tc>
        <w:tc>
          <w:tcPr>
            <w:tcW w:w="7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r>
      <w:tr>
        <w:trPr>
          <w:trHeight w:val="214"/>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Balance at March 31, 2013</w:t>
            </w: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5,371</w:t>
            </w: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of March 31, 2013, the Company had approximately $4.9 million of unrecognized tax benefits, which would affect the effective tax rate if recognized. During the three months ended March 31, 2013, the Company had gross increases of $0.2 million to its current year unrecognized tax benefits related to federal and state tax issues. The Company recognizes interest and penalties related to unrecognized tax benefits in the provision for income taxes. The Company had accrued approximately $0.9 million for the payment of interest and penalties at both March 31, 2013 and December 31, 2012.</w:t>
      </w:r>
    </w:p>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tax years 2004, 2005 and 2008 through 2011 remain open to examination by the major taxing jurisdictions in which the Company is subject to tax, with the exception of certain states in which the statute of limitations has been extended.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8" w:name="page19"/>
    <w:bookmarkEnd w:id="18"/>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Company’s condensed consolidated financial statements present a consolidation of all its operations.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2012, and is intended to assist the reader in understanding the financial results and condition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We are a diversified leader in healthcare staffing services offering an extensive suite of staffing and outsourcing services to the healthcare market. We report our financial results according to three business segments: (1) nurse and allied staffing, (2) physician staffing, and (3) other human capital management services. We believe we are one of the top two providers of nurse and allied staffing services; one of the top four providers of temporary physician staffing (locum tenens) services; and one of the top five providers of retained physician and healthcare executive search services. We are also a leading provider of education and training programs specifically for the healthcare marketplace.</w:t>
      </w:r>
    </w:p>
    <w:p>
      <w:pPr>
        <w:spacing w:after="0" w:line="20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a diversified revenue mix across business sectors and healthcare customers. For the quarter ended March 31, 2013, our nurse and allied staffing business segment represented approximately 66% of our revenue and is comprised of travel and per diem nurse staffing, and allied health staffing. Travel nurse staffing represented approximately 51% of our total revenue and 77% of our nurse and allied staffing business segment revenue. Other nurse and allied staffing services include the placement of allied healthcare professionals, such as rehabilitation therapists, radiology technicians, nurse practitioners and respiratory therapists. Our physician staffing business segment represented approximately 25% of our first quarter 2013 revenue and consists of temporary physician staffing services (locum tenens). Our other human capital management services business segment represented approximately 9% of our revenue and consists of education and training and retained search services.</w:t>
      </w:r>
    </w:p>
    <w:p>
      <w:pPr>
        <w:spacing w:after="0" w:line="20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For the quarter ended March 31, 2013, our revenue from continuing operations was $110.3 million, and we had a loss from continuing operations of $1.3 million, or $(0.04) per diluted share which included a pre-tax loss on early extinguishment of debt of $1.4 million related to the write off of loan fees related to our prior credit agreement. For the quarter ended March 31, 2013, income from discontinued operations, after taxes was $2.5 million, or $0.08 per diluted share, and included a gain on the sale of our clinical trial services business of $4.2 million ($1.9 million after tax). We used a portion of the net proceeds from the sale of the clinical trial services business to repay all $29.3 million of our then outstanding debt. We ended the first quarter of 2013 with $20.9 million of cash and cash equivalents and total debt of $0.5 million primarily related to capital lease obligations.</w:t>
      </w:r>
    </w:p>
    <w:p>
      <w:pPr>
        <w:spacing w:after="0" w:line="206" w:lineRule="exact"/>
        <w:rPr>
          <w:sz w:val="20"/>
          <w:szCs w:val="20"/>
          <w:color w:val="auto"/>
        </w:rPr>
      </w:pPr>
    </w:p>
    <w:p>
      <w:pPr>
        <w:jc w:val="both"/>
        <w:ind w:right="220"/>
        <w:spacing w:after="0" w:line="282" w:lineRule="auto"/>
        <w:rPr>
          <w:sz w:val="20"/>
          <w:szCs w:val="20"/>
          <w:color w:val="auto"/>
        </w:rPr>
      </w:pPr>
      <w:r>
        <w:rPr>
          <w:rFonts w:ascii="Arial" w:cs="Arial" w:eastAsia="Arial" w:hAnsi="Arial"/>
          <w:sz w:val="17"/>
          <w:szCs w:val="17"/>
          <w:color w:val="auto"/>
        </w:rPr>
        <w:t>In general, we evaluate our financial condition and operating results by revenue, contribution income (see Segment Information), and net income (loss). We also use measurement of our cash flow generation and operating and leverage ratios to help us assess our financial condition. In addition, we monitor several key volume and profitability indicators such as number of open orders, contract bookings, number of FTEs, days filled and price.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Nurse and Allied Staffing</w:t>
      </w:r>
    </w:p>
    <w:p>
      <w:pPr>
        <w:spacing w:after="0" w:line="24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Both housing and insurance costs per hour declined sequentially, which combined with a favorable professional liability accrual adjustment, as well as higher volume, bill rate increases and continued focus on controlling overhead, resulted in a 43.8% improvement in segment contribution income from prior quarter. The professional liability accrual adjustment resulted from an underlying case that has since moved further through the legal system and provided greater clarity on our exposure.</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a very strong flu season resulting in higher hospital admissions early in the quarter drove incremental demand for this segment. Staffing related to electronic medical record (EMR) technology implementations was also a driver of demand for our nurse and allied staffing services during the first quarter. Currently, EMR activity is running below level of the first quarter. Despite the current lull, we expect this driver of demand to strengthen as we get deeper into 2013, as hospitals must demonstrate meaningful use of medical record technology by 2015. Our nurse and allied staffing segment has gone a long way toward restoring our margins in this segment. However, overall demand has pulled-back from higher levels seen early in the first quarter following the end of a very strong flu season, lull in EMR staffing, and the normal seasonality of this business. As a result, we expect second quarter volume to be down sequentially.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Physician Staffing</w:t>
      </w:r>
    </w:p>
    <w:p>
      <w:pPr>
        <w:spacing w:after="0" w:line="248"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In the first quarter of 2013, revenue from our physician staffing services decreased compared to the prior year’s first quarter and the fourth quarter of 2012. The physician staffing business appears to have continued pressure relating to the increased willingness of physicians to become employees of hospitals and health systems. In the second quarter of 2013, we expect this business to return to a positive trend line with improved year-over-year and sequential performance.</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continue to believe this business will grow revenue in 2013, but have limited visibility given the shorter term nature of contract placements in comparison to our nursing business. We believe the future outlook for the physician staffing industry is positive as demand for physicians is projected to increase due to the demographics of a growing and aging population along with healthcare reform that is expected to be directionally favorable to our business. The needs will be particularly strong in the primary care specialties due to recent decreases in medical school graduates entering the primary care field. Locum tenens should benefit from these shortage trends and demands particularly with an ever increasing aging population and the anticipated increase in utilization of healthcare services. We believe our physician staffing services business is well positioned to respond to the current and future needs of its healthcare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for the periods indicated, selected condensed consolidated statements of operations data expressed as a percentage of revenue:</w:t>
      </w:r>
    </w:p>
    <w:p>
      <w:pPr>
        <w:spacing w:after="0" w:line="200" w:lineRule="exact"/>
        <w:rPr>
          <w:sz w:val="20"/>
          <w:szCs w:val="20"/>
          <w:color w:val="auto"/>
        </w:rPr>
      </w:pPr>
    </w:p>
    <w:p>
      <w:pPr>
        <w:spacing w:after="0" w:line="304"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140" w:type="dxa"/>
            <w:vAlign w:val="bottom"/>
            <w:gridSpan w:val="3"/>
          </w:tcPr>
          <w:p>
            <w:pPr>
              <w:jc w:val="right"/>
              <w:ind w:right="271"/>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14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b w:val="1"/>
                <w:bCs w:val="1"/>
                <w:color w:val="auto"/>
              </w:rPr>
              <w:t>2013</w:t>
            </w:r>
          </w:p>
        </w:tc>
        <w:tc>
          <w:tcPr>
            <w:tcW w:w="1120" w:type="dxa"/>
            <w:vAlign w:val="bottom"/>
            <w:gridSpan w:val="2"/>
          </w:tcPr>
          <w:p>
            <w:pPr>
              <w:jc w:val="right"/>
              <w:ind w:right="37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 operating expenses</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73.8</w:t>
            </w:r>
          </w:p>
        </w:tc>
        <w:tc>
          <w:tcPr>
            <w:tcW w:w="1120" w:type="dxa"/>
            <w:vAlign w:val="bottom"/>
            <w:gridSpan w:val="2"/>
          </w:tcPr>
          <w:p>
            <w:pPr>
              <w:jc w:val="right"/>
              <w:ind w:right="1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24.5</w:t>
            </w:r>
          </w:p>
        </w:tc>
        <w:tc>
          <w:tcPr>
            <w:tcW w:w="11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Bad debt expense</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1120" w:type="dxa"/>
            <w:vAlign w:val="bottom"/>
            <w:gridSpan w:val="2"/>
          </w:tcPr>
          <w:p>
            <w:pPr>
              <w:jc w:val="right"/>
              <w:ind w:right="1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5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0.0</w:t>
            </w:r>
          </w:p>
        </w:tc>
        <w:tc>
          <w:tcPr>
            <w:tcW w:w="11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0.3</w:t>
            </w:r>
          </w:p>
        </w:tc>
        <w:tc>
          <w:tcPr>
            <w:tcW w:w="1120" w:type="dxa"/>
            <w:vAlign w:val="bottom"/>
            <w:gridSpan w:val="2"/>
          </w:tcPr>
          <w:p>
            <w:pPr>
              <w:jc w:val="right"/>
              <w:ind w:right="1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111"/>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auto"/>
              </w:rPr>
              <w:t>before income taxes</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120" w:type="dxa"/>
            <w:vAlign w:val="bottom"/>
            <w:gridSpan w:val="2"/>
          </w:tcPr>
          <w:p>
            <w:pPr>
              <w:jc w:val="right"/>
              <w:ind w:right="5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(loss) income from continuing operations</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1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Arial" w:cs="Arial" w:eastAsia="Arial" w:hAnsi="Arial"/>
                <w:sz w:val="18"/>
                <w:szCs w:val="18"/>
                <w:color w:val="auto"/>
              </w:rPr>
              <w:t>net of tax</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Dispositions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15, 2013, we completed the sale of our clinical trial services business to ICON Clinical Research, Inc. and ICON Clinical Research UK Limited (the “Buyer”) for an aggregate $52.0 million in cash, subject to certain adjustments. The agreement includes a provision for an earn-out of up to $3.75 million related to certain performance-based milestones. Of the $52.0 million purchase price, paid at closing, $3.75 million was placed in escrow for a period of 18 months following the closing to provide partial security to the Buyer in the event of any breach of the representations, warranties and covenants of the Company. The maximum earn-out amount of $3.75 million was also deposited in escrow by Buyer as security for the earn-out payment, if any. We have agreed to provide certain transitional services to the Buyer for a period of up to 6 months, subject to extension in certain circumstances (including our prior written consent).</w:t>
      </w:r>
    </w:p>
    <w:p>
      <w:pPr>
        <w:spacing w:after="0" w:line="21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recorded the $3.75 million indemnity escrow funds as an escrow receivable, and will adjust the amount, each reporting period, based on any known information that may arise that would be reasonable and estimable. The $3.75 million earn out related to certain performance based milestones is treated as contingent consideration and we assigned no value to this earn-out as of March 31, 2013 based on recent information available to us including a revised revenue forecast for the Arena Contract (as defined in the agreement). We do not expect that the clinical trial services business, now owned by the Buyer, will achieve the Arena Contract revenue level that is needed to reach the required milestone due to the delays and the latest forecast provided to us. In addition, the initial reports provided by the Buyer indicate that the FTE earn-out (as defined in the agreement) has not been earned. (see Note 8 – Fair Value Measurements, to our condensed consolidated financial statements for more information).</w:t>
      </w:r>
    </w:p>
    <w:p>
      <w:pPr>
        <w:spacing w:after="0" w:line="206"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sale was a result of an extensive review of our business and the changing competitive landscape in the pharmaceutical outsourcing industry. This segment consisted of service offerings that include traditional contract staffing and functional outsourcing, as well as drug safety monitoring and regulatory services to pharmaceutical and biotechnology customers. As of March 31, 2013, our clinical trial services segment has been classified as discontinued operations and its results of operations have been classified for all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2"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In September 2008, we consummated the acquisition of substantially all of the assets of privately-held MDA Holdings, Inc. and its subsidiaries and all of the outstanding stock of a subsidiary of MDA Holdings, Inc. (collectively, MDA). As of March 31, 2013, an indemnification escrow account of $3.6 million exists.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Trademarks and Other Identifiable Intangible Assets</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Goodwill, trademarks and other intangible assets represented 58.8% of our stockholders’ equity as of March 31, 2013. Goodwill, trademarks and other identifiable intangible assets from acquisitions were $62.7 million, $48.7 million and $13.9 million, respectively, net of accumulated amortization, at March 31, 2013. In accordance with the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Topic of the FASB ASC, goodwill and certain other identifiable intangible assets are not subject to amortization; instead, we review impairment annually at year-end, or whenever events or changes in circumstances indicate the carrying amount may not be recoverable.</w:t>
      </w:r>
    </w:p>
    <w:p>
      <w:pPr>
        <w:spacing w:after="0" w:line="21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Other identifiable intangible assets, which are subject to amortization, are being amortized using the straight-line method over their estimated useful lives ranging from 5 to 15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5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we historically reported four business segments – nurse and allied staffing, clinical trial services, physician staffing, and other human capital management services. During the fourth quarter of 2012, we decided to divest our clinical trial services business segment. Their results of operations have been classified as discontinued operations for periods presented. See Note 2- Discontinued Operations. The remaining three business segments in continuing operations are described below:</w:t>
      </w:r>
    </w:p>
    <w:p>
      <w:pPr>
        <w:spacing w:after="0" w:line="201" w:lineRule="exact"/>
        <w:rPr>
          <w:sz w:val="20"/>
          <w:szCs w:val="20"/>
          <w:color w:val="auto"/>
        </w:rPr>
      </w:pPr>
    </w:p>
    <w:p>
      <w:pPr>
        <w:ind w:left="480" w:right="20" w:hanging="293"/>
        <w:spacing w:after="0" w:line="259" w:lineRule="auto"/>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Nurse and allied staffing - </w:t>
      </w:r>
      <w:r>
        <w:rPr>
          <w:rFonts w:ascii="Arial" w:cs="Arial" w:eastAsia="Arial" w:hAnsi="Arial"/>
          <w:sz w:val="18"/>
          <w:szCs w:val="18"/>
          <w:color w:val="auto"/>
        </w:rPr>
        <w:t>The nurse and allied staffing business segment provides travel nurse and allied staffing services and per diem nurse staffing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primarily to acute care hospitals. Nurse and allied staffing services are marketed to public and private and for-profit and not-for-profit healthcare facilities throughout the U.S.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 w:name="page22"/>
    <w:bookmarkEnd w:id="21"/>
    <w:p>
      <w:pPr>
        <w:ind w:left="480" w:hanging="293"/>
        <w:spacing w:after="0"/>
        <w:tabs>
          <w:tab w:leader="none" w:pos="480" w:val="left"/>
        </w:tabs>
        <w:numPr>
          <w:ilvl w:val="0"/>
          <w:numId w:val="1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Physician staffing - </w:t>
      </w:r>
      <w:r>
        <w:rPr>
          <w:rFonts w:ascii="Arial" w:cs="Arial" w:eastAsia="Arial" w:hAnsi="Arial"/>
          <w:sz w:val="16"/>
          <w:szCs w:val="16"/>
          <w:color w:val="auto"/>
        </w:rPr>
        <w:t>The physician staffing business segment provides multi-specialty locum tenens to the healthcare industry throughout the U.S.</w:t>
      </w:r>
    </w:p>
    <w:p>
      <w:pPr>
        <w:spacing w:after="0" w:line="244" w:lineRule="exact"/>
        <w:rPr>
          <w:rFonts w:ascii="Arial" w:cs="Arial" w:eastAsia="Arial" w:hAnsi="Arial"/>
          <w:sz w:val="16"/>
          <w:szCs w:val="16"/>
          <w:b w:val="1"/>
          <w:bCs w:val="1"/>
          <w:color w:val="auto"/>
        </w:rPr>
      </w:pPr>
    </w:p>
    <w:p>
      <w:pPr>
        <w:ind w:left="480" w:right="440" w:hanging="293"/>
        <w:spacing w:after="0" w:line="271" w:lineRule="auto"/>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Other human capital management services - </w:t>
      </w:r>
      <w:r>
        <w:rPr>
          <w:rFonts w:ascii="Arial" w:cs="Arial" w:eastAsia="Arial" w:hAnsi="Arial"/>
          <w:sz w:val="18"/>
          <w:szCs w:val="18"/>
          <w:color w:val="auto"/>
        </w:rPr>
        <w:t>The other human capital management services business segment includes the combined results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and training and retained search businesses that both have operations within the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loss from operations for the periods indicated are as follows: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9"/>
              </w:rPr>
              <w:t>2012 (b)</w:t>
            </w:r>
          </w:p>
        </w:tc>
        <w:tc>
          <w:tcPr>
            <w:tcW w:w="0" w:type="dxa"/>
            <w:vAlign w:val="bottom"/>
          </w:tcPr>
          <w:p>
            <w:pPr>
              <w:spacing w:after="0"/>
              <w:rPr>
                <w:sz w:val="1"/>
                <w:szCs w:val="1"/>
                <w:color w:val="auto"/>
              </w:rPr>
            </w:pPr>
          </w:p>
        </w:tc>
      </w:tr>
      <w:tr>
        <w:trPr>
          <w:trHeight w:val="2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Revenue from services:</w:t>
            </w:r>
          </w:p>
        </w:tc>
        <w:tc>
          <w:tcPr>
            <w:tcW w:w="20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8"/>
                <w:szCs w:val="18"/>
                <w:color w:val="auto"/>
                <w:w w:val="87"/>
              </w:rPr>
              <w:t>(amounts in</w:t>
            </w:r>
          </w:p>
        </w:tc>
        <w:tc>
          <w:tcPr>
            <w:tcW w:w="10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0" w:type="dxa"/>
            <w:vAlign w:val="bottom"/>
          </w:tcPr>
          <w:p>
            <w:pPr>
              <w:spacing w:after="0"/>
              <w:rPr>
                <w:sz w:val="1"/>
                <w:szCs w:val="1"/>
                <w:color w:val="auto"/>
              </w:rPr>
            </w:pPr>
          </w:p>
        </w:tc>
      </w:tr>
      <w:tr>
        <w:trPr>
          <w:trHeight w:val="201"/>
        </w:trPr>
        <w:tc>
          <w:tcPr>
            <w:tcW w:w="73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Nurse and allied staffing</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72,749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380"/>
              <w:spacing w:after="0"/>
              <w:rPr>
                <w:sz w:val="20"/>
                <w:szCs w:val="20"/>
                <w:color w:val="auto"/>
              </w:rPr>
            </w:pPr>
            <w:r>
              <w:rPr>
                <w:rFonts w:ascii="Arial" w:cs="Arial" w:eastAsia="Arial" w:hAnsi="Arial"/>
                <w:sz w:val="18"/>
                <w:szCs w:val="18"/>
                <w:color w:val="auto"/>
              </w:rPr>
              <w:t>Physician staffing</w:t>
            </w:r>
          </w:p>
        </w:tc>
        <w:tc>
          <w:tcPr>
            <w:tcW w:w="2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28,067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human capital management services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110,316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Contribution income (a):</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Nurse and allied staffing (c)</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5,343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ind w:left="380"/>
              <w:spacing w:after="0"/>
              <w:rPr>
                <w:sz w:val="20"/>
                <w:szCs w:val="20"/>
                <w:color w:val="auto"/>
              </w:rPr>
            </w:pPr>
            <w:r>
              <w:rPr>
                <w:rFonts w:ascii="Arial" w:cs="Arial" w:eastAsia="Arial" w:hAnsi="Arial"/>
                <w:sz w:val="18"/>
                <w:szCs w:val="18"/>
                <w:color w:val="auto"/>
              </w:rPr>
              <w:t>Physician staffing</w:t>
            </w:r>
          </w:p>
        </w:tc>
        <w:tc>
          <w:tcPr>
            <w:tcW w:w="2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human capital management services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overhead (c)</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w:t>
      </w:r>
    </w:p>
    <w:p>
      <w:pPr>
        <w:spacing w:after="0" w:line="22" w:lineRule="exact"/>
        <w:rPr>
          <w:sz w:val="20"/>
          <w:szCs w:val="20"/>
          <w:color w:val="auto"/>
        </w:rPr>
      </w:pPr>
    </w:p>
    <w:p>
      <w:pPr>
        <w:ind w:left="480" w:hanging="473"/>
        <w:spacing w:after="0" w:line="250"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We define contribution income or loss from operations before depreciation, amortization, impairment charges, and other corporate expenses not specifically identified to a reporting segment. Contribution income is a measure used by management to access operations and is provided 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w:t>
      </w:r>
    </w:p>
    <w:p>
      <w:pPr>
        <w:spacing w:after="0" w:line="193" w:lineRule="exact"/>
        <w:rPr>
          <w:rFonts w:ascii="Arial" w:cs="Arial" w:eastAsia="Arial" w:hAnsi="Arial"/>
          <w:sz w:val="18"/>
          <w:szCs w:val="18"/>
          <w:color w:val="auto"/>
        </w:rPr>
      </w:pPr>
    </w:p>
    <w:p>
      <w:pPr>
        <w:ind w:left="480" w:right="20" w:hanging="473"/>
        <w:spacing w:after="0" w:line="271"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periods have been restated to conform to the 2013 presentation of our former clinical trial services business segment from continuing operations to discontinued operations.</w:t>
      </w:r>
    </w:p>
    <w:p>
      <w:pPr>
        <w:spacing w:after="0" w:line="174" w:lineRule="exact"/>
        <w:rPr>
          <w:rFonts w:ascii="Arial" w:cs="Arial" w:eastAsia="Arial" w:hAnsi="Arial"/>
          <w:sz w:val="18"/>
          <w:szCs w:val="18"/>
          <w:color w:val="auto"/>
        </w:rPr>
      </w:pPr>
    </w:p>
    <w:p>
      <w:pPr>
        <w:ind w:left="480" w:right="320" w:hanging="473"/>
        <w:spacing w:after="0" w:line="335"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2013, we refined our methodology for allocating certain corporate overhead expenses and our nurse and allied staffing segment expenses to more accurately reflect this segment’s profitability. Prior year information has been reclassified to conform to current year presentation.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Results for the Three Months Ended March 31, 2013 compared to the Three Months Ended March 31,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4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Revenue from services increased $0.5 million, or 0.5%, to $110.3 million for the three months ended March 31, 2013, as compared to $109.8 million for the three months ended March 31, 2012. The increase was due to higher revenue from our nurse and allied staffing, partially offset by a decrease in revenue from our physician staffing and other human capital management services business segment.</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727"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Nurse and allied staffing</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our nurse and allied staffing business segment increased $3.2 million, or 4.6%, to $72.7 million in the three months ended March 31, 2013, from $69.5 million in the three months ended March 31, 2012 due to both higher staffing volume and higher average bill rates in the three months ended March 31, 2013.</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average number of nurse and allied staffing FTEs on contract during the three months ended March 31, 2013, increased 2.8% from the three months ended March 31, 2012. The average nurse and allied staffing revenue per FTE per day increased 2.9% in the three months ended March 31, 2013 compared to the three months ended March 31, 2012, due to an increase in the average hours provided by our nurse and allied professionals coupled with an increase in our average bill rates.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from our physician staffing business decreased $1.2 million or 4.1% to $28.1 million for the three months ended March 31, 2013, compared to $29.3 million in the three months ended March 31, 2012. The decrease in revenue is primarily due to lower volume offset by higher bill rates in the three months ended March 31, 2013 compared to the three months ended March 31, 2012.</w:t>
      </w:r>
    </w:p>
    <w:p>
      <w:pPr>
        <w:spacing w:after="0" w:line="2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Physician staffing days filled is equivalent to total hours filled during the respective period divided by eight hours. Physician staffing days filled decreased 8.8% to 18,802 days in the three months ended March 31, 2013, compared to 20,617 days in the three months ended March 31, 2012. Revenue per day filled for the three months ended March 31, 2013 was $1,493, a 5.2% increase from the three months ended March 31, 2012. Revenue per day filled is calculated by dividing total physician staffing revenue by days filled for the respective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48" w:lineRule="exact"/>
        <w:rPr>
          <w:sz w:val="20"/>
          <w:szCs w:val="20"/>
          <w:color w:val="auto"/>
        </w:rPr>
      </w:pPr>
    </w:p>
    <w:p>
      <w:pPr>
        <w:ind w:right="200"/>
        <w:spacing w:after="0" w:line="335" w:lineRule="auto"/>
        <w:rPr>
          <w:sz w:val="20"/>
          <w:szCs w:val="20"/>
          <w:color w:val="auto"/>
        </w:rPr>
      </w:pPr>
      <w:r>
        <w:rPr>
          <w:rFonts w:ascii="Arial" w:cs="Arial" w:eastAsia="Arial" w:hAnsi="Arial"/>
          <w:sz w:val="16"/>
          <w:szCs w:val="16"/>
          <w:color w:val="auto"/>
        </w:rPr>
        <w:t>Revenue from other human capital management services for the three months ended March 31, 2013, decreased $1.5 million, or 13.7%, to $9.5 million from $11.0 million in the three months ended March 31, 2012, reflecting reduced seminar attendance and lower revenue from our retained search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field insurance expenses. Direct operating expenses increased $0.7 million, or 0.9%, to $81.4 million for the three months ended March 31, 2013, as compared to $80.8 million for three months ended March 31, 2012.</w:t>
      </w:r>
    </w:p>
    <w:p>
      <w:pPr>
        <w:spacing w:after="0" w:line="2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a percentage of total revenue, direct operating expenses represented 73.8% of revenue for the three months ended March 31, 2013, and 73.5% for the three months ended March 31, 2012. The increase was primarily due to a change in the mix of business and higher field compensation expenses as a percentage of revenue, partially offset by a favorable professional liability adjustment in the first quarter of 2013, related to developments in a specific case as discussed previously. Our nurse and allied staffing business revenue grew the most in the first quarter of 2013 and typically this segment has a higher direct operating cost structure as a percentage of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Selling, general and administrative expenses decreased $0.8 million, or 2.9%, to $27.1 million for the three months ended March 31, 2013, as compared to $27.9 million for the three months ended March 31, 2012 primarily due to a decrease in salaries and direct mail expenses, offset by an increase in legal and consulting fees. As a percentage of total revenue, selling, general and administrative expenses were 24.5% and 25.4%, for the three months ended March 31, 2013 and 2012, respectively. The decrease is due to the lower level of selling, general and administrative expenses described above and improved operating leverage.</w:t>
      </w:r>
    </w:p>
    <w:p>
      <w:pPr>
        <w:spacing w:after="0" w:line="21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Included in selling, general and administrative expenses are unallocated corporate overhead of $6.4 million for three months ended March 31, 2013, compared to $6.1 million for the three months ended March 31, 2012. This increase is primarily related to the increase in legal and consulting fees. As a percentage of consolidated revenue, unallocated corporate overhead was 5.8% and 5.5% for the three month periods ended March 31, 2013 and 2012, respectively. Share-based compensation, included in unallocated corporate overhead, was $0.6 million in both the three months ended March 31, 2013 and 2012.</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Bad debt expense</w:t>
      </w:r>
    </w:p>
    <w:p>
      <w:pPr>
        <w:spacing w:after="0" w:line="24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the three months ended March 31, 2013, we recorded $0.4 million of reserves for bad debt representing 0.4% of consolidated revenue from services. The increase in our reserve for bad debt related to the aging of certain accounts. In the three months ended March 31, 2012, we recorded $0.1 million of reserves for bad debt representing 0.1% of consolidated revenue from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Nurse and allied staffing</w:t>
      </w:r>
    </w:p>
    <w:p>
      <w:pPr>
        <w:spacing w:after="0" w:line="24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Contribution income from our nurse and allied staffing segment for the three months ended March 31, 2013, increased $1.8 million or 49.1%, to $5.3 million from $3.6 million in three months ended March 31, 2012. As a percentage of segment revenue, contribution income was 7.3% for the three months ended March 31, 2013, and 5.2% for the three months ended March 31, 2012. The margin improvement was primarily due to a combination of lower professional liability expenses, related to a specific case as discussed previously, and housing costs, as well as improved operating leverage, partially offset by higher bad debt expense in the three months ended March 31, 2013 compared to the three months ended March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Contribution income from physician staffing for the three months ended March 31, 2013 decreased $0.2 million or 9.8% to $2.2 million, from $2.4 million in the three months ended March 31, 2012. As a percentage of segment revenue, contribution income was 7.7% in the three months ended March 31, 2013 and 8.2% in the three months ended March 31, 2012. This decrease was primarily due to higher physician compensation and an increase in recruiter headcount partially offset by a recovery of bad debt expense and lower health insurance costs in the three months ended March 31, 2013 compared to the three months ended March 31, 2012.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Contribution income from other human capital management services for the three months ended March 31, 2013 decreased $0.8 million, or 73.9%, to $0.3 million, from $1.1 million in the three months ended March 31, 2012. Contribution income as a percentage of segment revenue was 3.1% for the three months ended March 31, 2013 and 10.1% for the three months ended March 31, 2012. The decrease in contribution income margin was primarily due to an increase in selling, general and administrative expenses and negative operating leverage in our retained search business. Our retained search business has the highest fixed cost structure of all of our businesses. Due to this high fixed cost structure, when revenue declines, the business suffers a disproportionate decline in contribution margin. Conversely, when revenue increases, it should produce a disproportionally strong margin improvement.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Depreciation and amortization expense in the three months ended March 31, 2013, totaled $1.6 million as compared to $2.0 million for the three months ended March 31, 2012. As a percentage of consolidated revenue, depreciation and amortization expense was 1.5% for the three months ended March 31, 2013 and 1.8% for the three months ended March 31,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Loss on early extinguishment of debt of $1.4 million in the three months ended March 31, 2013 relates to the write off of unamortized debt issuance costs related to the our prior credit agreement. See Note 7- Debt, to our condensed consolidated financial statements for more information. No similar costs were incurred in the three months ended March 31,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Interest expense totaled $0.3 million for the three months ended March 31, 2013 compared to $0.6 million for the three months ended March 31, 2012. The decrease in interest expense was primarily due to lower average borrowings. The effective interest rate on our borrowings was 2.1% through February 15, 2013 (the day we repaid our outstanding debt with proceeds from the sale of clinical trial services business). The effective interest rate on our borrowings was 2.3% for the three month periods ended March 31, 2012. See Note 7- Debt, to our condensed consolidated financial statements for more information.</w:t>
      </w: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Income tax benefit from continuing operations totaled $0.5 million for the three months ended March 31, 2013, as compared to $2.0 million for the three months ended March 31, 2012. The effective tax rate was 27.1% and 122.2% in the three months ended March 31, 2013 and 2012, respectively. Excluding the impact of certain discrete items, the effective tax rate in the three months ended March 31, 2013 was 12.1%, as compared to March 31, 2012 which was 136.8%. The lower effective tax rate from continuing operations in the three months ended March 31, 2013, is primarily due to the impact of the non-deductibility of certain per diem expenses, state taxes and foreign taxes. The impact of these permanent items and reserves reduced our income tax benefit in the three months ended March 31, 2013, and caused an increase in income tax expense in the three months ended March 31, 2012.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income taxes</w:t>
      </w:r>
    </w:p>
    <w:p>
      <w:pPr>
        <w:spacing w:after="0" w:line="24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Income (loss) from discontinued operations, net of income taxes includes the results from the sale of the clinical trial services business which is classified as discontinued in the three months ended March 31, 2013. The clinical trial services business had income from operations before income taxes of $0.5 million in the quarter ended March 31, 2013 compared to $0.9 million in the quarter ended March 31, 2012. The income (loss) from discontinued operations, net of tax of $2.5 million included a $4.2 million gain ($1.9 million net of taxes) on the sale of our clinical trial services business in the three months ended March 31, 2013. See Note 2 –Discontinued Operations, to our condensed consolidated financial statements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ind w:right="160"/>
        <w:spacing w:after="0" w:line="335" w:lineRule="auto"/>
        <w:rPr>
          <w:sz w:val="20"/>
          <w:szCs w:val="20"/>
          <w:color w:val="auto"/>
        </w:rPr>
      </w:pPr>
      <w:r>
        <w:rPr>
          <w:rFonts w:ascii="Arial" w:cs="Arial" w:eastAsia="Arial" w:hAnsi="Arial"/>
          <w:sz w:val="16"/>
          <w:szCs w:val="16"/>
          <w:color w:val="auto"/>
        </w:rPr>
        <w:t>As of March 31, 2013, we had a current ratio, defined as the amount of current assets divided by current liabilities, of 3.0 to 1. Working capital increased $4.7 million to $77.5 million as of March 31, 2013 from $72.8 million as of December 31, 2012, primarily due to an increase in accounts receivable.</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operating cash flows constitute our primary source of liquidity, and historically, have been sufficient to fund our working capital, capital expenditures, internal business expansion and debt service. We believe that operating cash flows and cash on hand, along with amounts available under our Loan Agreement, will be sufficient to meet these needs during the next twelve months.</w:t>
      </w:r>
    </w:p>
    <w:p>
      <w:pPr>
        <w:spacing w:after="0" w:line="21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Net cash used by operating activities was $1.5 million in the three months ended March 31, 2013, compared to cash provided by operating activities of $1.4 million in the three months ended March 31, 2012. The decrease in cash flow from operations is primarily due to an increase in accounts receivable related primarily to increase in the revenue in our nurse and allied staffing segment in the three months ended March 31, 2013. The number of days’ sales outstanding, excluding clinical trial services business, was 56 and 52 days at March 31, 2013 and December 31, 2012, respectively.</w:t>
      </w:r>
    </w:p>
    <w:p>
      <w:pPr>
        <w:spacing w:after="0" w:line="20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Investing activities provided $45.8 million in the three months ended March 31, 2013, compared to a use of $0.6 million in the three months ended March 31, 2012. During the first quarter of 2013, we sold the clinical trial services business. The net proceeds from the sale of this business segment were $46.1 million which included costs of business sale. We used $0.2 million for capital expenditures in the three months ended March 31, 2013 compared to $0.5 million in the three months ended March 31, 2012.</w:t>
      </w:r>
    </w:p>
    <w:p>
      <w:pPr>
        <w:spacing w:after="0" w:line="2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used in financing activities during the three months ended March 31, 2013, was $33.9 million compared to $2.7 million during the three months ended March 31, 2012, primarily related to net payments on our total debt in both periods. During the three months ended March 31, 2013, we repaid total debt, net of borrowings, in the amount of $33.4 million primarily using the proceeds from the sale of clinical trial services business. In addition, we used $0.5 million to pay debt issuance costs related to our Loan Agreement (as described in Credit Facility below). In the three months ended March 31, 2012, we repaid total debt, net of borrowings, of $2.3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March 31, 2013, there are 942,443 shares remaining under our February 2008 Board authorization and 30.9 million shares of common stock outstanding. Subject to certain conditions as described in the Loan Agreement entered into on January 9, 2013, we may repurchase up to an aggregate amount of $5.0 million of our Equity Interests (as defined in the Loan Agreement). During the three months ended March 31, 2013, we did not repurchase any shares under our February 2008 Board of Directors’ authorization.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ind w:right="460"/>
        <w:spacing w:after="0" w:line="271" w:lineRule="auto"/>
        <w:rPr>
          <w:sz w:val="20"/>
          <w:szCs w:val="20"/>
          <w:color w:val="auto"/>
        </w:rPr>
      </w:pPr>
      <w:r>
        <w:rPr>
          <w:rFonts w:ascii="Arial" w:cs="Arial" w:eastAsia="Arial" w:hAnsi="Arial"/>
          <w:sz w:val="18"/>
          <w:szCs w:val="18"/>
          <w:color w:val="auto"/>
        </w:rPr>
        <w:t>During the three months ended March 31, 2012, we repurchased 71,653 shares at an average price of $5.22, under our February 2008 Board of Directors’ authorization. The cost of such purchases was $0.4 million. All of the common stock was retired.</w:t>
      </w:r>
    </w:p>
    <w:p>
      <w:pPr>
        <w:spacing w:after="0" w:line="202"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On April 1, 2013, 50,000 shares of stock appreciation rights and 46,729 shares of restricted stock at market price of $5.35 were granted to Mr. William J. Grubbs, our President and Chief Operating Officer. Similar to prior grants, the restricted stock vests ratably over a four year period on the anniversary date of the grant. The stock appreciation rights vest 25% per year over a four year period, expire after seven years and can only be settled with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48" w:lineRule="exact"/>
        <w:rPr>
          <w:sz w:val="20"/>
          <w:szCs w:val="20"/>
          <w:color w:val="auto"/>
        </w:rPr>
      </w:pPr>
    </w:p>
    <w:p>
      <w:pPr>
        <w:jc w:val="both"/>
        <w:ind w:right="640"/>
        <w:spacing w:after="0" w:line="335" w:lineRule="auto"/>
        <w:rPr>
          <w:sz w:val="20"/>
          <w:szCs w:val="20"/>
          <w:color w:val="auto"/>
        </w:rPr>
      </w:pPr>
      <w:r>
        <w:rPr>
          <w:rFonts w:ascii="Arial" w:cs="Arial" w:eastAsia="Arial" w:hAnsi="Arial"/>
          <w:sz w:val="16"/>
          <w:szCs w:val="16"/>
          <w:color w:val="auto"/>
        </w:rPr>
        <w:t>On January 9, 2013, we terminated our commitments under senior secured credit agreement (July 2012 Credit Agreement) and entered into a Loan and Security Agreement (Loan Agreement), by and among us and certain of our domestic subsidiaries, as borrowers, and Bank of America, N.A., as agent.</w:t>
      </w:r>
    </w:p>
    <w:p>
      <w:pPr>
        <w:spacing w:after="0" w:line="15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Loan Agreement provides for: a three-year senior secured asset-based revolving credit facility in the aggregate principal amount of up to $65.0 million (as described below), which includes a subfacility for swingline loans up to an amount equal to 10% of the aggregate Revolver Commitments, and a $20.0 million subfacility for standby letters of credit. As of March 31, 2013, we had no revolver borrowings outstanding under this Loan Agreement. As of March 31, 2013, the availability under the Loan Agreement was approximately $40.5 million. We had $11.8 million of letters of credit outstanding as of March 31, 2013.</w:t>
      </w:r>
    </w:p>
    <w:p>
      <w:pPr>
        <w:spacing w:after="0" w:line="18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Swingline loans and letters of credit issued under the Loan Agreement reduce available revolving credit commitments on a dollar-for-dollar basis. Subject to certain conditions, we are permitted, at any time prior to the maturity date for the revolving credit facility, to increase the total revolving credit commitments in an aggregate principal amount of up to $20.0 million, with additional commitments from Lenders or new commitments from financial institutions, subject to certain conditions as described in the Loan Agreement. Pursuant to the Loan Agreement, the aggregate amount of advances under the Line of Credit (Borrowing Base) cannot exceed the lesser of (a) (i) $65.0 million, or (ii) 85% of eligible billed accounts receivable as defined in the Loan Agreement; plus (b) the lesser of (i) 85% of eligible unbilled accounts receivable and (ii) $12.0 million; minus (c) reserves as defined by the Loan Agreement, which include one week’s worth of W-2 payroll and fees payable to independent contractors.</w:t>
      </w:r>
    </w:p>
    <w:p>
      <w:pPr>
        <w:spacing w:after="0" w:line="2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initial proceeds from the revolving credit facility were used to finance the repayment of our existing indebtedness under our prior credit agreement and the payment of fees and expenses. The repayment of the term loan portion of our outstanding debt in the first quarter of 2013 is treated as extinguishment of debt, and, as a result, we recognized a loss on extinguishment in the first quarter of 2013, related to the write-off of unamortized net debt issuance costs of approximately $0.3 million. The repayment of the revolver portion of our outstanding debt in the first quarter of 2013 is treated partially as extinguishment and partially as a modification. The fees related to the modified portion of $0.1 million relate to the continuation of credit provided by Bank of America, N.A. in its Loan Agreement. We wrote-off the remaining unamortized net debt issuance costs of approximately $1.1 million in the first quarter of 2013.</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revolving credit facility will be used to provide ongoing working capital and for other general corporate purposes of the Company and its subsidiaries. The initial interest rate spreads and fees under the Loan Agreement are based on LIBOR plus 1.5% or Base Rate plus 0.50%. The LIBOR and Base Rate margins are subject to performance pricing adjustments, commencing September 1, 2013, pursuant to a pricing matrix based on the Company’s excess availability under the revolving credit facility, and would increase by 200 basis points if an event of default exists.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ind w:right="20"/>
        <w:spacing w:after="0" w:line="267" w:lineRule="auto"/>
        <w:rPr>
          <w:sz w:val="20"/>
          <w:szCs w:val="20"/>
          <w:color w:val="auto"/>
        </w:rPr>
      </w:pPr>
      <w:r>
        <w:rPr>
          <w:rFonts w:ascii="Arial" w:cs="Arial" w:eastAsia="Arial" w:hAnsi="Arial"/>
          <w:sz w:val="17"/>
          <w:szCs w:val="17"/>
          <w:color w:val="auto"/>
        </w:rPr>
        <w:t>The Loan Agreement contains customary representations, warranties, and affirmative covenants. The Loan Agreement also contains customary negative covenants; including covenants with respect to, among other things, (i) indebtedness, (ii) liens, (iii) investments, (iv) significant corporate changes, including mergers and acquisitions, (v) dispositions, (vi) dividend, distributions and other restricted payments, (vii) transactions with affiliates and (viii) restrictive agreements. In addition, if our availability under the revolving credit facility is less than the greater of (i) 12.5% of the Loan Cap, as defined, and (ii) $6.25 million, we are required to meet a minimum fixed charge coverage ratio of 1.0, as defined in the Loan Agreement. The Loan Agreement also contains customary events of default, such as payment defaults, cross-defaults to other material indebtedness, bankruptcy and insolvency, the occurrence of a defined change in control and the failure to observe covenants or conditions under the credit facility documents. Our obligations under the Loan Agreement are guaranteed by all material domestic subsidiaries of the Company that are not co-borrowers (Subsidiary Guarantors). As collateral security for their obligations under the Loan Agreement and guarantees thereof, the Company and the Subsidiary Guarantors have granted to Bank of America, N.A., a security interest in substantially all of their tangible and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2012 Credit Agreement</w:t>
      </w:r>
    </w:p>
    <w:p>
      <w:pPr>
        <w:spacing w:after="0" w:line="2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entered into July 2012 Credit Agreement on July 10, 2012 , by and among us, as borrower, a syndicate of lenders, Wells Fargo Bank, National Association, as administrative agent, swingline lender and issuing lender, Bank of America, N.A., as syndication agent, and U.S. Bank National Association, as documentation agent. The July 2012 Credit Agreement provided for: (i) a five-year senior secured term loan facility in the aggregate principal amount of $25.0 million, and (ii) a five-year senior secured revolving credit facility in the aggregate principal amount of up to $50.0 million, which included a $10.0 million subfacility for swingline loans, and a $20.0 million subfacility for standby letters of credit. Swingline loans and letters of credit issued under the July 2012 Credit Agreement reduced available revolving credit commitments on a dollar-for-dollar basis. Subject to certain conditions under the Credit Agreement, the Company was permitted, at any time prior to the maturity date for the revolving credit facility, to increase its total revolving credit commitments in an aggregate principal amount of up to $25.0 million.</w:t>
      </w:r>
    </w:p>
    <w:p>
      <w:pPr>
        <w:spacing w:after="0" w:line="22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revolving credit facility was to be used to provide ongoing working capital and for other general corporate purposes of the Company and its subsidiaries. Through December 31, 2012, interest on the term loan and revolving credit portion of the July 2012 Credit Agreement was based on LIBOR plus a margin of 2.50% or Base Rate (as defined by the July 2012 Credit Agreement, as modified) plus a margin of 1.50%. In addition, we were required to pay a quarterly commitment fee on its average daily unused portion of the revolving loan facility of 0.50%. The interest rate spreads and fees fluctuated during the term of the July 2012 Credit Agreement based on the consolidated total leverage ratio at each calculation date, as defined.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Off-Balance Sheet Arrangements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did not have any off-balance sheet arrangements and there were no material changes in our contractual obligations and other commitments since December 31,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5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Our critical accounting policies remain consistent with those reported in our Annual Report on Form 10-K. However, we have updated the specific details within the critical accounting policy relating to legal matters as stated below.</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subject to various claims and legal actions in the ordinary course of our business. Some of these matters include professional liability and employee-related matters. Our hospital and healthcare facility clients may also become subject to claims, governmental inquiries and investigations and legal actions to which we may become a party relating to services provided by our professionals. From time to time, and depending upon the particular facts and circumstances, we may be subject to indemnification obligations under our contracts with our hospital and healthcare facility clients relating to these matters. Material pending legal proceedings brought against the Company, other than ordinary routine litigation incidental to the business, is described in Item 1. Legal Proceedings.</w:t>
      </w:r>
    </w:p>
    <w:p>
      <w:pPr>
        <w:spacing w:after="0" w:line="221" w:lineRule="exact"/>
        <w:rPr>
          <w:sz w:val="20"/>
          <w:szCs w:val="20"/>
          <w:color w:val="auto"/>
        </w:rPr>
      </w:pPr>
    </w:p>
    <w:p>
      <w:pPr>
        <w:ind w:left="1220" w:right="1000" w:hanging="210"/>
        <w:spacing w:after="0" w:line="271"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Ogues has not been certified by a court as a class action. This lawsuit is in its very early stages and, as a result, we are unable to determine our potential exposure (if any) at this time.</w:t>
      </w:r>
    </w:p>
    <w:p>
      <w:pPr>
        <w:spacing w:after="0" w:line="174" w:lineRule="exact"/>
        <w:rPr>
          <w:rFonts w:ascii="Arial" w:cs="Arial" w:eastAsia="Arial" w:hAnsi="Arial"/>
          <w:sz w:val="18"/>
          <w:szCs w:val="18"/>
          <w:color w:val="auto"/>
        </w:rPr>
      </w:pPr>
    </w:p>
    <w:p>
      <w:pPr>
        <w:ind w:left="1220" w:right="740" w:hanging="210"/>
        <w:spacing w:after="0" w:line="255"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the New Hanover Regional Medical Center lawsuit, during the first quarter of 2013, a $3.3 million contingent liability for this claim is included in long term accrued claims on our condensed consolidated balance sheets, as well as a receivable of $3.3 million for the portion of the insurance coverage is included in non-current insurance recovery receivable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Deferred Tax Assets and Liabilities</w:t>
      </w: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is in a net deferred tax asset position on our condensed consolidated balance sheet as of March 31, 2013. We have determined that it is more likely than not that the net deferred tax asset will be realized in the future with the exception of a specific state portion of the net deferred tax asset for which a valuation allowance of $0.5 million has been recorded. Refer to our Management’s Discussion and Analysis – Critical Accounting Principles and Estimates in our Form 10-K for further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Critical Accounting Principles and Estimates</w:t>
      </w:r>
    </w:p>
    <w:p>
      <w:pPr>
        <w:spacing w:after="0" w:line="24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Our other critical accounting principles and estimates remain consistent with those reported in our Annual Report on Form 10-K for the year ended December 31, 2012, filed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February 2013, the FASB issued ASU 2013-02, </w:t>
      </w:r>
      <w:r>
        <w:rPr>
          <w:rFonts w:ascii="Arial" w:cs="Arial" w:eastAsia="Arial" w:hAnsi="Arial"/>
          <w:sz w:val="18"/>
          <w:szCs w:val="18"/>
          <w:i w:val="1"/>
          <w:iCs w:val="1"/>
          <w:color w:val="auto"/>
        </w:rPr>
        <w:t>Comprehensive Income (Topic 220): Reporting of Amounts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(ASU 2013-02). ASU 2013-02 adds new disclosure requirements for items reclassified out of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(AOCI), including (1) disaggregating and separately presenting changes in AOCI balances by component and (2) presenting significant items reclassified out of AOCI either on the face of the statement where net income is presented or as a separate disclosure in the notes to the financial statements. It does not amend any existing requirements for reporting net income or other comprehensive income in the financial statements. The ASU is effective for fiscal years beginning after December 15, 2012 (and interim periods within those years), and is to be applied prospectively. We adopted this guidance in the first quarter of 2013.</w:t>
      </w:r>
    </w:p>
    <w:p>
      <w:pPr>
        <w:spacing w:after="0" w:line="21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 xml:space="preserve">In March 2013, the FASB issued ASU 2013-05, </w:t>
      </w:r>
      <w:r>
        <w:rPr>
          <w:rFonts w:ascii="Arial" w:cs="Arial" w:eastAsia="Arial" w:hAnsi="Arial"/>
          <w:sz w:val="16"/>
          <w:szCs w:val="16"/>
          <w:i w:val="1"/>
          <w:iCs w:val="1"/>
          <w:color w:val="auto"/>
        </w:rPr>
        <w:t>Foreign Currency Matters (Topic 830), Parent’s Accounting for the Cumulative Translation Adjustment upon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Derecognition of Certain Subsidiaries or Groups of Assets within a Foreign Entity or of an Investment in a Foreign Entity (a consensus of the FASB Emerging Issues Task Force </w:t>
      </w:r>
      <w:r>
        <w:rPr>
          <w:rFonts w:ascii="Arial" w:cs="Arial" w:eastAsia="Arial" w:hAnsi="Arial"/>
          <w:sz w:val="16"/>
          <w:szCs w:val="16"/>
          <w:color w:val="auto"/>
        </w:rPr>
        <w:t>(ASU 2013-05). The objective of ASU 2013-05 is to resolve the diversity in practice as to the release of the cumulative translation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into net income when a parent either sells a part or all of its investment in a foreign entity or no longer holds a controlling financial interest in a subsidiary or group of assets that is a nonprofit activity or a business (other than a sale of in substance real estate or conveyance of oil and gas mineral rights) within a foreign entity. ASU 2013-05 clarifies that a cumulative translation adjustment (CTA) should be released into earnings when an entity ceases to have a controlling financial interest in a subsidiary or group of assets within a consolidated foreign entity and the sale or transfer results in the complete or substantially complete liquidation of the foreign entity. For sales of an equity method investment that is a foreign entity, a pro rata portion of CTA attributable to the investment would be recognized in earnings when the investment is sold. When an entity sells either a part or all of its investment in a consolidated foreign entity, CTA would be recognized in earnings only if the sale results in the parent no longer having a controlling financial interest in the foreign entity. In addition, CTA should be recognized in earnings in a business combination achieved in stages (i.e., a step acquisition). This ASU is effective for years beginning after December 15, 2013. Early adoption is permitted. We adopted this guidance and released into earnings $2.3 million of cumulative currency translation related to the sale of clinical trial services business in the first quarter of 2013, which was included in the income (loss) from discontinued operations, net of income taxes on the condensed consolidated statements of operations.</w:t>
      </w: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8" w:name="page29"/>
    <w:bookmarkEnd w:id="28"/>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market risks as disclosed in our Annual Report on Form 10-K filed for the year ended December 31, 2012.</w:t>
      </w:r>
    </w:p>
    <w:p>
      <w:pPr>
        <w:spacing w:after="0" w:line="2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 carried out an evaluation, under the supervision and with the participation of the Company’s Chief Executive Officer and Chief Financial Officer, of the effectiveness of the design and operation of the Company’s “disclosure controls and procedures” (as defined in Rules 13a-15(e) and 15d-15(e) under the Exchange Act), as of the end of the period covered by this report. Based upon the evaluation, the Company’s Chief Executive Officer and Chief Financial Officer concluded that the Company’s disclosure controls and procedures are effective. Disclosure controls and procedures are designed to ensure that information required to be disclosed in Company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The evaluation has not identified any changes in the Company’s internal controls over financial reporting or in other factors that occurred during the last fiscal quarter that have materially affected or that are reasonably likely to materially affect the Company’s internal control over financial reporting.</w:t>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509" w:right="31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December 4, 2012, our subsidiary, CC Staffing, Inc. (now known as Travel Staff, LLC) became the subject of a purported class action lawsuit (Alice Ogues, on behalf of herself and all others similarly situated, Plaintiffs, vs. CC Staffing, Inc., a Delaware corporation; and DOES 1-50, inclusive, Defendants) filed in the United States District Court, Northern District of California. Plaintiff alleges that travelling employees were denied meal periods and rest breaks, that they should have been paid overtime on reimbursement amounts, and that they are entitled to associated penalties. We attended a mediation in April 2013 that was unsuccessful. At this early stage, we are unable to determine our potential exposure, if any, and intend to vigorously defend this matter.</w:t>
      </w:r>
    </w:p>
    <w:p>
      <w:pPr>
        <w:spacing w:after="0" w:line="18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September 8, 2010, our subsidiary, Cross Country TravCorps, Inc. became the subject of an indemnity lawsuit (New Hanover Regional Medical Center vs. Cross Country TravCorps, Inc., d/b/a Cross Country Staffing, and Christina Lynn White) filed in the New Hanover County Civil Superior Court, State of North Carolina. Plaintiff alleges that Christina White, a former employee of Cross Country TravCorps was negligent in caring for a patient on September 12, 2007 which resulted in the death of that patient. New Hanover Regional Medical Center settled the claim pre-suit and subsequently brought an indemnity claim against Ms. White and against Cross Country TravCorps for the actions of Ms. White pursuant to the Staffing Agreement between Cross Country TravCorps and the hospital.</w:t>
      </w:r>
    </w:p>
    <w:p>
      <w:pPr>
        <w:spacing w:after="0" w:line="2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All of the parties to this litigation were mandated to arbitration in April 2013. On April 19, 2013, an arbitration panel found that Nurse White negligently caused the death of the patient and that New Hanover Regional Medical Center had no active negligence contributing to that death. Furthermore, the arbitration panel found that New Hanover Regional Medical Center's settlement with the family of the deceased was fair and reasonable, and that the facility is entitled to recover compensatory damages from Ms. White and Cross Country Staffing in the amount of approximately $2.0 million, plus pre-judgment interest (from September 8, 2010) at 8% per year. In addition, New Hanover Regional Medical Center is entitled to recover from Cross Country prejudgment interest on the compensatory damages from March 31, 2008 through September 7, 2010 at the rate of 8% per year and approximately $41,000 in attorneys' fees. The panel also found that, but for the negligence of Ms. White, Cross Country would have no liability to New Hanover Regional Medical Center; therefore, as a matter of equity Cross Country is entitled to recover indemnity from Ms. White to the full extent Cross Country actually pays New Hanover Regional Medical Center any portion of the award (other than the prejudgment interest from March 31, 2008 through September 7, 2010 and the approximately $41,000 in attorneys' fees). Ms. White has insurance coverage for this claim with $2.0 million (individual)/$4.0 million (aggregate) limits and no deductible. In addition, we have excess coverage that is expected to cover the amount of loss over $2.0 million.</w:t>
      </w:r>
    </w:p>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Based on the facts of this case, as of March 31, 2013, we have included a $3.3 million contingent liability for this claim included in long term accrued claims as well as a $3.3 million non-current insurance recovery receivable on our condensed consolidated balance sheets.</w:t>
      </w:r>
    </w:p>
    <w:p>
      <w:pPr>
        <w:spacing w:after="0" w:line="202"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We are also subject to other legal proceedings and claims that arise in the ordinary course of business. In the opinion of management, the outcome of these other matters will not have a significant effect on our consolidated financial position or results of operations.</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our Risk Factors as previously disclosed in our Form 10-K for the year ended December 31, 2012.</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following signature page.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0" w:name="page31"/>
    <w:bookmarkEnd w:id="30"/>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CROSS COUNTRY HEALTHCARE, INC.</w:t>
      </w:r>
    </w:p>
    <w:p>
      <w:pPr>
        <w:spacing w:after="0" w:line="225"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7"/>
          <w:szCs w:val="17"/>
          <w:color w:val="auto"/>
        </w:rPr>
        <w:t>By: /s/ Emil Hensel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13335</wp:posOffset>
            </wp:positionV>
            <wp:extent cx="311848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8485" cy="17145"/>
                    </a:xfrm>
                    <a:prstGeom prst="rect">
                      <a:avLst/>
                    </a:prstGeom>
                    <a:noFill/>
                  </pic:spPr>
                </pic:pic>
              </a:graphicData>
            </a:graphic>
          </wp:anchor>
        </w:drawing>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Emil Hensel</w:t>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 and Director</w:t>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 and Principal</w:t>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60"/>
          </w:cols>
          <w:pgMar w:left="240" w:top="509" w:right="4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1"/>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60" w:type="dxa"/>
            <w:vAlign w:val="bottom"/>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456"/>
        </w:trPr>
        <w:tc>
          <w:tcPr>
            <w:tcW w:w="860" w:type="dxa"/>
            <w:vAlign w:val="bottom"/>
          </w:tcPr>
          <w:p>
            <w:pPr>
              <w:ind w:left="300"/>
              <w:spacing w:after="0"/>
              <w:rPr>
                <w:sz w:val="20"/>
                <w:szCs w:val="20"/>
                <w:color w:val="auto"/>
              </w:rPr>
            </w:pPr>
            <w:r>
              <w:rPr>
                <w:rFonts w:ascii="Arial" w:cs="Arial" w:eastAsia="Arial" w:hAnsi="Arial"/>
                <w:sz w:val="18"/>
                <w:szCs w:val="18"/>
                <w:b w:val="1"/>
                <w:bCs w:val="1"/>
                <w:color w:val="auto"/>
              </w:rPr>
              <w:t>No.</w:t>
            </w:r>
          </w:p>
        </w:tc>
        <w:tc>
          <w:tcPr>
            <w:tcW w:w="10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8"/>
        </w:trPr>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460" w:type="dxa"/>
            <w:vAlign w:val="bottom"/>
            <w:shd w:val="clear" w:color="auto" w:fill="000000"/>
          </w:tcPr>
          <w:p>
            <w:pPr>
              <w:spacing w:after="0"/>
              <w:rPr>
                <w:sz w:val="2"/>
                <w:szCs w:val="2"/>
                <w:color w:val="auto"/>
              </w:rPr>
            </w:pPr>
          </w:p>
        </w:tc>
      </w:tr>
      <w:tr>
        <w:trPr>
          <w:trHeight w:val="641"/>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Rule 13a-14(a) and Rule 15d-14 (a) by Joseph A. Boshart, Chief Executive Officer</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Rule 13a-14(a) and Rule 15d-14 (a) by Emil Hensel, Chief Financial Officer</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18 U.S.C. Section 1350 by Joseph A. Boshart, Chief Executive Officer</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18 U.S.C. Section 1350 by Emil Hensel, Chief Financial Officer</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w w:val="96"/>
              </w:rPr>
              <w:t>**101.SCH</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w w:val="98"/>
              </w:rPr>
              <w:t>**101.DEF</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w w:val="99"/>
              </w:rPr>
              <w:t>**101.CAL</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28"/>
        </w:trPr>
        <w:tc>
          <w:tcPr>
            <w:tcW w:w="860" w:type="dxa"/>
            <w:vAlign w:val="bottom"/>
          </w:tcPr>
          <w:p>
            <w:pPr>
              <w:spacing w:after="0"/>
              <w:rPr>
                <w:sz w:val="20"/>
                <w:szCs w:val="20"/>
                <w:color w:val="auto"/>
              </w:rPr>
            </w:pPr>
            <w:r>
              <w:rPr>
                <w:rFonts w:ascii="Arial" w:cs="Arial" w:eastAsia="Arial" w:hAnsi="Arial"/>
                <w:sz w:val="18"/>
                <w:szCs w:val="18"/>
                <w:color w:val="auto"/>
                <w:w w:val="97"/>
              </w:rPr>
              <w:t>**101.PRE</w:t>
            </w:r>
          </w:p>
        </w:tc>
        <w:tc>
          <w:tcPr>
            <w:tcW w:w="105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1" w:lineRule="exact"/>
        <w:rPr>
          <w:sz w:val="20"/>
          <w:szCs w:val="20"/>
          <w:color w:val="auto"/>
        </w:rPr>
      </w:pPr>
    </w:p>
    <w:p>
      <w:pPr>
        <w:ind w:left="960" w:hanging="953"/>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1" w:lineRule="exact"/>
        <w:rPr>
          <w:sz w:val="20"/>
          <w:szCs w:val="20"/>
          <w:color w:val="auto"/>
        </w:rPr>
      </w:pPr>
    </w:p>
    <w:p>
      <w:pPr>
        <w:ind w:left="960" w:hanging="953"/>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420"/>
          </w:cols>
          <w:pgMar w:left="240" w:top="482"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 Joseph A. Boshart, certify that:</w:t>
      </w:r>
    </w:p>
    <w:p>
      <w:pPr>
        <w:spacing w:after="0" w:line="235" w:lineRule="exact"/>
        <w:rPr>
          <w:sz w:val="20"/>
          <w:szCs w:val="20"/>
          <w:color w:val="auto"/>
        </w:rPr>
      </w:pPr>
    </w:p>
    <w:p>
      <w:pPr>
        <w:ind w:left="860" w:hanging="42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247" w:lineRule="exact"/>
        <w:rPr>
          <w:rFonts w:ascii="Arial" w:cs="Arial" w:eastAsia="Arial" w:hAnsi="Arial"/>
          <w:sz w:val="18"/>
          <w:szCs w:val="18"/>
          <w:color w:val="auto"/>
        </w:rPr>
      </w:pPr>
    </w:p>
    <w:p>
      <w:pPr>
        <w:jc w:val="both"/>
        <w:ind w:left="860" w:right="180" w:hanging="425"/>
        <w:spacing w:after="0" w:line="259"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860" w:right="140" w:hanging="425"/>
        <w:spacing w:after="0" w:line="301"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Arial" w:cs="Arial" w:eastAsia="Arial" w:hAnsi="Arial"/>
          <w:sz w:val="17"/>
          <w:szCs w:val="17"/>
          <w:color w:val="auto"/>
        </w:rPr>
      </w:pPr>
    </w:p>
    <w:p>
      <w:pPr>
        <w:ind w:left="860" w:right="180" w:hanging="425"/>
        <w:spacing w:after="0" w:line="259"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18"/>
          <w:szCs w:val="18"/>
          <w:color w:val="auto"/>
        </w:rPr>
      </w:pPr>
    </w:p>
    <w:p>
      <w:pPr>
        <w:ind w:left="1300" w:hanging="437"/>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ind w:left="1300" w:right="320" w:hanging="437"/>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8"/>
          <w:szCs w:val="18"/>
          <w:color w:val="auto"/>
        </w:rPr>
      </w:pPr>
    </w:p>
    <w:p>
      <w:pPr>
        <w:ind w:left="1300" w:right="520" w:hanging="437"/>
        <w:spacing w:after="0" w:line="417" w:lineRule="auto"/>
        <w:tabs>
          <w:tab w:leader="none" w:pos="1300" w:val="left"/>
        </w:tabs>
        <w:numPr>
          <w:ilvl w:val="1"/>
          <w:numId w:val="2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end of the period covered by this report based on such evaluation; and</w:t>
      </w:r>
    </w:p>
    <w:p>
      <w:pPr>
        <w:spacing w:after="0" w:line="109" w:lineRule="exact"/>
        <w:rPr>
          <w:rFonts w:ascii="Arial" w:cs="Arial" w:eastAsia="Arial" w:hAnsi="Arial"/>
          <w:sz w:val="14"/>
          <w:szCs w:val="14"/>
          <w:color w:val="auto"/>
        </w:rPr>
      </w:pPr>
    </w:p>
    <w:p>
      <w:pPr>
        <w:ind w:left="1300" w:hanging="437"/>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860" w:right="80" w:hanging="425"/>
        <w:spacing w:after="0" w:line="301"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8" w:lineRule="exact"/>
        <w:rPr>
          <w:rFonts w:ascii="Arial" w:cs="Arial" w:eastAsia="Arial" w:hAnsi="Arial"/>
          <w:sz w:val="17"/>
          <w:szCs w:val="17"/>
          <w:color w:val="auto"/>
        </w:rPr>
      </w:pPr>
    </w:p>
    <w:p>
      <w:pPr>
        <w:ind w:left="1300" w:right="720" w:hanging="437"/>
        <w:spacing w:after="0" w:line="335"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300" w:right="420" w:hanging="437"/>
        <w:spacing w:after="0" w:line="271"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4"/>
          <w:szCs w:val="14"/>
          <w:color w:val="auto"/>
        </w:rPr>
        <w:t>/s/ Joseph A. Boshart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13335</wp:posOffset>
            </wp:positionV>
            <wp:extent cx="27527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A. Boshart</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Emil Hensel, certify that:</w:t>
      </w:r>
    </w:p>
    <w:p>
      <w:pPr>
        <w:spacing w:after="0" w:line="248" w:lineRule="exact"/>
        <w:rPr>
          <w:sz w:val="20"/>
          <w:szCs w:val="20"/>
          <w:color w:val="auto"/>
        </w:rPr>
      </w:pPr>
    </w:p>
    <w:p>
      <w:pPr>
        <w:ind w:left="860" w:hanging="425"/>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247" w:lineRule="exact"/>
        <w:rPr>
          <w:rFonts w:ascii="Arial" w:cs="Arial" w:eastAsia="Arial" w:hAnsi="Arial"/>
          <w:sz w:val="18"/>
          <w:szCs w:val="18"/>
          <w:color w:val="auto"/>
        </w:rPr>
      </w:pPr>
    </w:p>
    <w:p>
      <w:pPr>
        <w:jc w:val="both"/>
        <w:ind w:left="860" w:right="180" w:hanging="425"/>
        <w:spacing w:after="0" w:line="259"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860" w:right="140" w:hanging="425"/>
        <w:spacing w:after="0" w:line="301"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Arial" w:cs="Arial" w:eastAsia="Arial" w:hAnsi="Arial"/>
          <w:sz w:val="17"/>
          <w:szCs w:val="17"/>
          <w:color w:val="auto"/>
        </w:rPr>
      </w:pPr>
    </w:p>
    <w:p>
      <w:pPr>
        <w:ind w:left="860" w:right="180" w:hanging="425"/>
        <w:spacing w:after="0" w:line="259"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18"/>
          <w:szCs w:val="18"/>
          <w:color w:val="auto"/>
        </w:rPr>
      </w:pPr>
    </w:p>
    <w:p>
      <w:pPr>
        <w:ind w:left="1300" w:hanging="437"/>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ind w:left="1300" w:right="320" w:hanging="437"/>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8"/>
          <w:szCs w:val="18"/>
          <w:color w:val="auto"/>
        </w:rPr>
      </w:pPr>
    </w:p>
    <w:p>
      <w:pPr>
        <w:ind w:left="1300" w:right="520" w:hanging="437"/>
        <w:spacing w:after="0" w:line="417" w:lineRule="auto"/>
        <w:tabs>
          <w:tab w:leader="none" w:pos="1300" w:val="left"/>
        </w:tabs>
        <w:numPr>
          <w:ilvl w:val="1"/>
          <w:numId w:val="2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end of the period covered by this report based on such evaluation; and</w:t>
      </w:r>
    </w:p>
    <w:p>
      <w:pPr>
        <w:spacing w:after="0" w:line="109" w:lineRule="exact"/>
        <w:rPr>
          <w:rFonts w:ascii="Arial" w:cs="Arial" w:eastAsia="Arial" w:hAnsi="Arial"/>
          <w:sz w:val="14"/>
          <w:szCs w:val="14"/>
          <w:color w:val="auto"/>
        </w:rPr>
      </w:pPr>
    </w:p>
    <w:p>
      <w:pPr>
        <w:ind w:left="1300" w:hanging="437"/>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860" w:right="80" w:hanging="425"/>
        <w:spacing w:after="0" w:line="301"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8" w:lineRule="exact"/>
        <w:rPr>
          <w:rFonts w:ascii="Arial" w:cs="Arial" w:eastAsia="Arial" w:hAnsi="Arial"/>
          <w:sz w:val="17"/>
          <w:szCs w:val="17"/>
          <w:color w:val="auto"/>
        </w:rPr>
      </w:pPr>
    </w:p>
    <w:p>
      <w:pPr>
        <w:ind w:left="1300" w:right="720" w:hanging="437"/>
        <w:spacing w:after="0" w:line="335"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300" w:right="420" w:hanging="437"/>
        <w:spacing w:after="0" w:line="271"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6"/>
          <w:szCs w:val="16"/>
          <w:color w:val="auto"/>
        </w:rPr>
        <w:t>/s/ Emil Hensel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13335</wp:posOffset>
            </wp:positionV>
            <wp:extent cx="27527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Emil Hensel</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2" w:lineRule="exact"/>
        <w:rPr>
          <w:sz w:val="20"/>
          <w:szCs w:val="20"/>
          <w:color w:val="auto"/>
        </w:rPr>
      </w:pPr>
    </w:p>
    <w:p>
      <w:pPr>
        <w:ind w:right="200" w:firstLine="642"/>
        <w:spacing w:after="0" w:line="272"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March 31, 2013, (the “Periodic Report”), I, Joseph A. Boshart,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0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9, 2013</w:t>
      </w:r>
      <w:r>
        <w:rPr>
          <w:sz w:val="20"/>
          <w:szCs w:val="20"/>
          <w:color w:val="auto"/>
        </w:rPr>
        <w:tab/>
      </w:r>
      <w:r>
        <w:rPr>
          <w:rFonts w:ascii="Arial" w:cs="Arial" w:eastAsia="Arial" w:hAnsi="Arial"/>
          <w:sz w:val="14"/>
          <w:szCs w:val="14"/>
          <w:color w:val="auto"/>
        </w:rPr>
        <w:t>/s/ Joseph A. Boshart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13335</wp:posOffset>
            </wp:positionV>
            <wp:extent cx="27527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A. Boshart</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35" w:lineRule="exact"/>
        <w:rPr>
          <w:sz w:val="20"/>
          <w:szCs w:val="20"/>
          <w:color w:val="auto"/>
        </w:rPr>
      </w:pPr>
    </w:p>
    <w:p>
      <w:pPr>
        <w:ind w:right="360" w:firstLine="642"/>
        <w:spacing w:after="0" w:line="30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36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2" w:lineRule="exact"/>
        <w:rPr>
          <w:sz w:val="20"/>
          <w:szCs w:val="20"/>
          <w:color w:val="auto"/>
        </w:rPr>
      </w:pPr>
    </w:p>
    <w:p>
      <w:pPr>
        <w:ind w:right="60" w:firstLine="642"/>
        <w:spacing w:after="0" w:line="254" w:lineRule="auto"/>
        <w:rPr>
          <w:sz w:val="20"/>
          <w:szCs w:val="20"/>
          <w:color w:val="auto"/>
        </w:rPr>
      </w:pPr>
      <w:r>
        <w:rPr>
          <w:rFonts w:ascii="Arial" w:cs="Arial" w:eastAsia="Arial" w:hAnsi="Arial"/>
          <w:sz w:val="18"/>
          <w:szCs w:val="18"/>
          <w:color w:val="auto"/>
        </w:rPr>
        <w:t>In connection with the accompanying Quarterly Report on Form 10-Q of Cross Country Healthcare, Inc. (the “Company”) for the quarterly period ended March 31, 2013, (the “Periodic Report”), I, Emil Hensel,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ind w:left="6060"/>
        <w:spacing w:after="0"/>
        <w:rPr>
          <w:sz w:val="20"/>
          <w:szCs w:val="20"/>
          <w:color w:val="auto"/>
        </w:rPr>
      </w:pPr>
      <w:r>
        <w:rPr>
          <w:rFonts w:ascii="Arial" w:cs="Arial" w:eastAsia="Arial" w:hAnsi="Arial"/>
          <w:sz w:val="18"/>
          <w:szCs w:val="18"/>
          <w:color w:val="auto"/>
        </w:rPr>
        <w:t>/s/ Emil Hensel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3175</wp:posOffset>
            </wp:positionV>
            <wp:extent cx="27527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Emil Hensel</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35" w:lineRule="exact"/>
        <w:rPr>
          <w:sz w:val="20"/>
          <w:szCs w:val="20"/>
          <w:color w:val="auto"/>
        </w:rPr>
      </w:pPr>
    </w:p>
    <w:p>
      <w:pPr>
        <w:ind w:right="360" w:firstLine="642"/>
        <w:spacing w:after="0" w:line="30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36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Roman"/>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1"/>
    </w:lvl>
    <w:lvl w:ilvl="1">
      <w:lvlJc w:val="left"/>
      <w:lvlText w:val="(%2)"/>
      <w:numFmt w:val="lowerLetter"/>
      <w:start w:val="1"/>
    </w:lvl>
  </w:abstractNum>
  <w:abstractNum w:abstractNumId="6">
    <w:nsid w:val="7FDCC233"/>
    <w:multiLevelType w:val="hybridMultilevel"/>
    <w:lvl w:ilvl="0">
      <w:lvlJc w:val="left"/>
      <w:lvlText w:val="%1."/>
      <w:numFmt w:val="decimal"/>
      <w:start w:val="5"/>
    </w:lvl>
    <w:lvl w:ilvl="1">
      <w:lvlJc w:val="left"/>
      <w:lvlText w:val="%2"/>
      <w:numFmt w:val="lowerLetter"/>
      <w:start w:val="1"/>
    </w:lvl>
  </w:abstractNum>
  <w:abstractNum w:abstractNumId="7">
    <w:nsid w:val="1BEFD79F"/>
    <w:multiLevelType w:val="hybridMultilevel"/>
    <w:lvl w:ilvl="0">
      <w:lvlJc w:val="left"/>
      <w:lvlText w:val="(%1)"/>
      <w:numFmt w:val="lowerRoman"/>
      <w:start w:val="2"/>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2019-12-07T02:30:34Z</dcterms:created>
  <dcterms:modified xsi:type="dcterms:W3CDTF">2019-12-07T02:30:34Z</dcterms:modified>
</cp:coreProperties>
</file>