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900" w:right="2520" w:hanging="1332"/>
        <w:spacing w:after="0" w:line="351" w:lineRule="auto"/>
        <w:tabs>
          <w:tab w:leader="none" w:pos="275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2018</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 Transition Report Pursuant to Section 13 or 15(d) of the Securities Exchange Act of 1934</w:t>
      </w:r>
    </w:p>
    <w:p>
      <w:pPr>
        <w:spacing w:after="0" w:line="5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 xml:space="preserve">For the Transition Period From </w:t>
      </w:r>
      <w:r>
        <w:rPr>
          <w:rFonts w:ascii="Arial" w:cs="Arial" w:eastAsia="Arial" w:hAnsi="Arial"/>
          <w:sz w:val="16"/>
          <w:szCs w:val="16"/>
          <w:color w:val="auto"/>
        </w:rPr>
        <w:t>_________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12065</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CROSS COUNTRY HEALTHCARE, INC.</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6"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2560" w:type="dxa"/>
            <w:vAlign w:val="bottom"/>
          </w:tcPr>
          <w:p>
            <w:pPr>
              <w:jc w:val="center"/>
              <w:ind w:right="459"/>
              <w:spacing w:after="0"/>
              <w:rPr>
                <w:sz w:val="20"/>
                <w:szCs w:val="20"/>
                <w:color w:val="auto"/>
              </w:rPr>
            </w:pPr>
            <w:r>
              <w:rPr>
                <w:rFonts w:ascii="Arial" w:cs="Arial" w:eastAsia="Arial" w:hAnsi="Arial"/>
                <w:sz w:val="16"/>
                <w:szCs w:val="16"/>
                <w:b w:val="1"/>
                <w:bCs w:val="1"/>
                <w:color w:val="auto"/>
                <w:w w:val="93"/>
              </w:rPr>
              <w:t>Delaware</w:t>
            </w:r>
          </w:p>
        </w:tc>
        <w:tc>
          <w:tcPr>
            <w:tcW w:w="46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0-33169</w:t>
            </w:r>
          </w:p>
        </w:tc>
        <w:tc>
          <w:tcPr>
            <w:tcW w:w="2160" w:type="dxa"/>
            <w:vAlign w:val="bottom"/>
          </w:tcPr>
          <w:p>
            <w:pPr>
              <w:jc w:val="center"/>
              <w:ind w:left="619"/>
              <w:spacing w:after="0"/>
              <w:rPr>
                <w:sz w:val="20"/>
                <w:szCs w:val="20"/>
                <w:color w:val="auto"/>
              </w:rPr>
            </w:pPr>
            <w:r>
              <w:rPr>
                <w:rFonts w:ascii="Arial" w:cs="Arial" w:eastAsia="Arial" w:hAnsi="Arial"/>
                <w:sz w:val="16"/>
                <w:szCs w:val="16"/>
                <w:b w:val="1"/>
                <w:bCs w:val="1"/>
                <w:color w:val="auto"/>
                <w:w w:val="91"/>
              </w:rPr>
              <w:t>13-4066229</w:t>
            </w:r>
          </w:p>
        </w:tc>
      </w:tr>
      <w:tr>
        <w:trPr>
          <w:trHeight w:val="253"/>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4"/>
              </w:rPr>
              <w:t>(State or other jurisdiction of</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0"/>
              </w:rPr>
              <w:t>Commission</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6"/>
              </w:rPr>
              <w:t>Incorporation or organization)</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5"/>
              </w:rPr>
              <w:t>file number</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4"/>
              </w:rPr>
              <w:t>Identification Number)</w:t>
            </w:r>
          </w:p>
        </w:tc>
      </w:tr>
      <w:tr>
        <w:trPr>
          <w:trHeight w:val="316"/>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5201 Congress Avenue, Suite 100B</w:t>
            </w:r>
          </w:p>
        </w:tc>
        <w:tc>
          <w:tcPr>
            <w:tcW w:w="216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Boca Raton, Florida 33487</w:t>
            </w:r>
          </w:p>
        </w:tc>
        <w:tc>
          <w:tcPr>
            <w:tcW w:w="216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2"/>
              </w:rPr>
              <w:t>(Address of principal executive offices)(Zip Code)</w:t>
            </w:r>
          </w:p>
        </w:tc>
        <w:tc>
          <w:tcPr>
            <w:tcW w:w="2160" w:type="dxa"/>
            <w:vAlign w:val="bottom"/>
          </w:tcPr>
          <w:p>
            <w:pPr>
              <w:spacing w:after="0"/>
              <w:rPr>
                <w:sz w:val="17"/>
                <w:szCs w:val="17"/>
                <w:color w:val="auto"/>
              </w:rPr>
            </w:pPr>
          </w:p>
        </w:tc>
      </w:tr>
      <w:tr>
        <w:trPr>
          <w:trHeight w:val="280"/>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(561) 998-2232</w:t>
            </w:r>
          </w:p>
        </w:tc>
        <w:tc>
          <w:tcPr>
            <w:tcW w:w="216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160" w:type="dxa"/>
            <w:vAlign w:val="bottom"/>
          </w:tcPr>
          <w:p>
            <w:pPr>
              <w:spacing w:after="0"/>
              <w:rPr>
                <w:sz w:val="17"/>
                <w:szCs w:val="17"/>
                <w:color w:val="auto"/>
              </w:rPr>
            </w:pPr>
          </w:p>
        </w:tc>
      </w:tr>
    </w:tbl>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6"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91"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period for complying with any new or revised financial accounting standards provided pursuant to Section 13(a) of the Exchange Act. o</w:t>
      </w:r>
    </w:p>
    <w:p>
      <w:pPr>
        <w:spacing w:after="0" w:line="69" w:lineRule="exact"/>
        <w:rPr>
          <w:sz w:val="24"/>
          <w:szCs w:val="24"/>
          <w:color w:val="auto"/>
        </w:rPr>
      </w:pPr>
    </w:p>
    <w:p>
      <w:pPr>
        <w:ind w:right="3160"/>
        <w:spacing w:after="0" w:line="267" w:lineRule="exact"/>
        <w:rPr>
          <w:sz w:val="20"/>
          <w:szCs w:val="20"/>
          <w:color w:val="auto"/>
        </w:rPr>
      </w:pPr>
      <w:r>
        <w:rPr>
          <w:rFonts w:ascii="Arial" w:cs="Arial" w:eastAsia="Arial" w:hAnsi="Arial"/>
          <w:sz w:val="14"/>
          <w:szCs w:val="14"/>
          <w:color w:val="auto"/>
        </w:rPr>
        <w:t xml:space="preserve">Indicate by checkmark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outstanding 36,250,734 shares of Common Stock, par value $0.0001 per share, as of October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2017,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rPr>
              <w:t>INDEX</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89"/>
              </w:rPr>
              <w:t>September 30, 2018</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3"/>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(Unaudited)</w:t>
              </w:r>
            </w:hyperlink>
          </w:p>
        </w:tc>
        <w:tc>
          <w:tcPr>
            <w:tcW w:w="2580" w:type="dxa"/>
            <w:vAlign w:val="bottom"/>
            <w:gridSpan w:val="2"/>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580" w:type="dxa"/>
            <w:vAlign w:val="bottom"/>
            <w:gridSpan w:val="2"/>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740" w:type="dxa"/>
            <w:vAlign w:val="bottom"/>
            <w:tcBorders>
              <w:left w:val="single" w:sz="8" w:color="0000EE"/>
            </w:tcBorders>
            <w:gridSpan w:val="6"/>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372"/>
        </w:trPr>
        <w:tc>
          <w:tcPr>
            <w:tcW w:w="940" w:type="dxa"/>
            <w:vAlign w:val="bottom"/>
            <w:gridSpan w:val="4"/>
          </w:tcPr>
          <w:p>
            <w:pPr>
              <w:spacing w:after="0"/>
              <w:rPr>
                <w:sz w:val="20"/>
                <w:szCs w:val="20"/>
                <w:color w:val="auto"/>
              </w:rPr>
            </w:pPr>
            <w:r>
              <w:rPr>
                <w:rFonts w:ascii="Arial" w:cs="Arial" w:eastAsia="Arial" w:hAnsi="Arial"/>
                <w:sz w:val="18"/>
                <w:szCs w:val="18"/>
                <w:color w:val="0000EE"/>
              </w:rPr>
              <w:t>Item 6.</w:t>
            </w:r>
          </w:p>
        </w:tc>
        <w:tc>
          <w:tcPr>
            <w:tcW w:w="80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gridSpan w:val="3"/>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25,537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$3,263 in 2018 and $3,688 in 2017</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167,200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173,603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3,497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206,243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208,887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$33,808 in 2018 and $30,678 in 2017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117,589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117,589</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55,599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60,976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19,228</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50,597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34,271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2,845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83,132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92,259</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accrued claims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5,088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219,683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229,968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302,007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305,362</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(67,111)</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Cross Country Healthcare, Inc.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 in subsidiary</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237,719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456,938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228,488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645,374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Direct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168,008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475,091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44,086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47,346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135,004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141,182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7,325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198,072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220,121</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604,342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627,303</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1,278</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Consolidated 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983</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 income attributable to common shareholders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Net (loss) income per share attributable to common shareholders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Net (loss) income per share attributable to common shareholders -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35,594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35,748</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35,682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34,768</w:t>
            </w:r>
          </w:p>
        </w:tc>
      </w:tr>
      <w:tr>
        <w:trPr>
          <w:trHeight w:val="262"/>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36,036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CONDENSED CONSOLIDATED STATEMENTS OF COMPREHENSIVE INCOME (Unaudited,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10,546</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interest rate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Reclassification adjustment to interest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Taxes on other comprehensive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Income tax benefit related to 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tax expense related to unrealized gain on interest rate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Income tax expense related to reclassification adjustment to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10,589</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6,708</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9,606</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10,546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Gain on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28,705</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(90,259)</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Term Loans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Convertible Note cash payment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on revolving credit facility</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 and retirement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51,671</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9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(formerly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2018.</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2017 included in the Company’s Annual Report on Form 10-K as filed with the Securities and Exchange Commission. The December 31, 2017 condensed consolidated balance sheet included herein was derived from the December 31, 2017 audited consolidated balance sheet included in the Company’s Annual Report on Form 10-K.</w:t>
      </w:r>
    </w:p>
    <w:p>
      <w:pPr>
        <w:spacing w:after="0" w:line="183"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fair value of interest rate swap agreement;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In addition, we maintain a sales allowance for customer disputes which may arise in the ordinary course of business, which is recorded as contra-revenue. Historically, losses on uncollectible accounts and sales allowances have not exceeded our allowances.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include on-going benefit costs for its employees, exit costs, and the other write-offs related to abandoned locations.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Reconciliations of the beginning and ending total restructuring liability balances are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b w:val="1"/>
                <w:bCs w:val="1"/>
                <w:color w:val="auto"/>
              </w:rPr>
              <w:t>On-Going Benefit Costs</w:t>
            </w:r>
          </w:p>
        </w:tc>
        <w:tc>
          <w:tcPr>
            <w:tcW w:w="800" w:type="dxa"/>
            <w:vAlign w:val="bottom"/>
          </w:tcPr>
          <w:p>
            <w:pPr>
              <w:spacing w:after="0"/>
              <w:rPr>
                <w:sz w:val="20"/>
                <w:szCs w:val="20"/>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w w:val="99"/>
              </w:rPr>
              <w:t>Exit Costs</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3"/>
          </w:tcPr>
          <w:p>
            <w:pPr>
              <w:jc w:val="right"/>
              <w:ind w:right="30"/>
              <w:spacing w:after="0"/>
              <w:rPr>
                <w:sz w:val="20"/>
                <w:szCs w:val="20"/>
                <w:color w:val="auto"/>
              </w:rPr>
            </w:pPr>
            <w:r>
              <w:rPr>
                <w:rFonts w:ascii="Arial" w:cs="Arial" w:eastAsia="Arial" w:hAnsi="Arial"/>
                <w:sz w:val="18"/>
                <w:szCs w:val="18"/>
                <w:color w:val="auto"/>
              </w:rPr>
              <w:t>(amounts in thousands)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January 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Charged to restructuring costs</w:t>
            </w:r>
          </w:p>
        </w:tc>
        <w:tc>
          <w:tcPr>
            <w:tcW w:w="26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3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Balance at March 31, 2018</w:t>
            </w:r>
          </w:p>
        </w:tc>
        <w:tc>
          <w:tcPr>
            <w:tcW w:w="26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Charged to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shd w:val="clear" w:color="auto" w:fill="CCEEFF"/>
              </w:rPr>
              <w:t>Balance at June 30, 2018</w:t>
            </w:r>
          </w:p>
        </w:tc>
        <w:tc>
          <w:tcPr>
            <w:tcW w:w="3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Charged to restructuring costs (a)</w:t>
            </w:r>
          </w:p>
        </w:tc>
        <w:tc>
          <w:tcPr>
            <w:tcW w:w="26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3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956</w:t>
            </w:r>
          </w:p>
        </w:tc>
        <w:tc>
          <w:tcPr>
            <w:tcW w:w="3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9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3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6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restructuring costs on the condensed consolidated statements of operations include direct write-offs of $0.4 million related to abandoned locations.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Company is exposed to interest rate risk due to the outstanding senior secured term loan entered into on August 1, 2017 with a variable interest rate. As a result, the Company has entered into an interest rate swap agreement to effectively convert a portion of its variable interest payments to a fixed rate. The principal objective of the interest rate swap is to eliminate or reduce the variability of the cash flows in those interest payments associated with the Company’s long-term debt, thus reducing the impact of interest rate changes on future interest payment cash flows. The Company has determined that the interest rate swap qualifies as a cash flow hedge in accordance with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 the critical terms of the hedging instrument and the hedged forecasted transaction are the same, the Company has concluded that changes in the cash flows attributable to the risk being hedged are expected to completely offset at inception and on an ongoing basis. Changes in the fair value of an interest rate swap agreement designated as a cash flow hedge are recorded as a component of accumulated other comprehensive income (loss), net of deferred taxes, within stockholders’ equity and are amortized to interest expense over the term of the related debt as the interest payments are made. Future interest rate swap payments will be included in net cash provided by operating activities on the Company’s consolidated statement of cash flows.</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conjunction with entering into the interest rate swap agreement, the Company early adopted ASU 2017-12, </w:t>
      </w:r>
      <w:r>
        <w:rPr>
          <w:rFonts w:ascii="Arial" w:cs="Arial" w:eastAsia="Arial" w:hAnsi="Arial"/>
          <w:sz w:val="18"/>
          <w:szCs w:val="18"/>
          <w:i w:val="1"/>
          <w:iCs w:val="1"/>
          <w:color w:val="auto"/>
        </w:rPr>
        <w:t>Derivative and Hedging (Topic 815)</w:t>
      </w:r>
      <w:r>
        <w:rPr>
          <w:rFonts w:ascii="Arial" w:cs="Arial" w:eastAsia="Arial" w:hAnsi="Arial"/>
          <w:sz w:val="18"/>
          <w:szCs w:val="18"/>
          <w:color w:val="auto"/>
        </w:rPr>
        <w:t xml:space="preserve"> to simplify the application of hedge accounting. See Note 9 - Derivative.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the first quarter of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introduces a new five-step revenue recognition model in which an entity recognizes revenue when its customer obtains control of promised goods or services, in an amount that reflects the consideration to which the entity expects to be entitled in exchange for those goods or services. The new standard also requires additional disclosures about the nature, amount, timing, and uncertainty of revenue and cash flows arising from customer contracts. See Note 3 - Revenue Recognition for additional accounting policy and related disclosures. The Company elected to adopt the standard using a modified retrospective method, which only impacts contracts not completed as of December 31, 2017.</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Standards Update (ASU) No. 2018-02, </w:t>
      </w:r>
      <w:r>
        <w:rPr>
          <w:rFonts w:ascii="Arial" w:cs="Arial" w:eastAsia="Arial" w:hAnsi="Arial"/>
          <w:sz w:val="17"/>
          <w:szCs w:val="17"/>
          <w:i w:val="1"/>
          <w:iCs w:val="1"/>
          <w:color w:val="auto"/>
        </w:rPr>
        <w:t>Income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Comprehensive Income (Topic 220): Reclassification of Certain Tax Effects from Accumulated Other Comprehensive Income, </w:t>
      </w:r>
      <w:r>
        <w:rPr>
          <w:rFonts w:ascii="Arial" w:cs="Arial" w:eastAsia="Arial" w:hAnsi="Arial"/>
          <w:sz w:val="17"/>
          <w:szCs w:val="17"/>
          <w:color w:val="auto"/>
        </w:rPr>
        <w:t>amended by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2018-05, </w:t>
      </w:r>
      <w:r>
        <w:rPr>
          <w:rFonts w:ascii="Arial" w:cs="Arial" w:eastAsia="Arial" w:hAnsi="Arial"/>
          <w:sz w:val="17"/>
          <w:szCs w:val="17"/>
          <w:i w:val="1"/>
          <w:iCs w:val="1"/>
          <w:color w:val="auto"/>
        </w:rPr>
        <w:t>Income Taxes (Topic 740): Amendments to SEC Paragraphs Pursuant to SEC Staff Accounting Bulletin No. 118.</w:t>
      </w:r>
      <w:r>
        <w:rPr>
          <w:rFonts w:ascii="Arial" w:cs="Arial" w:eastAsia="Arial" w:hAnsi="Arial"/>
          <w:sz w:val="17"/>
          <w:szCs w:val="17"/>
          <w:color w:val="auto"/>
        </w:rPr>
        <w:t xml:space="preserve"> The amendments allow for a reclassification between accumulated other comprehensive income and retained earnings for stranded tax effects resulting from the Tax Cuts and Jobs Act (2017 Tax Act), and require certain disclosures about stranded tax effects. The guidance requires that the effect of a change in tax laws or rates be included in income is not affected. The amendments would have been effective for the Company in the first quarter of 2019. Adoption of the standard was to be applied either in the period of adoption or retrospectively to each period in which the effect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of the change in the United States federal corporate tax rate in the 2017 Tax Act is recognized. The Company adopted this standard in 2018, with no material impact on its consolidated financial statements, as early adoption was permitted.</w:t>
      </w:r>
    </w:p>
    <w:p>
      <w:pPr>
        <w:spacing w:after="0" w:line="170" w:lineRule="exact"/>
        <w:rPr>
          <w:sz w:val="20"/>
          <w:szCs w:val="20"/>
          <w:color w:val="auto"/>
        </w:rPr>
      </w:pPr>
    </w:p>
    <w:p>
      <w:pPr>
        <w:ind w:right="2400"/>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to provide guidance about which changes to the terms or conditions of a share-based payment award require an</w:t>
      </w:r>
    </w:p>
    <w:p>
      <w:pPr>
        <w:jc w:val="both"/>
        <w:ind w:right="80"/>
        <w:spacing w:after="0" w:line="255" w:lineRule="auto"/>
        <w:rPr>
          <w:sz w:val="20"/>
          <w:szCs w:val="20"/>
          <w:color w:val="auto"/>
        </w:rPr>
      </w:pPr>
      <w:r>
        <w:rPr>
          <w:rFonts w:ascii="Arial" w:cs="Arial" w:eastAsia="Arial" w:hAnsi="Arial"/>
          <w:sz w:val="18"/>
          <w:szCs w:val="18"/>
          <w:color w:val="auto"/>
        </w:rPr>
        <w:t>entity to apply modification accounting in Topic 718. ASU 2017-09 was effective for all entities for annual periods, and interim periods within those annual periods, beginning after December 15, 2017 and was to be applied prospectively to an award modified on or after the adoption date. The Company adopted this standard in 2018 with no impact on its consolidated financial statements.</w:t>
      </w:r>
    </w:p>
    <w:p>
      <w:pPr>
        <w:spacing w:after="0" w:line="1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 which is consistent with revenue recognition under the prior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 from temporary staffing is recognized as control of the services are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with payment terms of 15 to 90 days. Accounts receivable includes estimated revenue for employees’ and independent contractors’ time worked but not yet invoiced. At September 30, 2018 and December 31, 2017, the Company's estimate of amounts that had been worked but had not been billed totaled $42.0 million and $41.8 million, respectively, and are included in accounts receivable on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 Revenue</w:t>
      </w:r>
    </w:p>
    <w:p>
      <w:pPr>
        <w:spacing w:after="0" w:line="18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which is less than 5% of its consolidated revenue for the three and nine months ended September 30, 2018 and September 30, 2017.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158"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For the Company’s RPO, other outsourcing, and retained search services, revenue is generally recognized in the amount to which the entity has a right to invoice which corresponds directly with the value to the customer. The Company does not, in the ordinary course of business, offer warranties or refunds.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368" w:right="339" w:bottom="1440" w:gutter="0" w:footer="0" w:header="0"/>
        </w:sectPr>
      </w:pPr>
    </w:p>
    <w:bookmarkStart w:id="10" w:name="page11"/>
    <w:bookmarkEnd w:id="10"/>
    <w:p>
      <w:pPr>
        <w:ind w:right="120"/>
        <w:spacing w:after="0" w:line="308" w:lineRule="auto"/>
        <w:rPr>
          <w:sz w:val="20"/>
          <w:szCs w:val="20"/>
          <w:color w:val="auto"/>
        </w:rPr>
      </w:pPr>
      <w:r>
        <w:rPr>
          <w:rFonts w:ascii="Arial" w:cs="Arial" w:eastAsia="Arial" w:hAnsi="Arial"/>
          <w:sz w:val="17"/>
          <w:szCs w:val="17"/>
          <w:color w:val="auto"/>
        </w:rPr>
        <w:t>When the Company's healthcare professional is staffed, the Company determined that it acts as a principal in the arrangement, as the Company is considered the employer of record. Accordingly, revenue is reported on a gross basis on the consolidated statements of operations.</w:t>
      </w:r>
    </w:p>
    <w:p>
      <w:pPr>
        <w:spacing w:after="0" w:line="14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on the consolidated statements of operations. The customer is invoiced for the hours worked by the subcontracted healthcare professional multiplied by the hourly bill rate. A subcontractor liability, which is recognized as a reduction of revenue, is established in accrued expenses for the invoiced amount,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Physician Staffing business enters into contracts with its healthcare customers to provide temporary staffing services. The Company uses independent contractors for these services. The Company determined that it acts as a principal in these arrangements and, therefore, revenue is reported on a gross basis on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source. Sales and usage-based taxes are excluded from revenue.</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Other Human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And Allied</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Physician</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Management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 Segment</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(amounts 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192,462</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3,215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8,255</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176,344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200,717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Nine Months ended September 30, 2018</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Other Human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And Allied</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Physician</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Management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 Segment</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(amounts 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589,464</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4,236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10,737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26,113</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540,788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64,052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10,737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615,577</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contract fulfillment costs are expensed as incurred to direct operating expenses. With respect to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there were no contract assets or material contract liabilities as of September 30,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or less, and (ii) contracts for which it recognizes revenue at the amount to which it has the right to invoice for services performed.</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 RN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July 1, 2017, the Company acquired substantially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by the Company during the third quarter of 2017 as the final adjustment for net working</w:t>
      </w:r>
    </w:p>
    <w:p>
      <w:pPr>
        <w:ind w:right="20"/>
        <w:spacing w:after="0" w:line="255" w:lineRule="auto"/>
        <w:rPr>
          <w:sz w:val="20"/>
          <w:szCs w:val="20"/>
          <w:color w:val="auto"/>
        </w:rPr>
      </w:pPr>
      <w:r>
        <w:rPr>
          <w:rFonts w:ascii="Arial" w:cs="Arial" w:eastAsia="Arial" w:hAnsi="Arial"/>
          <w:sz w:val="18"/>
          <w:szCs w:val="18"/>
          <w:color w:val="auto"/>
        </w:rPr>
        <w:t>capital. Additionally, $0.6 million of the purchase price was deferred as of the closing and is due to the seller within 20 months, less any Cobra and healthcare payments incurred by the Company on behalf of the seller. As of September 30, 2018, approximately $0.5 million has been paid and the remaining $0.1 million liability is included in other current liabilities on the Company’s balance sheet.</w:t>
      </w:r>
    </w:p>
    <w:p>
      <w:pPr>
        <w:spacing w:after="0" w:line="1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with the escrow to cover post-close liabilities remaining unchanged.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8 - Debt for further information. The transaction is treated as a purchase of assets for income tax purposes.</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Advantage is primarily a travel nurse staffing company that deploys many of its nurses through MSPs and Vendor Management Systems, and Advantage maintains direct relationships with many hospitals throughout the United States. This was a strategic acquisition to help the Company fill its recent MSP contract wins, and for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 has been accounted for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using the acquisition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method of accounting. As such, the results of Advantage from July 1, 2017 are included in the Company's consolidated statement of operations. The acquisition results have been substantially aggregated with the Company's Nurse and Allied Staffing business segment and the associated goodwill related to the acquisition of Advantage is fully allocated to Nurse and Allied Staffing.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2017,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$2.0 million for the nine months ended September 30,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 among other adjustments that could be made in the future but are not factually supportable on the date of the transaction.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Pr>
          <w:p>
            <w:pPr>
              <w:jc w:val="center"/>
              <w:ind w:right="54"/>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8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September 30, 2017</w:t>
            </w:r>
          </w:p>
        </w:tc>
      </w:tr>
      <w:tr>
        <w:trPr>
          <w:trHeight w:val="27"/>
        </w:trPr>
        <w:tc>
          <w:tcPr>
            <w:tcW w:w="8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150"/>
        </w:trPr>
        <w:tc>
          <w:tcPr>
            <w:tcW w:w="8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jc w:val="center"/>
              <w:ind w:right="74"/>
              <w:spacing w:after="0" w:line="151" w:lineRule="exact"/>
              <w:rPr>
                <w:sz w:val="20"/>
                <w:szCs w:val="20"/>
                <w:color w:val="auto"/>
              </w:rPr>
            </w:pPr>
            <w:r>
              <w:rPr>
                <w:rFonts w:ascii="Arial" w:cs="Arial" w:eastAsia="Arial" w:hAnsi="Arial"/>
                <w:sz w:val="14"/>
                <w:szCs w:val="14"/>
                <w:color w:val="auto"/>
                <w:w w:val="91"/>
              </w:rPr>
              <w:t>(unaudited, amounts in thousands except per</w:t>
            </w:r>
          </w:p>
        </w:tc>
      </w:tr>
      <w:tr>
        <w:trPr>
          <w:trHeight w:val="188"/>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jc w:val="center"/>
              <w:ind w:right="74"/>
              <w:spacing w:after="0"/>
              <w:rPr>
                <w:sz w:val="20"/>
                <w:szCs w:val="20"/>
                <w:color w:val="auto"/>
              </w:rPr>
            </w:pPr>
            <w:r>
              <w:rPr>
                <w:rFonts w:ascii="Arial" w:cs="Arial" w:eastAsia="Arial" w:hAnsi="Arial"/>
                <w:sz w:val="14"/>
                <w:szCs w:val="14"/>
                <w:color w:val="auto"/>
                <w:w w:val="90"/>
              </w:rPr>
              <w:t>share data)</w:t>
            </w: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696,475</w:t>
            </w:r>
          </w:p>
        </w:tc>
      </w:tr>
      <w:tr>
        <w:trPr>
          <w:trHeight w:val="324"/>
        </w:trPr>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13,165</w:t>
            </w:r>
          </w:p>
        </w:tc>
      </w:tr>
      <w:tr>
        <w:trPr>
          <w:trHeight w:val="324"/>
        </w:trPr>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common share attributable to common shareholders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r>
      <w:tr>
        <w:trPr>
          <w:trHeight w:val="324"/>
        </w:trPr>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 attributable to common shareholders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0.34</w:t>
            </w:r>
          </w:p>
        </w:tc>
      </w:tr>
      <w:tr>
        <w:trPr>
          <w:trHeight w:val="27"/>
        </w:trPr>
        <w:tc>
          <w:tcPr>
            <w:tcW w:w="8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30, 2015, the Company completed the acquisition of all of the membership interests of New Mediscan II, LLC, Mediscan Diagnostic Services, LLC, and Mediscan Nursing Staffing, LLC (collectively, Mediscan). Earnouts related to the attainment of specific performance criteria in 2016 and 2017 were not achieved. In connection with the Mediscan acquisition, the Company also assumed contingent purchase price liabilities for a previously acquired business that are payable annually based on specific performance criteria for the 2016 through 2019 years. As of September 30, 2018, payments related to the year 2018 are limited to $0.3 million and 2019 is uncapped. During the nine months ended September 30, 2018, the Company paid $0.3 million related to the year 2017. As of September 30, 2018, the fair value of the remaining obligations was estimated at $5.5 million and is included in other current liabilities and contingent consideration on the condensed consolidated balance sheets. See Note 10 - Fair Value Measurements.</w:t>
      </w:r>
    </w:p>
    <w:p>
      <w:pPr>
        <w:spacing w:after="0" w:line="16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Total comprehensive income includes net income, foreign currency translation adjustments, and net change in derivative transactions, net of any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deferred taxes. Certain of the Company’s foreign subsidiaries use their respective local currency as their functional currency. In accordance with the </w:t>
      </w:r>
      <w:r>
        <w:rPr>
          <w:rFonts w:ascii="Arial" w:cs="Arial" w:eastAsia="Arial" w:hAnsi="Arial"/>
          <w:sz w:val="16"/>
          <w:szCs w:val="16"/>
          <w:i w:val="1"/>
          <w:iCs w:val="1"/>
          <w:color w:val="auto"/>
        </w:rPr>
        <w:t>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Currency Matters </w:t>
      </w:r>
      <w:r>
        <w:rPr>
          <w:rFonts w:ascii="Arial" w:cs="Arial" w:eastAsia="Arial" w:hAnsi="Arial"/>
          <w:sz w:val="16"/>
          <w:szCs w:val="16"/>
          <w:color w:val="auto"/>
        </w:rPr>
        <w:t>Topic of the FASB ASC, assets and liabilities of these operations are translated at the exchange rates in effect on the balance sheet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statement items are translated at the average exchange rates for the period. The cumulative impact of currency fluctuations related to the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translation is included in accumulated other comprehensive loss in the accompanying condensed consolidated balance sheets and was an unrealized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at September 30, 2018 and $1.2 million at December 31, 2017. The cumulative impact of net changes in derivative instruments included in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in the condensed consolidated balance sheets was an unrealized gain of $0.3 million at September 30, 2018. See Note 9 - Derivative.</w:t>
      </w:r>
    </w:p>
    <w:p>
      <w:pPr>
        <w:spacing w:after="0" w:line="23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There was no income tax impact related to foreign currency translation adjustments for the three and nine month period ended September 30, 2017. The income tax impact related to components of other comprehensive income for the three and nine months ended September 30, 2018 is reflected on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6" w:right="239" w:bottom="1440" w:gutter="0" w:footer="0" w:header="0"/>
        </w:sectPr>
      </w:pPr>
    </w:p>
    <w:bookmarkStart w:id="13" w:name="page14"/>
    <w:bookmarkEnd w:id="13"/>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720" w:type="dxa"/>
            <w:vAlign w:val="bottom"/>
            <w:gridSpan w:val="4"/>
          </w:tcPr>
          <w:p>
            <w:pPr>
              <w:jc w:val="right"/>
              <w:ind w:right="133"/>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00" w:type="dxa"/>
            <w:vAlign w:val="bottom"/>
            <w:gridSpan w:val="3"/>
          </w:tcPr>
          <w:p>
            <w:pPr>
              <w:jc w:val="right"/>
              <w:ind w:right="393"/>
              <w:spacing w:after="0"/>
              <w:rPr>
                <w:sz w:val="20"/>
                <w:szCs w:val="20"/>
                <w:color w:val="auto"/>
              </w:rPr>
            </w:pPr>
            <w:r>
              <w:rPr>
                <w:rFonts w:ascii="Arial" w:cs="Arial" w:eastAsia="Arial" w:hAnsi="Arial"/>
                <w:sz w:val="18"/>
                <w:szCs w:val="18"/>
                <w:b w:val="1"/>
                <w:bCs w:val="1"/>
                <w:color w:val="auto"/>
                <w:w w:val="97"/>
              </w:rPr>
              <w:t>September 30,</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6"/>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gridSpan w:val="6"/>
          </w:tcPr>
          <w:p>
            <w:pPr>
              <w:ind w:left="380"/>
              <w:spacing w:after="0"/>
              <w:rPr>
                <w:sz w:val="20"/>
                <w:szCs w:val="20"/>
                <w:color w:val="auto"/>
              </w:rPr>
            </w:pPr>
            <w:r>
              <w:rPr>
                <w:rFonts w:ascii="Arial" w:cs="Arial" w:eastAsia="Arial" w:hAnsi="Arial"/>
                <w:sz w:val="14"/>
                <w:szCs w:val="14"/>
                <w:color w:val="auto"/>
              </w:rPr>
              <w:t>(amounts in thousands, except per share data)</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7"/>
              </w:rPr>
              <w:t>Net (loss) income attributable to common shareholders -</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6,723</w:t>
            </w:r>
          </w:p>
        </w:tc>
        <w:tc>
          <w:tcPr>
            <w:tcW w:w="2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on Convertible Notes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Gain on derivative liability</w:t>
            </w:r>
          </w:p>
        </w:tc>
        <w:tc>
          <w:tcPr>
            <w:tcW w:w="10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Net (loss) income attributable to common shareholders -</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6,723</w:t>
            </w:r>
          </w:p>
        </w:tc>
        <w:tc>
          <w:tcPr>
            <w:tcW w:w="2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Diluted</w:t>
            </w:r>
          </w:p>
        </w:tc>
        <w:tc>
          <w:tcPr>
            <w:tcW w:w="1020" w:type="dxa"/>
            <w:vAlign w:val="bottom"/>
            <w:tcBorders>
              <w:bottom w:val="single" w:sz="8" w:color="CCEEFF"/>
            </w:tcBorders>
            <w:vMerge w:val="continue"/>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vMerge w:val="continue"/>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Weighted average common shares - Basic</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35,594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35,748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34,768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Effective of diluted shares: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rPr>
              <w:t>Share-based awards</w:t>
            </w:r>
          </w:p>
        </w:tc>
        <w:tc>
          <w:tcPr>
            <w:tcW w:w="10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Convertible Notes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97"/>
        </w:trPr>
        <w:tc>
          <w:tcPr>
            <w:tcW w:w="180" w:type="dxa"/>
            <w:vAlign w:val="bottom"/>
            <w:tcBorders>
              <w:bottom w:val="single" w:sz="8" w:color="CCEEFF"/>
            </w:tcBorders>
          </w:tcPr>
          <w:p>
            <w:pPr>
              <w:spacing w:after="0"/>
              <w:rPr>
                <w:sz w:val="24"/>
                <w:szCs w:val="24"/>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 Diluted</w:t>
            </w:r>
          </w:p>
        </w:tc>
        <w:tc>
          <w:tcPr>
            <w:tcW w:w="10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35,594</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36,036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35,881</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36,179</w:t>
            </w:r>
          </w:p>
        </w:tc>
        <w:tc>
          <w:tcPr>
            <w:tcW w:w="0" w:type="dxa"/>
            <w:vAlign w:val="bottom"/>
          </w:tcPr>
          <w:p>
            <w:pPr>
              <w:spacing w:after="0"/>
              <w:rPr>
                <w:sz w:val="1"/>
                <w:szCs w:val="1"/>
                <w:color w:val="auto"/>
              </w:rPr>
            </w:pPr>
          </w:p>
        </w:tc>
      </w:tr>
      <w:tr>
        <w:trPr>
          <w:trHeight w:val="311"/>
        </w:trPr>
        <w:tc>
          <w:tcPr>
            <w:tcW w:w="18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(loss) income per share attributable to common</w:t>
            </w: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980" w:type="dxa"/>
            <w:vAlign w:val="bottom"/>
            <w:vMerge w:val="restart"/>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7"/>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shareholders - Basic</w:t>
            </w:r>
          </w:p>
        </w:tc>
        <w:tc>
          <w:tcPr>
            <w:tcW w:w="102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(loss) income per share attributable to common</w:t>
            </w: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980" w:type="dxa"/>
            <w:vAlign w:val="bottom"/>
            <w:vMerge w:val="restart"/>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2"/>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shareholders - Diluted</w:t>
            </w:r>
          </w:p>
        </w:tc>
        <w:tc>
          <w:tcPr>
            <w:tcW w:w="10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and nine months ended September 30, 2018 and 2017, no tax benefits were assumed in the weighted average share calculation due to the Company's net operating loss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Due to the net loss for the three months ended September 30, 2018, 130,965 shares were excluded from diluted weighted average shares.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Convertible Notes were repaid in full on March 17, 2017. Applying the if-converted method, 967,342 shares (the weighted average shares outstanding through September 30, 2017) were included in diluted weighted average shares for the nine months ended September 30, 2017 because their effect was dilutive.</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780" w:type="dxa"/>
            <w:vAlign w:val="bottom"/>
            <w:gridSpan w:val="9"/>
          </w:tcPr>
          <w:p>
            <w:pPr>
              <w:jc w:val="center"/>
              <w:ind w:right="830"/>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5540" w:type="dxa"/>
            <w:vAlign w:val="bottom"/>
            <w:gridSpan w:val="7"/>
          </w:tcPr>
          <w:p>
            <w:pPr>
              <w:spacing w:after="0"/>
              <w:rPr>
                <w:sz w:val="20"/>
                <w:szCs w:val="20"/>
                <w:color w:val="auto"/>
              </w:rPr>
            </w:pPr>
            <w:r>
              <w:rPr>
                <w:rFonts w:ascii="Arial" w:cs="Arial" w:eastAsia="Arial" w:hAnsi="Arial"/>
                <w:sz w:val="18"/>
                <w:szCs w:val="18"/>
                <w:color w:val="auto"/>
              </w:rPr>
              <w:t>The Company had the following acquired intangible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September 30, 2018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30,384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8,456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42,909</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18,702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24,207</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49,620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29,612</w:t>
            </w: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6,838</w:t>
            </w:r>
          </w:p>
        </w:tc>
      </w:tr>
      <w:tr>
        <w:trPr>
          <w:trHeight w:val="29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88,220</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32,621</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55,599</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110,068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49,092</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60,976</w:t>
            </w:r>
          </w:p>
        </w:tc>
      </w:tr>
      <w:tr>
        <w:trPr>
          <w:trHeight w:val="189"/>
        </w:trPr>
        <w:tc>
          <w:tcPr>
            <w:tcW w:w="23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Intangible assets not subject to</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26,702</w:t>
            </w: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87,678</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fully amortized intangible assets, along with the related accumulated amortization, were removed from the table above.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estimated annual amortization expense is as follows: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r>
      <w:tr>
        <w:trPr>
          <w:trHeight w:val="243"/>
        </w:trPr>
        <w:tc>
          <w:tcPr>
            <w:tcW w:w="932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1,790</w:t>
            </w:r>
          </w:p>
        </w:tc>
      </w:tr>
      <w:tr>
        <w:trPr>
          <w:trHeight w:val="27"/>
        </w:trPr>
        <w:tc>
          <w:tcPr>
            <w:tcW w:w="9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7,131</w:t>
            </w:r>
          </w:p>
        </w:tc>
      </w:tr>
      <w:tr>
        <w:trPr>
          <w:trHeight w:val="243"/>
        </w:trPr>
        <w:tc>
          <w:tcPr>
            <w:tcW w:w="93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7,027</w:t>
            </w:r>
          </w:p>
        </w:tc>
      </w:tr>
      <w:tr>
        <w:trPr>
          <w:trHeight w:val="27"/>
        </w:trPr>
        <w:tc>
          <w:tcPr>
            <w:tcW w:w="9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6,819</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6,742</w:t>
            </w:r>
          </w:p>
        </w:tc>
      </w:tr>
      <w:tr>
        <w:trPr>
          <w:trHeight w:val="27"/>
        </w:trPr>
        <w:tc>
          <w:tcPr>
            <w:tcW w:w="9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26,090</w:t>
            </w:r>
          </w:p>
        </w:tc>
      </w:tr>
      <w:tr>
        <w:trPr>
          <w:trHeight w:val="237"/>
        </w:trPr>
        <w:tc>
          <w:tcPr>
            <w:tcW w:w="9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55,599</w:t>
            </w:r>
          </w:p>
        </w:tc>
      </w:tr>
      <w:tr>
        <w:trPr>
          <w:trHeight w:val="27"/>
        </w:trPr>
        <w:tc>
          <w:tcPr>
            <w:tcW w:w="9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9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September 30, 2018, the Company performed a qualitative assessment of each of its reporting units and determined it was less-likely-than-not that the fair value of its reporting units dropped below their carrying value. As a result, management concluded that no impairment testing was warranted as of September 30, 2018. Although management believes that the Company's current estimates and assumptions are reasonable and supportable, there can be no assurance that the estimates and assumptions made for purposes of the impairment testing will prove to be accurate predictions of future performance. The Company will conduct its annual impairment test of goodwill and other indefinite-lived intangible assets in the fourth quarter of 2018.</w:t>
      </w:r>
    </w:p>
    <w:p>
      <w:pPr>
        <w:spacing w:after="0" w:line="1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September 30, 2018 and December 31, 2017, goodwill by reporting segment was: $88.2 million for Nurse and Allied Staffing, $20.0 million for Physician Staffing, and $9.4 million for Other Human Capital Management Services, totaling $117.6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tcPr>
          <w:p>
            <w:pPr>
              <w:spacing w:after="0"/>
              <w:rPr>
                <w:sz w:val="24"/>
                <w:szCs w:val="24"/>
                <w:color w:val="auto"/>
              </w:rPr>
            </w:pPr>
          </w:p>
        </w:tc>
        <w:tc>
          <w:tcPr>
            <w:tcW w:w="2600" w:type="dxa"/>
            <w:vAlign w:val="bottom"/>
            <w:gridSpan w:val="4"/>
          </w:tcPr>
          <w:p>
            <w:pPr>
              <w:jc w:val="right"/>
              <w:ind w:right="594"/>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Debt Issuance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w w:val="90"/>
              </w:rPr>
              <w:t>Debt Issuance</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Costs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interest 4.60% and 3.61% at September 30, 2018 and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93,125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an Amended and Restated Credit Agreement entered into August 1, 2017 (Amended and Restated Credit Agreement) with a maturity date of August 1, 2022, including a term loan of $100.0 million (Amended Term Loan) and a $115.0 million revolving credit facility (Amended Revolving Credit Facility) (together with the Amended Term Loan, the Amended Credit Facilities). The Amended Revolving Credit Facility includes a subfacility for swingline loans up to an amount not to exceed $15.0 million, and a $35.0 million sublimit for the issuance of standby letters of credit.</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Amended and Restated Credit Agreement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Borrowings under the Amended Term Loan are payable in quarterly installments, which commenced January 2, 2018. Aside from its scheduled payments, on September 28, 2018, the Company made an optional prepayment of $5.0 million as permitted by the Amended and Restated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aggregate scheduled maturities of the term loan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right"/>
              <w:ind w:right="73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8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ind w:right="411"/>
              <w:spacing w:after="0"/>
              <w:rPr>
                <w:sz w:val="20"/>
                <w:szCs w:val="20"/>
                <w:color w:val="auto"/>
              </w:rPr>
            </w:pPr>
            <w:r>
              <w:rPr>
                <w:rFonts w:ascii="Arial" w:cs="Arial" w:eastAsia="Arial" w:hAnsi="Arial"/>
                <w:sz w:val="16"/>
                <w:szCs w:val="16"/>
                <w:color w:val="auto"/>
              </w:rPr>
              <w:t>(amounts in thousands)</w:t>
            </w:r>
          </w:p>
        </w:tc>
      </w:tr>
      <w:tr>
        <w:trPr>
          <w:trHeight w:val="33"/>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2,662</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6,389</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6,921</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66,759</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91,250</w:t>
            </w:r>
          </w:p>
        </w:tc>
      </w:tr>
      <w:tr>
        <w:trPr>
          <w:trHeight w:val="20"/>
        </w:trPr>
        <w:tc>
          <w:tcPr>
            <w:tcW w:w="8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Subject to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69"/>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Less than 1.50:1.00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2"/>
        </w:trPr>
        <w:tc>
          <w:tcPr>
            <w:tcW w:w="940" w:type="dxa"/>
            <w:vAlign w:val="bottom"/>
            <w:tcBorders>
              <w:top w:val="single" w:sz="8" w:color="auto"/>
              <w:left w:val="single" w:sz="8" w:color="auto"/>
              <w:right w:val="single" w:sz="8" w:color="auto"/>
            </w:tcBorders>
          </w:tcPr>
          <w:p>
            <w:pPr>
              <w:spacing w:after="0"/>
              <w:rPr>
                <w:sz w:val="19"/>
                <w:szCs w:val="19"/>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1.50:1.00</w:t>
            </w:r>
          </w:p>
        </w:tc>
        <w:tc>
          <w:tcPr>
            <w:tcW w:w="21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shd w:val="clear" w:color="auto" w:fill="CCEEFF"/>
          </w:tcPr>
          <w:p>
            <w:pPr>
              <w:spacing w:after="0"/>
              <w:rPr>
                <w:sz w:val="19"/>
                <w:szCs w:val="19"/>
                <w:color w:val="auto"/>
              </w:rPr>
            </w:pPr>
          </w:p>
        </w:tc>
        <w:tc>
          <w:tcPr>
            <w:tcW w:w="4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2.00:1.00</w:t>
            </w:r>
          </w:p>
        </w:tc>
        <w:tc>
          <w:tcPr>
            <w:tcW w:w="2180" w:type="dxa"/>
            <w:vAlign w:val="bottom"/>
            <w:tcBorders>
              <w:right w:val="single" w:sz="8" w:color="auto"/>
            </w:tcBorders>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r>
      <w:tr>
        <w:trPr>
          <w:trHeight w:val="262"/>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but less than 2.50:1.00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2.25%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0.30%</w:t>
            </w:r>
          </w:p>
        </w:tc>
      </w:tr>
      <w:tr>
        <w:trPr>
          <w:trHeight w:val="222"/>
        </w:trPr>
        <w:tc>
          <w:tcPr>
            <w:tcW w:w="940" w:type="dxa"/>
            <w:vAlign w:val="bottom"/>
            <w:tcBorders>
              <w:top w:val="single" w:sz="8" w:color="auto"/>
              <w:left w:val="single" w:sz="8" w:color="auto"/>
              <w:right w:val="single" w:sz="8" w:color="auto"/>
            </w:tcBorders>
          </w:tcPr>
          <w:p>
            <w:pPr>
              <w:spacing w:after="0"/>
              <w:rPr>
                <w:sz w:val="19"/>
                <w:szCs w:val="19"/>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2.50:1.00</w:t>
            </w:r>
          </w:p>
        </w:tc>
        <w:tc>
          <w:tcPr>
            <w:tcW w:w="21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44"/>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V</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3.00:1.00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0.40%</w:t>
            </w:r>
          </w:p>
        </w:tc>
      </w:tr>
      <w:tr>
        <w:trPr>
          <w:trHeight w:val="20"/>
        </w:trPr>
        <w:tc>
          <w:tcPr>
            <w:tcW w:w="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As of September 30, 2018, the Amended Term Loan and Amended Revolving Credit Facility bore interest at a rate equal to One Month LIBOR plus 2.50%.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is 0.35% as of September 30, 2018. During the three months ended March 31, 2018, the Company entered into an interest rate swap to reduce its exposure to fluctuations in the interest rates associated with its debt, which was effective April 2, 2018. See Note 9 - Derivative.</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Amended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Amended and Restated Credit Agreement includes two financial covenants: (i) a maximum Consolidated Total Leverage ratio limitation (as defined therein); and (ii) a minimum Consolidated Fixed Charge Coverage ratio (as defined therein) as of the end of each fiscal quarter of 1.50:1.00. As of September 30, 2018, the Company was in compliance with the financial covenants and other covenants contained in the Amended and Restated Credit Agreement.</w:t>
      </w:r>
    </w:p>
    <w:p>
      <w:pPr>
        <w:spacing w:after="0" w:line="18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On October 30, 2018, the Company entered into a First Amendment (First Amendment) to its Amended and Restated Credit Agreement that, among other administrative and clarifying changes, modifies the following: (1) the definition utilized in its financial covenants of Consolidated EBITDA to allow for exclusion of charges related to the Company’s initiative to replace its front-end system supporting its legacy travel nurse operations, subject to a basket of addbacks, of which the basket dollar amount was also increased; (2) increases the maximum Consolidated Total Leverage Ratio to 3.75:1.00 from 3.25:1:00 for the periods of September 30, 2018 through June 30, 2019, to 3.50:1:00 from 3.00:1.00 for the period ended September 30, 2019, to 3.25:1.00 from</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3.00:1:00 for the period ended December 31, 2019, and maintains 3.00:1:00 for the periods thereafter and as adjusted pursuant to a Qualified Permitted Acquisition (as defined therein); and (3) increases the pro forma Consolidated Total Leverage Ratio threshold for allowing restricted payments. In connection with the First Amendment, the Company paid $0.3 million in fees to its lenders which it expects to be treated as deferred debt issuance costs.</w:t>
      </w:r>
    </w:p>
    <w:p>
      <w:pPr>
        <w:spacing w:after="0" w:line="1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terms and provisions of the First Amendment, a copy of which is attached herewith as Exhibit 10.1.</w:t>
      </w:r>
    </w:p>
    <w:p>
      <w:pPr>
        <w:spacing w:after="0" w:line="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498" w:right="219" w:bottom="1440" w:gutter="0" w:footer="0" w:header="0"/>
        </w:sectPr>
      </w:pPr>
    </w:p>
    <w:bookmarkStart w:id="17" w:name="page18"/>
    <w:bookmarkEnd w:id="17"/>
    <w:p>
      <w:pPr>
        <w:ind w:right="300"/>
        <w:spacing w:after="0" w:line="277" w:lineRule="auto"/>
        <w:rPr>
          <w:sz w:val="20"/>
          <w:szCs w:val="20"/>
          <w:color w:val="auto"/>
        </w:rPr>
      </w:pPr>
      <w:r>
        <w:rPr>
          <w:rFonts w:ascii="Arial" w:cs="Arial" w:eastAsia="Arial" w:hAnsi="Arial"/>
          <w:sz w:val="18"/>
          <w:szCs w:val="18"/>
          <w:color w:val="auto"/>
        </w:rPr>
        <w:t>As of September 30, 2018, the Company had $20.6 million letters of credit outstanding and $94.4 million available under the Amended Revolving Credit Facility. The letters of credit relate to the Company’s workers’ compensation and professional liability insurance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and certain of its domestic subsidiaries had a Convertible Note Purchase Agreement (the Note Purchase Agreement), with certain note holders (collectively, the Noteholders) for an aggregate of $25.0 million of Convertible Notes. Subject to certain exceptions, the Company was not permitted to redeem the Convertible Notes until June 30, 2017.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 within financing activities on the condensed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on the condensed consolidated statements of cash flows. The loss on early extinguishment of debt in the three months ended March 31, 2017 includes the write-off of unamortized loan fees and remaining interest due through the Forced Conversion date (defined below) of June 30, 2017.</w:t>
      </w:r>
    </w:p>
    <w:p>
      <w:pPr>
        <w:spacing w:after="0" w:line="16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2018, the Company entered into an interest rate swap, with an effective date of April 2, 2018 and termination date of August 1, 2022. No initial investments were made to enter into the agreement. The interest rate swap agreement requires the Company to pay a fixed rate to the respective counterparty of 2.627% per annum on an amortizing notional amount beginning at $48.8 million (corresponding with the initial term loan payment schedule), and to receive from the respective counterparty, interest payments based on the applicable notional amounts and 1 month USD LIBOR, with no exchanges of notional amounts. At initiation, the interest rate swap effectively fixed the interest rate on 50% of the amortizing balance of the Company’s term debt, exclusive of the credit spread on the debt. As of September 30, 2018, the fair value of the interest rate swap agreement was $0.4 million.</w:t>
      </w:r>
    </w:p>
    <w:p>
      <w:pPr>
        <w:spacing w:after="0" w:line="8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368"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deferred compensation liability included in other long-term liabilities, interest rate swap agreements included in other long-term assets and other current liabilities, and contingent consideration liabilities.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liabilities. The Company’s deferred compensation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measured using publicly available indices that define the liability amounts, as per the plan documents.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 agreement</w:t>
      </w:r>
      <w:r>
        <w:rPr>
          <w:rFonts w:ascii="Arial" w:cs="Arial" w:eastAsia="Arial" w:hAnsi="Arial"/>
          <w:sz w:val="16"/>
          <w:szCs w:val="16"/>
          <w:color w:val="auto"/>
        </w:rPr>
        <w:t>—The Company utilized Level 2 inputs to value its interest rate swap agreement. See Note 8 - Debt and Note 9 - Derivative.</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Contingent consideration liabilities</w:t>
      </w:r>
      <w:r>
        <w:rPr>
          <w:rFonts w:ascii="Arial" w:cs="Arial" w:eastAsia="Arial" w:hAnsi="Arial"/>
          <w:sz w:val="17"/>
          <w:szCs w:val="17"/>
          <w:color w:val="auto"/>
        </w:rPr>
        <w:t>—Potential earnout payments related to the acquisition of Mediscan and US Resources Healthcare, LLC (USR) are</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upon meeting certain performance requirements through 2019. The long-term portion of these liabilities has been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liability has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See Note 4 - Acquisitions. The contingent consideration related to the Company's acquisition of USR was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 In the third quarter of 2018, the Company determined that the contingent consideration earnout related to the USR acquisition would not be achieved for 2018 and 2019 and, as a result, the entire liability was reversed.</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contingent consideration and the associated liabilities are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result in a significantly higher (lower) fair value, respectively, and commensurate changes to these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1"/>
              </w:rPr>
              <w:t>Fair Value Measurements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4"/>
                <w:szCs w:val="24"/>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6"/>
                <w:shd w:val="clear" w:color="auto" w:fill="CCEEFF"/>
              </w:rPr>
              <w:t>Financial Assets:</w:t>
            </w:r>
          </w:p>
        </w:tc>
        <w:tc>
          <w:tcPr>
            <w:tcW w:w="24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4"/>
            <w:shd w:val="clear" w:color="auto" w:fill="CCEEFF"/>
          </w:tcPr>
          <w:p>
            <w:pPr>
              <w:ind w:left="1520"/>
              <w:spacing w:after="0"/>
              <w:rPr>
                <w:sz w:val="20"/>
                <w:szCs w:val="20"/>
                <w:color w:val="auto"/>
              </w:rPr>
            </w:pPr>
            <w:r>
              <w:rPr>
                <w:rFonts w:ascii="Arial" w:cs="Arial" w:eastAsia="Arial" w:hAnsi="Arial"/>
                <w:sz w:val="16"/>
                <w:szCs w:val="16"/>
                <w:color w:val="auto"/>
                <w:w w:val="89"/>
                <w:shd w:val="clear" w:color="auto" w:fill="CCEEFF"/>
              </w:rPr>
              <w:t>(amounts in thousands)</w:t>
            </w: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gridSpan w:val="4"/>
          </w:tcPr>
          <w:p>
            <w:pPr>
              <w:ind w:left="40"/>
              <w:spacing w:after="0"/>
              <w:rPr>
                <w:sz w:val="20"/>
                <w:szCs w:val="20"/>
                <w:color w:val="auto"/>
              </w:rPr>
            </w:pPr>
            <w:r>
              <w:rPr>
                <w:rFonts w:ascii="Arial" w:cs="Arial" w:eastAsia="Arial" w:hAnsi="Arial"/>
                <w:sz w:val="16"/>
                <w:szCs w:val="16"/>
                <w:b w:val="1"/>
                <w:bCs w:val="1"/>
                <w:color w:val="auto"/>
              </w:rPr>
              <w:t>(Level 2)</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Interest rate swaps</w:t>
            </w:r>
          </w:p>
        </w:tc>
        <w:tc>
          <w:tcPr>
            <w:tcW w:w="2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shd w:val="clear" w:color="auto" w:fill="CCEEFF"/>
              </w:rPr>
              <w:t>370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60" w:type="dxa"/>
            <w:vAlign w:val="bottom"/>
            <w:gridSpan w:val="4"/>
            <w:vMerge w:val="continue"/>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89"/>
                <w:shd w:val="clear" w:color="auto" w:fill="CCEEFF"/>
              </w:rPr>
              <w:t>(Level 1)</w:t>
            </w:r>
          </w:p>
        </w:tc>
        <w:tc>
          <w:tcPr>
            <w:tcW w:w="3120" w:type="dxa"/>
            <w:vAlign w:val="bottom"/>
            <w:tcBorders>
              <w:bottom w:val="single" w:sz="8" w:color="CCEEFF"/>
            </w:tcBorders>
            <w:gridSpan w:val="2"/>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720" w:type="dxa"/>
            <w:vAlign w:val="bottom"/>
            <w:gridSpan w:val="3"/>
          </w:tcPr>
          <w:p>
            <w:pPr>
              <w:ind w:left="240"/>
              <w:spacing w:after="0"/>
              <w:rPr>
                <w:sz w:val="20"/>
                <w:szCs w:val="20"/>
                <w:color w:val="auto"/>
              </w:rPr>
            </w:pPr>
            <w:r>
              <w:rPr>
                <w:rFonts w:ascii="Arial" w:cs="Arial" w:eastAsia="Arial" w:hAnsi="Arial"/>
                <w:sz w:val="18"/>
                <w:szCs w:val="18"/>
                <w:color w:val="auto"/>
              </w:rPr>
              <w:t>Deferred compensation</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89"/>
                <w:shd w:val="clear" w:color="auto" w:fill="CCEEFF"/>
              </w:rPr>
              <w:t>(Level 3)</w:t>
            </w:r>
          </w:p>
        </w:tc>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16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20" w:type="dxa"/>
            <w:vAlign w:val="bottom"/>
            <w:gridSpan w:val="3"/>
          </w:tcPr>
          <w:p>
            <w:pPr>
              <w:ind w:left="240"/>
              <w:spacing w:after="0"/>
              <w:rPr>
                <w:sz w:val="20"/>
                <w:szCs w:val="20"/>
                <w:color w:val="auto"/>
              </w:rPr>
            </w:pPr>
            <w:r>
              <w:rPr>
                <w:rFonts w:ascii="Arial" w:cs="Arial" w:eastAsia="Arial" w:hAnsi="Arial"/>
                <w:sz w:val="18"/>
                <w:szCs w:val="18"/>
                <w:color w:val="auto"/>
              </w:rPr>
              <w:t>Contingent consideration liabilities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5,536</w:t>
            </w:r>
          </w:p>
        </w:tc>
        <w:tc>
          <w:tcPr>
            <w:tcW w:w="2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80" w:type="dxa"/>
            <w:vAlign w:val="bottom"/>
            <w:vMerge w:val="restart"/>
          </w:tcPr>
          <w:p>
            <w:pPr>
              <w:jc w:val="right"/>
              <w:ind w:right="75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271"/>
              <w:spacing w:after="0"/>
              <w:rPr>
                <w:sz w:val="20"/>
                <w:szCs w:val="20"/>
                <w:color w:val="auto"/>
              </w:rPr>
            </w:pPr>
            <w:r>
              <w:rPr>
                <w:rFonts w:ascii="Arial" w:cs="Arial" w:eastAsia="Arial" w:hAnsi="Arial"/>
                <w:sz w:val="18"/>
                <w:szCs w:val="18"/>
                <w:b w:val="1"/>
                <w:bCs w:val="1"/>
                <w:color w:val="auto"/>
                <w:w w:val="90"/>
              </w:rPr>
              <w:t>Contingent Consideration</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40" w:type="dxa"/>
            <w:vAlign w:val="bottom"/>
          </w:tcPr>
          <w:p>
            <w:pPr>
              <w:jc w:val="center"/>
              <w:ind w:right="251"/>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ind w:right="251"/>
              <w:spacing w:after="0"/>
              <w:rPr>
                <w:sz w:val="20"/>
                <w:szCs w:val="20"/>
                <w:color w:val="auto"/>
              </w:rPr>
            </w:pPr>
            <w:r>
              <w:rPr>
                <w:rFonts w:ascii="Arial" w:cs="Arial" w:eastAsia="Arial" w:hAnsi="Arial"/>
                <w:sz w:val="16"/>
                <w:szCs w:val="16"/>
                <w:color w:val="auto"/>
                <w:w w:val="89"/>
              </w:rPr>
              <w:t>(amounts in thousands)</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December 31, 2017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Payments/Settlements</w:t>
            </w:r>
          </w:p>
        </w:tc>
        <w:tc>
          <w:tcPr>
            <w:tcW w:w="34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3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Payments</w:t>
            </w:r>
          </w:p>
        </w:tc>
        <w:tc>
          <w:tcPr>
            <w:tcW w:w="3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340" w:type="dxa"/>
            <w:vAlign w:val="bottom"/>
          </w:tcPr>
          <w:p>
            <w:pPr>
              <w:spacing w:after="0"/>
              <w:rPr>
                <w:sz w:val="21"/>
                <w:szCs w:val="21"/>
                <w:color w:val="auto"/>
              </w:rPr>
            </w:pPr>
          </w:p>
        </w:tc>
        <w:tc>
          <w:tcPr>
            <w:tcW w:w="284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Valuation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September 30, 2018</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5,536</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fourth quarter of 2017, the carrying value of goodwill and trade names in the Physician Staffing reporting unit exceeded their fair values. As a result, the Company recorded impairment charges that incorporates fair value measurements based on Level 3 inputs. For the three and nine months ended September 30, 2018, no impairment charges were recognized.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3"/>
          </w:tcPr>
          <w:p>
            <w:pPr>
              <w:ind w:left="760"/>
              <w:spacing w:after="0"/>
              <w:rPr>
                <w:sz w:val="20"/>
                <w:szCs w:val="20"/>
                <w:color w:val="auto"/>
              </w:rPr>
            </w:pPr>
            <w:r>
              <w:rPr>
                <w:rFonts w:ascii="Arial" w:cs="Arial" w:eastAsia="Arial" w:hAnsi="Arial"/>
                <w:sz w:val="18"/>
                <w:szCs w:val="18"/>
                <w:b w:val="1"/>
                <w:bCs w:val="1"/>
                <w:color w:val="auto"/>
                <w:w w:val="89"/>
              </w:rPr>
              <w:t>September 30, 2018</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2017</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660" w:type="dxa"/>
            <w:vAlign w:val="bottom"/>
          </w:tcPr>
          <w:p>
            <w:pPr>
              <w:spacing w:after="0"/>
              <w:rPr>
                <w:sz w:val="19"/>
                <w:szCs w:val="19"/>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color w:val="auto"/>
                <w:w w:val="96"/>
              </w:rPr>
              <w:t>Fair</w:t>
            </w:r>
          </w:p>
        </w:tc>
      </w:t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660" w:type="dxa"/>
            <w:vAlign w:val="bottom"/>
          </w:tcPr>
          <w:p>
            <w:pPr>
              <w:spacing w:after="0"/>
              <w:rPr>
                <w:sz w:val="20"/>
                <w:szCs w:val="20"/>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color w:val="auto"/>
                <w:w w:val="91"/>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Financial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90,586</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99,134</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has invested its excess cash in highly-rated overnight funds and other highly-rated liquid accounts. The Company is exposed to credit risk associated with these investments, as the cash balances typically exceed the current Federal Deposit Insurance Corporation (FDIC)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90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Under an authorized share repurchase program, the Company repurchased and retired shares of its Common Stock as follows: 32,983 shares of its Common Stock for $0.3 million, at an average market price of $9.08 per share during the three months ended September 30, 2018; and 432,439 shares of its Common Stock for $5.0 million, at an average market price of $11.54 per share during the nine months ended September 30, 2018. During the three and nine months ended September 30, 2017, the Company did not repurchase any shares of its Common Stock.</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2018, the Company has 510,004 shares of Common Stock under the current authorized share repurchase program available to repurchase, subject to certain conditions in the Company's Amended and Restated Credit Agreement. At September 30, 2018, the Company had 35,581,090 unrestricted shares of Common Stock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March 17, 2017, the Company paid in full its Convertible Notes. In connection with the repayment, the Company issued 3,175,584 shares to the noteholders. See Note 8 -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Restricted stock awards granted under the Company’s 2014 Omnibus Incentive Plan, Amended and Restated effective May 23, 2017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2017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515,601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257,575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391,108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238,328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(219,881)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(69,044)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(40,419)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13.41</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September 30,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617,784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455,484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2018, $1.0 million and $2.4 million, respectively, was included in selling, general and administrative expenses related to share-based payments, and a net of 5,460 and 155,914 shares, respectively, of Common Stock were issued upon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2017, $1.1 million and $3.1 million, respectively, was included in selling, general and administrative expenses related to share-based payments, and a net of 3,110 and 204,786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Unites States. Substantially all of the results of the Advantage acquisition have been aggregated with the Company's Nurse and Allied Staffing business segment. See Note 4 - Acquisitions.</w:t>
      </w:r>
    </w:p>
    <w:p>
      <w:pPr>
        <w:spacing w:after="0" w:line="193"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46"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United States.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management evaluates performance of each segment primarily based on revenue and contribution income. The Company defines contribution income as income from operations before depreciation and amortization, acquisition-related contingent consideration, acquisition and integration costs, restructuring costs,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20"/>
                <w:szCs w:val="20"/>
                <w:color w:val="auto"/>
              </w:rPr>
            </w:pPr>
          </w:p>
        </w:tc>
        <w:tc>
          <w:tcPr>
            <w:tcW w:w="28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176,344</w:t>
            </w:r>
          </w:p>
        </w:tc>
        <w:tc>
          <w:tcPr>
            <w:tcW w:w="1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200,492</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540,788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564,527</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3,125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9,792</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200,717</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228,488</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615,577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645,374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16,534</w:t>
            </w:r>
          </w:p>
        </w:tc>
        <w:tc>
          <w:tcPr>
            <w:tcW w:w="1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20,663</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50,203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54,426</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22,002</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58,433</w:t>
            </w:r>
          </w:p>
        </w:tc>
      </w:tr>
      <w:tr>
        <w:trPr>
          <w:trHeight w:val="297"/>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2,892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7,325</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1,953</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2,645</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8,367</w:t>
            </w:r>
          </w:p>
        </w:tc>
        <w:tc>
          <w:tcPr>
            <w:tcW w:w="2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18,071</w:t>
            </w:r>
          </w:p>
        </w:tc>
      </w:tr>
      <w:tr>
        <w:trPr>
          <w:trHeight w:val="20"/>
        </w:trPr>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September 30, 2018, associated with these agreements with terms of one year or more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jc w:val="right"/>
              <w:ind w:right="370"/>
              <w:spacing w:after="0"/>
              <w:rPr>
                <w:sz w:val="20"/>
                <w:szCs w:val="20"/>
                <w:color w:val="auto"/>
              </w:rPr>
            </w:pPr>
            <w:r>
              <w:rPr>
                <w:rFonts w:ascii="Arial" w:cs="Arial" w:eastAsia="Arial" w:hAnsi="Arial"/>
                <w:sz w:val="18"/>
                <w:szCs w:val="18"/>
                <w:color w:val="auto"/>
                <w:w w:val="97"/>
              </w:rPr>
              <w:t>(amounts in thousands)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5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4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4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9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Non-income tax expense is included in selling, general and administrative expenses on its condensed consolidated statements of operations and the liability is reflected in sales tax payable within other current liabilities as of September 30, 2018 and December 31, 2017, on its condensed consolidated balance sheets.</w:t>
      </w:r>
    </w:p>
    <w:p>
      <w:pPr>
        <w:spacing w:after="0" w:line="17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For the three and nine month periods ended September 30, 2018, the Company estimated its effective tax rate on an annual basis, as opposed to calculating it for the three and nine month periods ended September 30, 2017 based on year-to-date results,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Income tax expense was primarily impacted by the non-deductibility of certain per diem expenses, the officers' compensation limitation, and international and state taxes.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2017, the Company concluded that it was more likely than not that a benefit from a substantial portion of its United States federal and state deferred tax assets would be realized. As a result, it released the majority of its valuation allowance. The Company will continue to assess the realizability of its deferred tax assets and, as of September 30, 2018, has maintained a $1.1 million valuation allowance against certain state net operating losses.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Securities and Exchange Commission (SEC) staff issued Staff Accounting Bulletin (SAB) No. 118 (SAB 118), which provides guidance on accounting for the tax effects of the 2017 Tax Act. SAB 118 provides a measurement period that should not extend beyond one year from the enactment date for companies to complete the accounting required under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In accordance with SAB 118, a company must reflect the income tax effects of those aspects of the 2017 Tax Act for which the accounting under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is complete. To the extent that a company's accounting for certain income tax effects is incomplete but it is able to determine a reasonable estimate, it must record a provisional estimate in its financial statements. The ultimate impact of the 2017 Tax Act in our financial statements is provisional with regard to certain foreign tax provisions and may differ from our estimates due to changes in the interpretations and assumptions made by us as well as additional regulatory guidance that may be issued.</w:t>
      </w:r>
    </w:p>
    <w:p>
      <w:pPr>
        <w:spacing w:after="0" w:line="16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September 30, 2018, the Company had approximately $0.6 million of unrecognized tax benefits included in other current liabilities and other long-term liabilities ($5.0 million, net of deferred taxes, which would affect the effective tax rate if recognized). During the nine months ended September 30, 2018, the Company had gross increases of $1.1 million to its current year unrecognized tax benefits.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tax years of 2008 and 2010 through 2017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provided services to customers affiliated with certain members of the Company’s Board of Directors. Management believes services with related parties were conducted on terms equivalent to those prevailing in an arm's-length transaction. Revenue related to these transactions was less than $0.1 million for the three and nine months ended September 30, 2018, and $1.2 million and $3.8 million for the three and nine months ended September 30, 2017, respectively. Accounts receivable due from these hospitals at September 30, 2018 and December 31, 2017 were less than $0.1 million and approximately $0.4 million,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4" w:right="259" w:bottom="1440" w:gutter="0" w:footer="0" w:header="0"/>
        </w:sectPr>
      </w:pPr>
    </w:p>
    <w:bookmarkStart w:id="24" w:name="page25"/>
    <w:bookmarkEnd w:id="24"/>
    <w:p>
      <w:pPr>
        <w:spacing w:after="0" w:line="276" w:lineRule="auto"/>
        <w:rPr>
          <w:sz w:val="20"/>
          <w:szCs w:val="20"/>
          <w:color w:val="auto"/>
        </w:rPr>
      </w:pPr>
      <w:r>
        <w:rPr>
          <w:rFonts w:ascii="Arial" w:cs="Arial" w:eastAsia="Arial" w:hAnsi="Arial"/>
          <w:sz w:val="17"/>
          <w:szCs w:val="17"/>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$5.4 million and $14.5 million for the three and nine months ended September 30, 2018, respectively, and $4.6 million and $13.3 million for the three and nine months ended September 30, 2017, respectively. At September 30, 2018 and December 31, 2017, the Company had a receivable balance of $2.2 million and $0.8 million, respectively, and a payable balance of $0.3 million at both periods.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$0.3 million, respectively, in rent expense for these premises for the three and nine months ended September 30, 2018 and September 30, 2017.</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The amendments in this update align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obtain internal-use software (and hosting arrangements that include an internal use software license). The amendments in this update are effective for public business entities for fiscal years beginning after December 15, 2019, and interim periods within those fiscal years, and should be applied either retrospectively or prospectively to all implementation costs incurred after the date of adoption. Early adoption is permitted for all entities, including adoption in an interim period. The Company is currently in the process of evaluating the potential impact the adoption of this standard may have and expects to adopt this standard in its first quarter of 2020.</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The amendments in this update modify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based on the concepts in the Concepts Statement, including the consideration of costs and benefits. The amendments in this update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entities for fiscal years, and interim periods within those fiscal years, beginning after December 15, 2019, and should be applied either prospectively or retrospectively depending on the nature of the disclosure. An entity is permitted to early adopt any removed or modified disclosures upon issuance of this update and delay adoption of the additional disclosures until their effective date. The Company is currently in the process of evaluating this standard and expects to adopt the full provisions in its first quarter of 2020.</w:t>
      </w:r>
    </w:p>
    <w:p>
      <w:pPr>
        <w:spacing w:after="0" w:line="18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an entity’s own stock.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 expects to adopt this standard in its first quarter of 2019, and does not expect this guidance to have a material impact on its consolidated financial statements.</w:t>
      </w:r>
    </w:p>
    <w:p>
      <w:pPr>
        <w:spacing w:after="0" w:line="1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will require, among other items, lessees to recognize most leases as assets and liabilities on the balance sheet. Qualitative and quantitative disclosures will be enhanced to better understand the amount, timing and uncertainty of cash flows arising from leases. The FASB has issued several other subsequent updates including the following: 1) ASU No. 2018-10,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Topic 842, Leases, </w:t>
      </w:r>
      <w:r>
        <w:rPr>
          <w:rFonts w:ascii="Arial" w:cs="Arial" w:eastAsia="Arial" w:hAnsi="Arial"/>
          <w:sz w:val="17"/>
          <w:szCs w:val="17"/>
          <w:color w:val="auto"/>
        </w:rPr>
        <w:t>which includes sixteen separate narrow-scope amendments to clarify the codification and to correct unintended application of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which provides entities with relief from the costs of implementing certain aspects of the new leasing standard by allowing them to elect not to recast the comparative periods presented when transitioning to ASC 842. The new lease standard, and the subsequent ASUs that modified Topic 842,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are effective for fiscal years beginning after December 15, 2018, and interim periods within those fiscal years, with early adoption permitted.</w:t>
      </w:r>
    </w:p>
    <w:p>
      <w:pPr>
        <w:spacing w:after="0" w:line="3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in the process of implementing a plan to adopt this standard. As a result of its review, the Company intends to elect the practical expedient package to retain its lease classification for any leases that existed prior to the adoption of the standard. In addition, the Company expects to elect not to apply the recognition requirements to short-term leases, and to apply the transition method, which permits the use of the effective date of initial application. Approximately $33.7 million of undiscounted future lease liabilities, primarily related to real estate, would be discounted to present value and added to the condensed consolidated balance sheet with a corresponding right of use asset if the guidance was applied on September 30, 2018. The Company has implemented a lease management software application tool and is continuing to assess the impact that the adoption of ASU 2016-02 will have on its consolidated financial statements as well as changes to its processes.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70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recruitment process outsourcing (RPO), and other outsourcing and value-added services as described in Item 1. Business in our Annual Report on Form 10-K for the year ended December 31, 2017. In addition, we provide both retained and contingent placement services for healthcare executives, physicians, and other healthcare professionals.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the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88% of our total revenue in the third quarter of 2018. Nurse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 Substantially all of the results of the acquisition of Advantage have been aggregated with our Nurse and Allied Staffing business segment. See Note 4 - Acquisitions to our condensed consolidated financial statements.</w:t>
      </w:r>
    </w:p>
    <w:p>
      <w:pPr>
        <w:spacing w:after="0" w:line="188"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Physician Staffing </w:t>
      </w:r>
      <w:r>
        <w:rPr>
          <w:rFonts w:ascii="Arial" w:cs="Arial" w:eastAsia="Arial" w:hAnsi="Arial"/>
          <w:sz w:val="17"/>
          <w:szCs w:val="17"/>
          <w:color w:val="auto"/>
        </w:rPr>
        <w:t>– Physician Staffing represented approximately 10% of our total revenue in the third quarter of 2018. Physician Staffing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physicians in many specialties, as well as certified registered nurse anesthetists, nurse practitioners, and physician assistants under our Medical Doctor Associates (MDA) brand as independent contractors on temporary assignments throughout the United States.</w:t>
      </w:r>
    </w:p>
    <w:p>
      <w:pPr>
        <w:spacing w:after="0" w:line="165" w:lineRule="exact"/>
        <w:rPr>
          <w:rFonts w:ascii="Arial" w:cs="Arial" w:eastAsia="Arial" w:hAnsi="Arial"/>
          <w:sz w:val="17"/>
          <w:szCs w:val="17"/>
          <w:color w:val="auto"/>
        </w:rPr>
      </w:pPr>
    </w:p>
    <w:p>
      <w:pPr>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2%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third quarter of 2018. OHCMS is comprised of retained and contingent search services for physicians, healthcare executives, and other healthcare professionals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quarter ended September 30, 2018, revenue from services decreased 12% year-over-year to $200.7 million, with declines in both our Nurse and Allied Staffing and our Physician Staffing reporting segments. The decrease in our Nurse and Allied Staffing segment was primarily due to lower volume particularly in travel nurse operations and, to a lesser extent, branch operations. The decrease in our Physician Staffing segment was primarily due to lower volume. We continue to manage our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selling, general and administrative expenses as we remain committed to improving operating leverage and overall profitability. As part of our cost savings and efficiency initiatives, we incurred $1.4 million in restructuring charges during the third quarter of 2018. Net loss attributable to common shareholders was $0.4 million, or a loss of $0.01 per share.</w:t>
      </w:r>
    </w:p>
    <w:p>
      <w:pPr>
        <w:spacing w:after="0" w:line="10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nine months ended September 30, 2018, we generated cash flow from operating activities of $21.8 million. In addition, in the first nine months of 2018, we repurchased and retired 432,439 shares of Common Stock for $5.0 million, at an average market price of $11.54 per share, pursuant to the current authorized share repurchase program. See Note 11 - Stockholders' Equity to our condensed consolidated financial statements. As of September 30, 2018, we had $28.1 million of cash and cash equivalents and $91.3 million outstanding on our Term Loan, at par. There were no borrowings drawn on our $115.0 million revolving credit facility, with $20.6 million of letters of credit outstanding, leaving $94.4 million available for borrowings under the revolving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Staffing revenue per FTE by the number of days worked in the respective periods.</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placement of nurses.</w:t>
            </w:r>
          </w:p>
        </w:tc>
      </w:tr>
      <w:tr>
        <w:trPr>
          <w:trHeight w:val="256"/>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rPr>
              <w:t>Days filled is calculated by dividing the total hours invoiced during the period,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including an estimate for the impact of accrued revenue, by 8 hours. Prior periods</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have been recalculated to include the impact of the accrued revenue.</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Revenue per day filled is calculated by dividing revenue as reported by days filled for</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0"/>
              </w:rPr>
              <w:t>the period presented. Prior periods have been recalculated to include the impact of the</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accrued revenue and days.</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2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240" w:type="dxa"/>
            <w:vAlign w:val="bottom"/>
          </w:tcPr>
          <w:p>
            <w:pPr>
              <w:spacing w:after="0"/>
              <w:rPr>
                <w:sz w:val="23"/>
                <w:szCs w:val="23"/>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3"/>
                <w:szCs w:val="23"/>
                <w:color w:val="auto"/>
              </w:rPr>
            </w:pPr>
          </w:p>
        </w:tc>
      </w:tr>
      <w:tr>
        <w:trPr>
          <w:trHeight w:val="27"/>
        </w:trPr>
        <w:tc>
          <w:tcPr>
            <w:tcW w:w="5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73.6</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0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2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2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20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Consolidated net (loss) income</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5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Less: Net income attributable to noncontrolling interest in subsidiary</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1460" w:type="dxa"/>
            <w:vAlign w:val="bottom"/>
          </w:tcPr>
          <w:p>
            <w:pPr>
              <w:jc w:val="right"/>
              <w:ind w:right="8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Results for the Three Months Ended September 30, 2018 compared to the Three Months Ended September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168,008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(18,853)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102.6 %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86.6 %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771.1 %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Revenue from services decreased 12.2%, to $200.7 million for the three months ended September 30, 2018, as compared to $228.5 million for the three months ended September 30, 2017, due primarily to volume declines in our Nurse and Allied and Physician Staffing segments.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housing expenses, travel expenses, and related insurance expenses. Direct operating expenses decreased $18.9 million or 11.2%, to $149.2 million for the three months ended September 30, 2018, as compared to $168.0 million for the three months ended September 30, 2017. As a percentage of total revenue, direct operating expenses increased to 74.3% compared to 73.5% in the prior year period primarily due to lower bill-pay spread, primarily in our travel nurse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Selling, general and administrative expenses decreased 6.9%, to $44.1 million for the three months ended September 30, 2018, as compared to $47.3 million for the three months ended September 30, 2017, primarily reflecting the cost savings and efficiency initiatives undertaken over the last several quarters, partly offset by higher corporate costs. As a percentage of total revenue, selling, general and administrative expenses increased to 22.0% for the three months ended September 30, 2018 as compared to 20.8% for the three months ended September 30, 2017, due to negative operating leverage.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increased to $2.9 million for the three months ended September 30, 2018 from $2.8 million for the three months ended September 30, 2017. As a percentage of revenue, depreciation and amortization expense was 1.4% and 1.2% for the three months ended September 30,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Acquisition-related contingent consideration includes accretion and valuation adjustments on our contingent consideration liabilities for the Mediscan and USR acquisitions, and totaled less than $0.1 million and a benefit of $0.6 million for the three months ended September 30, 2018 and September 30, 2017, respectively. Both periods included the reversal of an earnout liability which was determined would not be achieved, USR in 2018 and Mediscan in 2017. See Note 10 - Fair Value Measurements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Acquisition and integration costs during the three months ended September 30, 2018 were $0.1 million, compared to $1.4 million during the three months ended September 30, 2017, and related to the Advantage acquisition. See Note 4 - Acquisitions to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Restructuring costs totaled $1.4 million and $0.7 million during the three months ended September 30, 2018 and September 30, 2017, respectively, and were related to severance, exit costs, and other write-offs of $0.4 million related to abandoned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Interest expense was $1.5 million for the three months ended September 30, 2018, compared to $1.2 million for the three months ended September 30, 2017, due to a higher effective interest rate on our term loan borrowings, which increased to 5.3% for the three month period ended September 30, 2018 compared to 4.0% for the three months ended September 30, 2017. See Note 8 -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totaled $1.4 million and $0.2 million for the three months ended September 30, 2018 and September 30, 2017, respectively. Income tax expense for the third quarter of 2018 was primarily impacted by the non-deductibility of certain per diem expenses, the officers’ compensation limitation, and international and state taxes. Income tax expense for the third quarter of 2017 was primarily related to the amortization of indefinite-lived intangible assets for tax purposes, and international and state taxes.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Comparison of Results for the Nine Months Ended September 30, 2018 compared to the Nine Months Ended September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475,091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931.5 %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173.3 %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 from services decreased 4.6%, to $615.6 million for the nine months ended September 30, 2018, as compared to $645.4 million for the nine months ended September 30, 2017, due primarily to volume declines in our Nurse and Allied and Physician Staffing segments, partly offset by the impact of the acquisition of Advantage. Excluding the impact of Advantage, revenue decreased $62.4 million or 10.0%. See further discussion in Segment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housing expenses, travel expenses, and related insurance expenses. Direct operating expenses decreased $18.5 million or 3.9%, to $456.6 million for the nine months ended September 30, 2018, as compared to $475.1 million for the nine months ended</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September 30, 2017. As a percentage of total revenue, direct operating expenses increased to 74.2% compared to 73.6% in the prior year period, primarily due to the impact of the Advantage acquisition and lower bill-pay spread, primarily in our travel nurse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general and administrative expenses decreased 4.4%, to $135.0 million for the nine months ended September 30, 2018, as compared to $141.2 million for the nine months ended September 30, 2017, despite the added expenses from the acquisition of Advantage, primarily reflecting the cost savings and efficiency initiatives completed over the last several quarters, partly offset by higher corporate costs. As a percentage of total revenue, selling, general and administrative expenses were 21.9% for the 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Depreciation and amortization expense increased to $8.8 million for the nine months ended September 30, 2018 from $7.3 million for the nine months ended September 30, 2017, primarily due to the additional amortization of other intangible assets of Advantage. As a percentage of revenue, depreciation and amortization expense was 1.4% and 1.1% for the nine months ended September 30,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Acquisition-related contingent consideration, includes accretion and valuation adjustments on our contingent consideration liabilities for the Mediscan and USR acquisitions, and totaled $0.4 million and a benefit of $0.1 million for the nine months ended September 30, 2018 and September 30, 2017, respectively. Both periods included the reversal of an earnout liability which was determined would not be achieved, USR in 2018 and Mediscan in 2017. See Note 10 - Fair Value Measurements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Acquisition and integration costs during the nine months ended September 30, 2018 were $0.3 million, compared to $2.0 million during the nine months ended September 30, 2017, and related to the Advantage acquisition. See Note 4 - Acquisitions to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Restructuring costs totaled $2.0 million and $0.7 million during the nine months ended September 30, 2018 and September 30, 2017, respectively, and related to severance, exit costs, and other write-offs of $0.4 million related to abandoned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Interest expense was $4.2 million for the nine months ended September 30, 2018, compared to $3.0 million for the nine months ended September 30, 2017, primarily due to the incremental debt resulting from the acquisition of Advantage, and a higher effective interest rate. The effective interest rate on our borrowings increased to 4.9% for the nine month period ended September 30, 2018 compared to 4.8% for the nine months ended September 30,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incurred a gain on derivative liability of $1.6 million for the nine months ended September 30, 2017 related to the change in the fair value of embedded features of our Convertible Notes from the end of the prior quarter through the payoff date, primarily resulting from a decrease in our share price. There were no such charges incurred for the nine months ended September 30, 2018. See Note 8 - Debt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Loss on early extinguishment of debt was not material for the nine months ended September 30, 2018 relates to the optional prepayment of $5.0 million made on our Amended Term Loan on September 28, 2018. Loss on early extinguishment of debt of $5.0 million for the nine months ended September 30, 2017 relates to the early repayment of our Convertible Notes. See Note 8 -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Income tax expense totaled $3.7 million and $1.3 million for the nine months ended September 30, 2018 and September 30, 2017, respectively. Income tax expense for the nine months ended September 30, 2018 was primarily impacted by the non-deductibility of certain per diem expenses, the officers’ compensation limitation, and international and state taxes. Income tax expense for the nine months ended September 30, 2017 was primarily related to the amortization of indefinite-lived intangible assets for tax purposes, and international and state taxes.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800"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53"/>
        </w:trPr>
        <w:tc>
          <w:tcPr>
            <w:tcW w:w="9820" w:type="dxa"/>
            <w:vAlign w:val="bottom"/>
            <w:gridSpan w:val="11"/>
          </w:tcPr>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12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1"/>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176,344</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200,492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540,788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564,527</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71,055</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9,792</w:t>
            </w:r>
          </w:p>
        </w:tc>
      </w:tr>
      <w:tr>
        <w:trPr>
          <w:trHeight w:val="27"/>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228,488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615,577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645,374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16,534</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20,663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50,203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54,426</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58,433</w:t>
            </w:r>
          </w:p>
        </w:tc>
      </w:tr>
      <w:tr>
        <w:trPr>
          <w:trHeight w:val="324"/>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30,414</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2,849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7,325</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1,953</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8,367</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18,071</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6,953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7,706</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13,375</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15,567</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(2,192)</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50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7,187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7,355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41,611</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45,823</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(4,212)</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1,551</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67" w:right="239" w:bottom="1027"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67" w:right="239" w:bottom="1027" w:gutter="0" w:footer="0" w:header="0"/>
          <w:type w:val="continuous"/>
        </w:sectPr>
      </w:pPr>
    </w:p>
    <w:bookmarkStart w:id="33" w:name="page34"/>
    <w:bookmarkEnd w:id="33"/>
    <w:p>
      <w:pPr>
        <w:ind w:right="1780" w:firstLine="8"/>
        <w:spacing w:after="0" w:line="495"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definition of Business Measurement under the Operating Metrics section of our Management's Discussion and Analysis. See Note 12 - Segment Data.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2018 compared to the Three Months Ended September 30, 2017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from Nurse and Allied Staffing decreased $24.1 million, or 12.0%, to $176.3 million for the three months ended September 30, 2018, compared to $200.5 million for the three months ended September 30, 2017, predominantly due to volume declines in our travel nurse and branch operations, coupled with a further decline in travel nurse premium rates. These declines were partially offset by growth in travel allied and education healthcare staffing operations.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Contribution income from Nurse and Allied Staffing decreased $4.2 million or 20.0%, to $16.5 million for the three months ended September 30, 2018, compared to $20.7 million for the three months ended September 30, 2017, primarily due to lower volumes and, to a lesser extent, lower bill rates in our travel nurse operations. As a percentage of segment revenue, contribution income was 9.4% for the three months ended September 30, 2018, compared to 10.3% for the three months ended September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three months ended September 30, 2018 decreased 9.8% from the three months ended September 30, 2017. The average Nurse and Allied Staffing revenue per FTE per day decreased 2.5%, reflecting lower average bill rates primarily in our travel nurse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Revenue from Physician Staffing decreased $3.7 million, or 14.9%, to $21.2 million for the three months ended September 30, 2018, compared to $24.9 million for the three months ended September 30, 2017, primarily due to a lower number of days filled and, to a lesser extent, lower bill rates due to mix.</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Contribution income from Physician Staffing was $1.3 million for the three months ended September 30, 2018, consistent with the three months ended September 30, 2017. As a percentage of segment revenue, contribution income was 6.2% for the three months ended September 30, 2018, compared to 5.4% for the three months ended September 30, 2017, driven by higher gross profit margins, coupled with lower selling, general, and administrative expenses from our cost savings and efficiency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days filled were 13,375 as compared with 15,567 in the prior year. Revenue per day filled was $1,582 as compared with $1,598 in the prior year, down 1.0% due to a shift in mix between advanced practice and physician staffing.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Revenue from OHCMS increased $0.1 million, or 2.9%, to $3.2 million for the three months ended September 30, 2018, compared to $3.1 million for the three months ended September 30, 2017, primarily due to growth in executive searches, partly offset by a decline in physician searches.</w:t>
      </w:r>
    </w:p>
    <w:p>
      <w:pPr>
        <w:spacing w:after="0" w:line="14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Segment contribution income for the three months ended September 30, 2018 increased to $0.1 million, compared to essentially breakeven for the three months ended September 30, 2017, driven by revenue growth, coupled with lower selling, general, and administrative expenses resulting from our cost savings and efficiency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$10.9 million for the three months ended September 30, 2018 and $9.3 million for the three months ended September 30, 2017. As a percentage of consolidated revenue,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unallocated corporate overhead was 5.4% for the three months ended September 30, 2018 and 4.1% for the three months ended September 30, 2017.</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2018 compared to the Nine Months Ended September 30, 2017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Revenue from Nurse and Allied Staffing decreased $23.7 million, or 4.2%, to $540.8 million for the nine months ended September 30, 2018, compared to</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$564.5 million for the nine months ended September 30, 2017, predominantly due to volume declines in our travel nurse and branch operations, coupled with a further decline in travel nurse premium rates. These declines were partially offset by the impact of the Advantage acquisition. Excluding the Advantage acquisition, revenue decreased $56.8 million, or 10.5%, primarily driven by volume.</w:t>
      </w:r>
    </w:p>
    <w:p>
      <w:pPr>
        <w:spacing w:after="0" w:line="19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Contribution income from Nurse and Allied Staffing decreased $4.2 million or 7.8%, to $50.2 million for the nine months ended September 30, 2018, compared to $54.4 million for the nine months ended September 30, 2017, primarily due to lower volumes in our travel nurse and branch operations businesses, partly offset by lower selling, general and administrative expense due to our cost savings and efficiency initiatives. As a percentage of segment revenue, contribution income was 9.3% for the nine months ended September 30, 2018, compared to 9.6% for the nine months ended September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nine months ended September 30, 2018 decreased 2.3% from the nine months ended September 30, 2017. The average Nurse and Allied Staffing revenue per FTE per day decreased 1.8%, reflecting lower average bill rates, primarily in our travel nurse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from Physician Staffing decreased $7.0 million, or 9.9%, to $64.1 million for the nine months ended September 30, 2018, compared to $71.1 million for the nine months ended September 30, 2017, primarily due to a lower number of days filled, coupled with lower bill rates due to mix.</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Contribution income from Physician Staffing was $4.2 million for the nine months ended September 30, 2018, consistent with the nine months ended September 30, 2017. As a percentage of segment revenue, contribution income was 6.5% for the nine months ended September 30, 2018, compared to 5.9% for the nine months ended September 30, 2017, reflecting lower selling, general, and administrative expenses from our cost savings and efficiency initiatives.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days filled were 41,611 as compared with 45,823 in the prior year. Revenue per day filled was $1,539 as compared with $1,551 in the prior year, down 0.8% due to a shift in mix between advanced practice and physician staffing.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from OHCMS increased $0.9 million, or 9.7%, to $10.7 million for the nine months ended September 30, 2018, compared to $9.8 million for the nine months ended September 30, 2017, primarily due to growth in executive searches.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Segment contribution income for the nine months ended September 30, 2018 increased to $0.7 million, compared to a loss of $0.2 million for the nine months ended September 30, 2017, driven by revenue growth, coupled with lower expenses resulting in improved operating leverage in the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$32.4 million for the nine months ended September 30, 2018, compared to $30.4 million for the nine months ended September 30, 2017. As a percentage of consolidated revenue, unallocated corporate overhead was 5.3% for the nine months ended September 30, 2018 and 4.7% for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At September 30, 2018, we had $28.1 million in cash and cash equivalents and $91.3 million of Term Loan outstanding, at par. Working capital was $114.3 million as of September 30, 2018 consistent with December 31, 2017. Our net days' sales outstanding (DSO), which excludes amounts owed to subcontractors, increased 3 days to 61 days as of September 30, 2018, compared to 58 days as of December 31, 2017.</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 In the third quarter of 2018, we launched a new initiative to replace our front-end system which supports our legacy travel nurse staffing operations. We anticipate the system replacement to be completed by mid-2020 and the total cost to range between $10 million and $12 million, of which we expect approximately three quarters of the costs to be capitalized and/or deferred. Operating cash flows and cash on hand, along with amounts available under our revolving credit facility, should be sufficient to meet these needs during the next twelve months.</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provided by operating activities was $21.8 million in the nine months ended September 30, 2018, compared to $28.7 million in the nine months ended September 30, 2017, primarily due to lower revenue and collections, partly offset by the timing of payments.</w:t>
      </w:r>
    </w:p>
    <w:p>
      <w:pPr>
        <w:spacing w:after="0" w:line="170"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Net cash used in investing activities was $3.6 million in the nine months ended September 30, 2018, compared to $90.3 million in the nine months ended September 30, 2017. The primary use for cash in the nine months ended September 30, 2017 was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Advantage acquisition. In both periods, cash used also includes capital expenditures and acquisition-related settlements.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used in financing activities during the nine months ended September 30, 2018 was $15.6 million, compared to net cash provided by financing activities of $51.7 million during the nine months ended September 30, 2017. During the nine months ended September 30, 2018, we used cash to repurchase $5.0 million in shares of Common Stock, repay $8.8 million on our Term Loan (including an optional prepayment of $5.0 million), and pay $1.8 million for other financing activities. During the nine months ended September 30, 2017, we repaid our Convertible Notes with a partial cash payment of $5.0 million and paid $0.6 million in related extinguishment fees. We also funded the acquisition of Advantage using our Credit Facility and subsequently refinanced, resulting in net borrowings of $68.5 million on the Credit Facility ($62.0 million in Term Loans and $6.5 million on the Revolving Credit Facility which was subsequently repaid) and debt issuance costs of $0.9 million. In addition, we used cash to reduce the principal amount of our term debt by $1.5 million, and to pay $2.3 million for other financing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more fully described in Note 8 - Debt to our condensed consolidated financial statements, our Amended and Restated Credit Agreement, entered into on August 1, 2017, provides us with a $215.0 million committed facility, including a term loan of $100.0 million (Amended Term Loan) and a $115.0 million revolving credit facility (Amended Revolving Credit Facility) (together with the Amended Term Loan, the Amended Credit Facilities). As of September 30, 2018, the Applicable Margin, as defined in the Amended and Restated Credit Agreement, was 2.50% for Eurodollar Loans and LIBOR Index Rate Loans and 1.50% for Base Rate Loans. As of September 30, 2018, we had $91.3 million remaining on the Amended Term Loan and $20.6 million in letters of credit outstanding, leaving $94.4 million available under the Amended Revolving Credit Facility.</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October 30, 2018, we entered into an amendment to our Amended and Restated Credit Agreement that increases the maximum Consolidated Total Leverage Ratio covenant by 0.50:1.00 from September 30, 2018 through September 30, 2019, and by 0.25:1.00 for the period ended December 31, 2019, modifies the definition of Consolidated EBITDA to allow for the exclusion of charges related to an initiative to replace our front-end system supporting our legacy travel nurse operations, and also provides for a less restrictive pro forma Consolidated Total Leverage Ratio threshold for restricted payments. We believe this provides us with the ability to continue to execute our strategy to grow the business.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inception of the Convertible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8 - Debt to our condensed consolidated financial statement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our Amended Term Loan,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September 30, 2018, we are in compliance with the financial covenants and other covenants contained in the Credit Agreement.</w:t>
      </w:r>
    </w:p>
    <w:p>
      <w:pPr>
        <w:jc w:val="both"/>
        <w:ind w:left="660" w:right="22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October 1, 2018 applicable LIBOR and margin rate totaling 4.8% on approximately 50% of the Term Loan balance, and a fixed interest rate of 5.1% on the other approximately 50% of the Term Loan balance, taking into account the interest rate swap. See Note 9 - Derivative.</w:t>
      </w:r>
    </w:p>
    <w:p>
      <w:pPr>
        <w:spacing w:after="0" w:line="1"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acquisition, including accretion. See Note 4 - Acquisitions to our condensed consolidated financial statements.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13 -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2017, filed with the SEC, other than the adoption of ASU No. 2014-09, </w:t>
      </w:r>
      <w:r>
        <w:rPr>
          <w:rFonts w:ascii="Arial" w:cs="Arial" w:eastAsia="Arial" w:hAnsi="Arial"/>
          <w:sz w:val="18"/>
          <w:szCs w:val="18"/>
          <w:i w:val="1"/>
          <w:iCs w:val="1"/>
          <w:color w:val="auto"/>
        </w:rPr>
        <w:t>Revenue from Contracts with</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0"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 discussed in Note 2 - Summary of Significant Accounting Policies to our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interest rate changes, primarily as a result of our revolving loan and term loans under our Credit Agreement, which bears interest based on floating rates. Refer to Liquidity and Capital Resources - Credit Agreement included in Item 2. Management’s Discussion and Analysis above for further discussion about our Credit Agreement and related interest rate swap effective beginning in the second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2017.</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584"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38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February 2008, our Board of Directors authorized its most recent stock repurchase program whereby we may purchase up to an additional 1.5 million shares of our common stock, subject to the terms of our current credit agreement. The shares may be repurchased from time-to-time in the open market and the repurchase program may be discontinued at any time at our discretion.</w:t>
      </w:r>
    </w:p>
    <w:p>
      <w:pPr>
        <w:spacing w:after="0" w:line="1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three months ended September 30, 2018, we purchased, under this program, a total of 32,983 shares at an average price of $9.08 per share. A summary of the repurchase activity for the period covered by this report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of Shares that</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Total 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Paid per 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542,987</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August 1 - August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32,983</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510,004</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510,004</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July 1 - September 30,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32,983</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510,004</w:t>
            </w: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78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First Amendment to Amended and Restated Credit Agreement, dated October 30, 2018, by and among Cross Country Healthcare, Inc.</w:t>
              </w:r>
            </w:hyperlink>
          </w:p>
        </w:tc>
        <w:tc>
          <w:tcPr>
            <w:tcW w:w="10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FF"/>
                <w:w w:val="97"/>
              </w:rPr>
            </w:pPr>
            <w:hyperlink w:anchor="page42">
              <w:r>
                <w:rPr>
                  <w:rFonts w:ascii="Arial" w:cs="Arial" w:eastAsia="Arial" w:hAnsi="Arial"/>
                  <w:sz w:val="18"/>
                  <w:szCs w:val="18"/>
                  <w:color w:val="0000FF"/>
                  <w:w w:val="97"/>
                </w:rPr>
                <w:t>as borrower, certain of its domestic subsidiaries as guarantors, the Lenders referenced therein, and SunTrust Bank, as agent.</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10.1 #</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8"/>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Amendment to Employment Agreement, dated September 10, 2018, by and between Cross Country Healthcare, Inc. and William J.</w:t>
              </w:r>
            </w:hyperlink>
          </w:p>
        </w:tc>
        <w:tc>
          <w:tcPr>
            <w:tcW w:w="3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Grubbs (Previously filed as an exhibit to the Company's Form 8-K dated September 10, 2018 and incorporated by reference herein)</w:t>
              </w:r>
            </w:hyperlink>
          </w:p>
        </w:tc>
        <w:tc>
          <w:tcPr>
            <w:tcW w:w="300" w:type="dxa"/>
            <w:vAlign w:val="bottom"/>
            <w:gridSpan w:val="3"/>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FF"/>
                <w:w w:val="97"/>
              </w:rPr>
            </w:pPr>
            <w:hyperlink w:anchor="page62">
              <w:r>
                <w:rPr>
                  <w:rFonts w:ascii="Arial" w:cs="Arial" w:eastAsia="Arial" w:hAnsi="Arial"/>
                  <w:sz w:val="18"/>
                  <w:szCs w:val="18"/>
                  <w:color w:val="0000FF"/>
                  <w:w w:val="97"/>
                </w:rPr>
                <w:t>Certification pursuant to Rule 13a-14(a) and Rule 15d-14 (a) by William J. Grubbs, President, Chief Executive Officer, Director</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62">
              <w:r>
                <w:rPr>
                  <w:rFonts w:ascii="Arial" w:cs="Arial" w:eastAsia="Arial" w:hAnsi="Arial"/>
                  <w:sz w:val="18"/>
                  <w:szCs w:val="18"/>
                  <w:color w:val="0000FF"/>
                  <w:w w:val="93"/>
                </w:rPr>
                <w:t>(Principal Executive Officer)</w:t>
              </w:r>
            </w:hyperlink>
          </w:p>
        </w:tc>
        <w:tc>
          <w:tcPr>
            <w:tcW w:w="7120" w:type="dxa"/>
            <w:vAlign w:val="bottom"/>
            <w:tcBorders>
              <w:top w:val="single" w:sz="8" w:color="0000FF"/>
            </w:tcBorders>
            <w:gridSpan w:val="5"/>
          </w:tcPr>
          <w:p>
            <w:pPr>
              <w:spacing w:after="0"/>
              <w:rPr>
                <w:sz w:val="17"/>
                <w:szCs w:val="17"/>
                <w:color w:val="auto"/>
              </w:rPr>
            </w:pPr>
          </w:p>
        </w:tc>
        <w:tc>
          <w:tcPr>
            <w:tcW w:w="560" w:type="dxa"/>
            <w:vAlign w:val="bottom"/>
            <w:gridSpan w:val="5"/>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Certification pursuant to Rule 13a-14(a) and Rule 15d-14 (a) by Christopher R. Pizzi, SVP &amp; Chief Financial Officer (Principal</w:t>
              </w:r>
            </w:hyperlink>
          </w:p>
        </w:tc>
        <w:tc>
          <w:tcPr>
            <w:tcW w:w="58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Accounting and Financial Officer)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2"/>
          </w:tcPr>
          <w:p>
            <w:pPr>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Certification pursuant to 18 U.S.C. Section 1350 by William J. Grubbs, President, Chief Executive Officer, Director (Principal</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Executive Officer)</w:t>
              </w:r>
            </w:hyperlink>
          </w:p>
        </w:tc>
        <w:tc>
          <w:tcPr>
            <w:tcW w:w="68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Certification pursuant to 18 U.S.C. Section 1350 by Christopher R. Pizzi, SVP &amp; Chief Financial Officer (Principal Accounting and</w:t>
              </w:r>
            </w:hyperlink>
          </w:p>
        </w:tc>
        <w:tc>
          <w:tcPr>
            <w:tcW w:w="2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5"/>
              </w:rPr>
            </w:pPr>
            <w:hyperlink w:anchor="page65">
              <w:r>
                <w:rPr>
                  <w:rFonts w:ascii="Arial" w:cs="Arial" w:eastAsia="Arial" w:hAnsi="Arial"/>
                  <w:sz w:val="18"/>
                  <w:szCs w:val="18"/>
                  <w:color w:val="0000FF"/>
                  <w:w w:val="95"/>
                </w:rPr>
                <w:t>Financial Officer)</w:t>
              </w:r>
            </w:hyperlink>
          </w:p>
        </w:tc>
        <w:tc>
          <w:tcPr>
            <w:tcW w:w="8440" w:type="dxa"/>
            <w:vAlign w:val="bottom"/>
            <w:gridSpan w:val="11"/>
          </w:tcPr>
          <w:p>
            <w:pPr>
              <w:spacing w:after="0"/>
              <w:rPr>
                <w:sz w:val="17"/>
                <w:szCs w:val="17"/>
                <w:color w:val="auto"/>
              </w:rPr>
            </w:pPr>
          </w:p>
        </w:tc>
      </w:tr>
      <w:tr>
        <w:trPr>
          <w:trHeight w:val="41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rPr>
              <w:t>Furnished herewith</w:t>
            </w:r>
          </w:p>
        </w:tc>
      </w:tr>
      <w:tr>
        <w:trPr>
          <w:trHeight w:val="918"/>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5"/>
          </w:tcPr>
          <w:p>
            <w:pPr>
              <w:jc w:val="right"/>
              <w:ind w:right="47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SVP &amp; Chief Financial Officer (Principal Accounting and Financial</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580"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 TO AMENDED AND RESTATED CREDIT AGREEMENT</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FIRST AMENDMENT TO AMENDED AND RESTATED CREDIT AGREEMENT, dated as of October 30, 2018 (this “</w:t>
      </w:r>
      <w:r>
        <w:rPr>
          <w:rFonts w:ascii="Arial" w:cs="Arial" w:eastAsia="Arial" w:hAnsi="Arial"/>
          <w:sz w:val="18"/>
          <w:szCs w:val="18"/>
          <w:u w:val="single" w:color="auto"/>
          <w:color w:val="auto"/>
        </w:rPr>
        <w:t>Amendment</w:t>
      </w:r>
      <w:r>
        <w:rPr>
          <w:rFonts w:ascii="Arial" w:cs="Arial" w:eastAsia="Arial" w:hAnsi="Arial"/>
          <w:sz w:val="18"/>
          <w:szCs w:val="18"/>
          <w:color w:val="auto"/>
        </w:rPr>
        <w:t>”), is by and among CROSS COUNTRY HEALTHCARE,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party hereto, the Lenders party hereto and SunTrust Bank, in its capacities as Administrative Agent, Swingline Lender and Issuing Bank.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Guarantors from time to time party thereto, the Lenders from time to time party thereto and the Administrative Agent are parties to that certain Amended and Restated Credit Agreement, dated as of August 1, 2017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has requested that the Lenders make certain modifications to the Credit Agreement; and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Lenders have agreed to provide such requested amendments, subject to the terms and conditions herein;</w:t>
      </w:r>
    </w:p>
    <w:p>
      <w:pPr>
        <w:spacing w:after="0" w:line="2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agreements contained herein, and for other good and valuable consideration, the receipt and sufficiency of which is hereby acknowledged, the parties hereto agree as follows:</w:t>
      </w:r>
    </w:p>
    <w:p>
      <w:pPr>
        <w:spacing w:after="0" w:line="190" w:lineRule="exact"/>
        <w:rPr>
          <w:sz w:val="20"/>
          <w:szCs w:val="20"/>
          <w:color w:val="auto"/>
        </w:rPr>
      </w:pPr>
    </w:p>
    <w:p>
      <w:pPr>
        <w:ind w:firstLine="656"/>
        <w:spacing w:after="0" w:line="260" w:lineRule="auto"/>
        <w:tabs>
          <w:tab w:leader="none" w:pos="1008"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Introductory Paragraph and Recitals</w:t>
      </w:r>
      <w:r>
        <w:rPr>
          <w:rFonts w:ascii="Arial" w:cs="Arial" w:eastAsia="Arial" w:hAnsi="Arial"/>
          <w:sz w:val="20"/>
          <w:szCs w:val="20"/>
          <w:color w:val="auto"/>
        </w:rPr>
        <w:t>. The above introductory paragraph and recitals of this Amendment are incorporated herein by reference as if fully set forth herein.</w:t>
      </w:r>
    </w:p>
    <w:p>
      <w:pPr>
        <w:spacing w:after="0" w:line="190" w:lineRule="exact"/>
        <w:rPr>
          <w:rFonts w:ascii="Arial" w:cs="Arial" w:eastAsia="Arial" w:hAnsi="Arial"/>
          <w:sz w:val="20"/>
          <w:szCs w:val="20"/>
          <w:color w:val="auto"/>
        </w:rPr>
      </w:pPr>
    </w:p>
    <w:p>
      <w:pPr>
        <w:ind w:right="20" w:firstLine="656"/>
        <w:spacing w:after="0" w:line="260" w:lineRule="auto"/>
        <w:tabs>
          <w:tab w:leader="none" w:pos="111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herein (including in the recitals hereof) and not otherwise defined herein shall have the meanings provided in the Credit Agreement.</w:t>
      </w:r>
    </w:p>
    <w:p>
      <w:pPr>
        <w:spacing w:after="0" w:line="190" w:lineRule="exact"/>
        <w:rPr>
          <w:rFonts w:ascii="Arial" w:cs="Arial" w:eastAsia="Arial" w:hAnsi="Arial"/>
          <w:sz w:val="20"/>
          <w:szCs w:val="20"/>
          <w:color w:val="auto"/>
        </w:rPr>
      </w:pPr>
    </w:p>
    <w:p>
      <w:pPr>
        <w:ind w:left="1000" w:hanging="344"/>
        <w:spacing w:after="0"/>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820" w:hanging="515"/>
        <w:spacing w:after="0"/>
        <w:tabs>
          <w:tab w:leader="none" w:pos="1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 1.1 of the Credit Agreement is amended to include the following new definitions in appropriate alphabetical</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order:</w:t>
      </w:r>
    </w:p>
    <w:p>
      <w:pPr>
        <w:spacing w:after="0" w:line="200"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shall mean a certification regarding beneficial ownership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shall mean 31 C.F.R. § 1010.230.</w:t>
      </w:r>
    </w:p>
    <w:p>
      <w:pPr>
        <w:spacing w:after="0" w:line="2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shall mean that certain First Amendment to Amended and Restated Credit Agreement dated as of October 30, 2018 by and among the Loan Parties, the Lenders party thereto and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shall mean October 30, 2018.</w:t>
      </w:r>
    </w:p>
    <w:p>
      <w:pPr>
        <w:spacing w:after="0" w:line="2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shall mean a prohibited transaction class exemption issued by the U.S. Department of Labor, as any such exemption may be amended from time to time.</w:t>
      </w:r>
    </w:p>
    <w:p>
      <w:pPr>
        <w:sectPr>
          <w:pgSz w:w="11900" w:h="16838" w:orient="portrait"/>
          <w:cols w:equalWidth="0" w:num="1">
            <w:col w:w="11420"/>
          </w:cols>
          <w:pgMar w:left="240" w:top="125" w:right="239" w:bottom="1440" w:gutter="0" w:footer="0" w:header="0"/>
        </w:sectPr>
      </w:pPr>
    </w:p>
    <w:bookmarkStart w:id="42" w:name="page43"/>
    <w:bookmarkEnd w:id="42"/>
    <w:p>
      <w:pPr>
        <w:ind w:left="660" w:firstLine="645"/>
        <w:spacing w:after="0" w:line="260" w:lineRule="auto"/>
        <w:tabs>
          <w:tab w:leader="none" w:pos="175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following definitions in Section 1.1 of the Credit Agreement are amended and restated in their entirety, respectively, to read as follows:</w:t>
      </w:r>
    </w:p>
    <w:p>
      <w:pPr>
        <w:spacing w:after="0" w:line="177"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shall mean, for the Borrower and its Subsidiaries for any period, determined on a consolidated basis, an amount equal to the sum of (a) Consolidated Net Income for such period (excluding gains and losses from any sale of assets, other than sales of inventory in the ordinary course of business)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to the extent deducted in determining Consolidated Net Income for such period, without duplication, (i) Consolidated Interest Expense for such period, (ii) income tax expense for such period, (iii) depreciation and amortization for such period, (iv) non-cash charges (or minus non-cash gains), including non-cash charges with respect to asset impairment, stock based compensation, adjustments of contingent consideration liabilities (including, but not limited to, adjustments made at the time of payment) and losses on derivatives (other than the write-down of current assets) for such period, (v) fees and expenses in connection with Permitted Acquisitions, permitted issuances of Indebtedness or equity securities and Asset Sales,</w:t>
      </w:r>
    </w:p>
    <w:p>
      <w:pPr>
        <w:spacing w:after="0" w:line="1" w:lineRule="exact"/>
        <w:rPr>
          <w:sz w:val="20"/>
          <w:szCs w:val="20"/>
          <w:color w:val="auto"/>
        </w:rPr>
      </w:pPr>
    </w:p>
    <w:p>
      <w:pPr>
        <w:jc w:val="both"/>
        <w:ind w:left="660" w:hanging="4"/>
        <w:spacing w:after="0" w:line="266" w:lineRule="auto"/>
        <w:tabs>
          <w:tab w:leader="none" w:pos="10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cash charges with respect to the IRIS IT travel nursing system incurred on or before June 30, 2020 and (vii) all fees and expenses incurred in connection with the First Amendment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integration and restructuring costs, cost savings and synergies that are supported by quality of earnings reports or other reports in form and substance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event, the aggregate amount added back pursuant to </w:t>
      </w:r>
      <w:r>
        <w:rPr>
          <w:rFonts w:ascii="Arial" w:cs="Arial" w:eastAsia="Arial" w:hAnsi="Arial"/>
          <w:sz w:val="18"/>
          <w:szCs w:val="18"/>
          <w:u w:val="single" w:color="auto"/>
          <w:color w:val="auto"/>
        </w:rPr>
        <w:t>clauses (b)(v)</w:t>
      </w:r>
      <w:r>
        <w:rPr>
          <w:rFonts w:ascii="Arial" w:cs="Arial" w:eastAsia="Arial" w:hAnsi="Arial"/>
          <w:sz w:val="18"/>
          <w:szCs w:val="18"/>
          <w:color w:val="auto"/>
        </w:rPr>
        <w:t xml:space="preserve">, </w:t>
      </w:r>
      <w:r>
        <w:rPr>
          <w:rFonts w:ascii="Arial" w:cs="Arial" w:eastAsia="Arial" w:hAnsi="Arial"/>
          <w:sz w:val="18"/>
          <w:szCs w:val="18"/>
          <w:u w:val="single" w:color="auto"/>
          <w:color w:val="auto"/>
        </w:rPr>
        <w:t>(b)(vi)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shall not exceed (i) for all charges incurred on or prior to the Effective Date, $3,500,000 and (ii) for all charges after the Effective Date, an amount equal to the greater of (A) five percent (5.0%) of Consolidated EBITDA for such period (determined prior to giving effect to such add-backs) and</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 $4,000,000.</w:t>
      </w:r>
    </w:p>
    <w:p>
      <w:pPr>
        <w:spacing w:after="0" w:line="213"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xml:space="preserve">” shall mean, for the Borrower and its Subsidiaries for any period, the sum, without duplication, of (a) Consolidated Interest Expense paid in cash for such period and (b) scheduled principal payments made on Consolidated Total Debt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Consolidated Fixed Charges as used in calculation of the Consolidated Fixed Charge Coverage Ratio, the impact of any voluntary prepayments in reducing the amount of scheduled principal payments made on Consolidated Total Debt during any period shall be disregarded (other than any such voluntary prepayments made on or prior to December 31, 2018, the impact of which in reducing the amount of scheduled principal payments shall be taken into account for purposes of calculation of Consolidated Fixed Charges and the Consolidated Fixed Charge Coverage Ratio).</w:t>
      </w:r>
    </w:p>
    <w:p>
      <w:pPr>
        <w:spacing w:after="0" w:line="183" w:lineRule="exact"/>
        <w:rPr>
          <w:sz w:val="20"/>
          <w:szCs w:val="20"/>
          <w:color w:val="auto"/>
        </w:rPr>
      </w:pPr>
    </w:p>
    <w:p>
      <w:pPr>
        <w:jc w:val="both"/>
        <w:ind w:left="660" w:firstLine="645"/>
        <w:spacing w:after="0" w:line="250" w:lineRule="auto"/>
        <w:tabs>
          <w:tab w:leader="none" w:pos="1731"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definition of “Asset Sale” in Section 1.1 of the Credit Agreement is amended by inserting the text “and including any disposition of property to any division or allocation of a limited liability company” immediately following the text “claims associated therewith”.</w:t>
      </w:r>
    </w:p>
    <w:p>
      <w:pPr>
        <w:spacing w:after="0" w:line="186" w:lineRule="exact"/>
        <w:rPr>
          <w:rFonts w:ascii="Arial" w:cs="Arial" w:eastAsia="Arial" w:hAnsi="Arial"/>
          <w:sz w:val="20"/>
          <w:szCs w:val="20"/>
          <w:color w:val="auto"/>
        </w:rPr>
      </w:pPr>
    </w:p>
    <w:p>
      <w:pPr>
        <w:jc w:val="both"/>
        <w:ind w:left="660" w:firstLine="645"/>
        <w:spacing w:after="0" w:line="243" w:lineRule="auto"/>
        <w:tabs>
          <w:tab w:leader="none" w:pos="1872"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1.4 of the Credit Agreement is amended by inserting the text “Any reference herein to a merger, transfer, consolidation, amalgamation, assignment, sale or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immediately after the final sentence therein.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811" w:right="239" w:bottom="1440" w:gutter="0" w:footer="0" w:header="0"/>
        </w:sectPr>
      </w:pPr>
    </w:p>
    <w:bookmarkStart w:id="43" w:name="page44"/>
    <w:bookmarkEnd w:id="43"/>
    <w:p>
      <w:pPr>
        <w:ind w:left="660" w:firstLine="645"/>
        <w:spacing w:after="0" w:line="260" w:lineRule="auto"/>
        <w:tabs>
          <w:tab w:leader="none" w:pos="1796"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Section 4.13 of the Credit Agreement is amended by (i) inserting the text “(a)” immediately prior to the first sentence therein and (ii) inserting a new clause (b) to read as follows:</w:t>
      </w:r>
    </w:p>
    <w:p>
      <w:pPr>
        <w:spacing w:after="0" w:line="176" w:lineRule="exact"/>
        <w:rPr>
          <w:rFonts w:ascii="Arial" w:cs="Arial" w:eastAsia="Arial" w:hAnsi="Arial"/>
          <w:sz w:val="20"/>
          <w:szCs w:val="20"/>
          <w:color w:val="auto"/>
        </w:rPr>
      </w:pPr>
    </w:p>
    <w:p>
      <w:pPr>
        <w:ind w:left="1300" w:firstLine="653"/>
        <w:spacing w:after="0" w:line="260" w:lineRule="auto"/>
        <w:tabs>
          <w:tab w:leader="none" w:pos="2392" w:val="left"/>
        </w:tabs>
        <w:numPr>
          <w:ilvl w:val="1"/>
          <w:numId w:val="20"/>
        </w:numPr>
        <w:rPr>
          <w:rFonts w:ascii="Arial" w:cs="Arial" w:eastAsia="Arial" w:hAnsi="Arial"/>
          <w:sz w:val="20"/>
          <w:szCs w:val="20"/>
          <w:color w:val="auto"/>
        </w:rPr>
      </w:pPr>
      <w:r>
        <w:rPr>
          <w:rFonts w:ascii="Arial" w:cs="Arial" w:eastAsia="Arial" w:hAnsi="Arial"/>
          <w:sz w:val="20"/>
          <w:szCs w:val="20"/>
          <w:color w:val="auto"/>
        </w:rPr>
        <w:t>As of the First Amendment Effective Date, the information included in the Beneficial Ownership Certification is true and correct in all respects.</w:t>
      </w:r>
    </w:p>
    <w:p>
      <w:pPr>
        <w:spacing w:after="0" w:line="190" w:lineRule="exact"/>
        <w:rPr>
          <w:rFonts w:ascii="Arial" w:cs="Arial" w:eastAsia="Arial" w:hAnsi="Arial"/>
          <w:sz w:val="20"/>
          <w:szCs w:val="20"/>
          <w:color w:val="auto"/>
        </w:rPr>
      </w:pPr>
    </w:p>
    <w:p>
      <w:pPr>
        <w:ind w:left="660" w:right="20" w:firstLine="645"/>
        <w:spacing w:after="0" w:line="287" w:lineRule="auto"/>
        <w:tabs>
          <w:tab w:leader="none" w:pos="1739"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Section 5.2 of the Credit Agreement is amended by (i) deleting the text “and” in clause (f) therein, (ii) replacing the text “(g)” with the text “(h)” and (iii) inserting a new clause (g) immediately prior to clause (h) to read as follows:</w:t>
      </w:r>
    </w:p>
    <w:p>
      <w:pPr>
        <w:spacing w:after="0" w:line="166" w:lineRule="exact"/>
        <w:rPr>
          <w:rFonts w:ascii="Arial" w:cs="Arial" w:eastAsia="Arial" w:hAnsi="Arial"/>
          <w:sz w:val="19"/>
          <w:szCs w:val="19"/>
          <w:color w:val="auto"/>
        </w:rPr>
      </w:pPr>
    </w:p>
    <w:p>
      <w:pPr>
        <w:ind w:left="1300" w:right="20" w:firstLine="653"/>
        <w:spacing w:after="0" w:line="260" w:lineRule="auto"/>
        <w:tabs>
          <w:tab w:leader="none" w:pos="2385"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that would result in a change to the list of beneficial owners identified in parts (c) or (d) of such certification; and</w:t>
      </w:r>
    </w:p>
    <w:p>
      <w:pPr>
        <w:spacing w:after="0" w:line="190" w:lineRule="exact"/>
        <w:rPr>
          <w:rFonts w:ascii="Arial" w:cs="Arial" w:eastAsia="Arial" w:hAnsi="Arial"/>
          <w:sz w:val="20"/>
          <w:szCs w:val="20"/>
          <w:color w:val="auto"/>
        </w:rPr>
      </w:pPr>
    </w:p>
    <w:p>
      <w:pPr>
        <w:jc w:val="both"/>
        <w:ind w:left="660" w:firstLine="645"/>
        <w:spacing w:after="0" w:line="250" w:lineRule="auto"/>
        <w:tabs>
          <w:tab w:leader="none" w:pos="1747"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Section 5.10 of the Credit Agreement is amended by inserting the text “(including, without limitation, upon the formation of any Subsidiary resulting from the division or allocation of any limited liability company),” immediately after the first instance of the text “Effective Date” therein.</w:t>
      </w:r>
    </w:p>
    <w:p>
      <w:pPr>
        <w:spacing w:after="0" w:line="199" w:lineRule="exact"/>
        <w:rPr>
          <w:rFonts w:ascii="Arial" w:cs="Arial" w:eastAsia="Arial" w:hAnsi="Arial"/>
          <w:sz w:val="20"/>
          <w:szCs w:val="20"/>
          <w:color w:val="auto"/>
        </w:rPr>
      </w:pPr>
    </w:p>
    <w:p>
      <w:pPr>
        <w:ind w:left="660" w:firstLine="645"/>
        <w:spacing w:after="0" w:line="316" w:lineRule="auto"/>
        <w:tabs>
          <w:tab w:leader="none" w:pos="18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5.11(a) of the Credit Agreement is amended by replacing the text “(other than CCTag)” therein with the text “(other than CCTag but including, without limitation, each Subsidiary formed as a result of a division of a limited liability company)”.</w:t>
      </w:r>
    </w:p>
    <w:p>
      <w:pPr>
        <w:spacing w:after="0" w:line="143" w:lineRule="exact"/>
        <w:rPr>
          <w:rFonts w:ascii="Arial" w:cs="Arial" w:eastAsia="Arial" w:hAnsi="Arial"/>
          <w:sz w:val="18"/>
          <w:szCs w:val="18"/>
          <w:color w:val="auto"/>
        </w:rPr>
      </w:pPr>
    </w:p>
    <w:p>
      <w:pPr>
        <w:jc w:val="both"/>
        <w:ind w:left="660" w:firstLine="645"/>
        <w:spacing w:after="0" w:line="250" w:lineRule="auto"/>
        <w:tabs>
          <w:tab w:leader="none" w:pos="1861"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Section 5.11(d) of the Credit Agreement is amended by inserting the text “and including, without limitation, any acquisition resulting from the division or allocation of any limited liability company” immediately following the text “or an existing lease is renewed or extended”.</w:t>
      </w:r>
    </w:p>
    <w:p>
      <w:pPr>
        <w:spacing w:after="0" w:line="199" w:lineRule="exact"/>
        <w:rPr>
          <w:rFonts w:ascii="Arial" w:cs="Arial" w:eastAsia="Arial" w:hAnsi="Arial"/>
          <w:sz w:val="20"/>
          <w:szCs w:val="20"/>
          <w:color w:val="auto"/>
        </w:rPr>
      </w:pPr>
    </w:p>
    <w:p>
      <w:pPr>
        <w:ind w:left="660" w:right="20" w:firstLine="645"/>
        <w:spacing w:after="0" w:line="316" w:lineRule="auto"/>
        <w:tabs>
          <w:tab w:leader="none" w:pos="17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5.11(e) of the Credit Agreement is amended by inserting the text “(including, without limitation, any acquisition resulting from the division or allocation of any limited liability company)” immediately after the text “acquired by a Loan Party”.</w:t>
      </w:r>
    </w:p>
    <w:p>
      <w:pPr>
        <w:spacing w:after="0" w:line="143" w:lineRule="exact"/>
        <w:rPr>
          <w:rFonts w:ascii="Arial" w:cs="Arial" w:eastAsia="Arial" w:hAnsi="Arial"/>
          <w:sz w:val="18"/>
          <w:szCs w:val="18"/>
          <w:color w:val="auto"/>
        </w:rPr>
      </w:pPr>
    </w:p>
    <w:p>
      <w:pPr>
        <w:ind w:left="660" w:firstLine="645"/>
        <w:spacing w:after="0" w:line="260" w:lineRule="auto"/>
        <w:tabs>
          <w:tab w:leader="none" w:pos="175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portion of Section 6.1 of the Credit Agreement immediately prior to the first proviso therein is amended and restated in its entirety to read as follows:</w:t>
      </w:r>
    </w:p>
    <w:p>
      <w:pPr>
        <w:spacing w:after="0" w:line="190"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Consolidated Total Leverage Ratio</w:t>
      </w:r>
      <w:r>
        <w:rPr>
          <w:rFonts w:ascii="Arial" w:cs="Arial" w:eastAsia="Arial" w:hAnsi="Arial"/>
          <w:sz w:val="20"/>
          <w:szCs w:val="20"/>
          <w:color w:val="auto"/>
        </w:rPr>
        <w:t>. Permit the Consolidated Total Leverage Ratio as of the end of each Fiscal Quarter, commencing with the Fiscal Quarter ending September 30, 2017, to be greater than (a) for each Fiscal Quarter ending from September 30, 2017 through and including June 30, 2018, 3.50:1.00, (b) for each Fiscal Quarter ending September 30, 2018 through and including June 30, 2019, 3.75:1.00, (c) for the Fiscal Quarter ending September 30, 2019, 3.50:1.00, (d) for the Fiscal Quarter ending December 31, 2019, 3.25:1.00 and (e) for the Fiscal Quarter ending March 31, 2020 and each Fiscal Quarter ending thereafter, 3.00:1.00;</w:t>
      </w:r>
    </w:p>
    <w:p>
      <w:pPr>
        <w:spacing w:after="0" w:line="196" w:lineRule="exact"/>
        <w:rPr>
          <w:sz w:val="20"/>
          <w:szCs w:val="20"/>
          <w:color w:val="auto"/>
        </w:rPr>
      </w:pPr>
    </w:p>
    <w:p>
      <w:pPr>
        <w:ind w:left="660" w:firstLine="645"/>
        <w:spacing w:after="0" w:line="260" w:lineRule="auto"/>
        <w:tabs>
          <w:tab w:leader="none" w:pos="1713"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Section 7.3 of the Credit Agreement is amended by inserting the text “(including, in each case, pursuant to a division of a limited liability company)” immediately after the text “or liquidate or dissolve”.</w:t>
      </w:r>
    </w:p>
    <w:p>
      <w:pPr>
        <w:spacing w:after="0" w:line="190" w:lineRule="exact"/>
        <w:rPr>
          <w:rFonts w:ascii="Arial" w:cs="Arial" w:eastAsia="Arial" w:hAnsi="Arial"/>
          <w:sz w:val="20"/>
          <w:szCs w:val="20"/>
          <w:color w:val="auto"/>
        </w:rPr>
      </w:pPr>
    </w:p>
    <w:p>
      <w:pPr>
        <w:ind w:left="1780" w:hanging="475"/>
        <w:spacing w:after="0"/>
        <w:tabs>
          <w:tab w:leader="none" w:pos="17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Section 7.5(d)(ii)(B) of the Credit Agreement is amended in its entirety to read as follows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366" w:right="239" w:bottom="1440" w:gutter="0" w:footer="0" w:header="0"/>
        </w:sectPr>
      </w:pPr>
    </w:p>
    <w:bookmarkStart w:id="44" w:name="page45"/>
    <w:bookmarkEnd w:id="44"/>
    <w:p>
      <w:pPr>
        <w:jc w:val="both"/>
        <w:ind w:left="1300" w:firstLine="653"/>
        <w:spacing w:after="0" w:line="243" w:lineRule="auto"/>
        <w:tabs>
          <w:tab w:leader="none" w:pos="2268" w:val="left"/>
        </w:tabs>
        <w:numPr>
          <w:ilvl w:val="2"/>
          <w:numId w:val="24"/>
        </w:numPr>
        <w:rPr>
          <w:rFonts w:ascii="Arial" w:cs="Arial" w:eastAsia="Arial" w:hAnsi="Arial"/>
          <w:sz w:val="20"/>
          <w:szCs w:val="20"/>
          <w:color w:val="auto"/>
        </w:rPr>
      </w:pPr>
      <w:r>
        <w:rPr>
          <w:rFonts w:ascii="Arial" w:cs="Arial" w:eastAsia="Arial" w:hAnsi="Arial"/>
          <w:sz w:val="20"/>
          <w:szCs w:val="20"/>
          <w:color w:val="auto"/>
        </w:rPr>
        <w:t>the Consolidated Total Leverage Ratio shall be (x) less than 3.25:1.00, for each Fiscal Quarter ending through and including the Fiscal Quarter ending June 30, 2019, (y) less than 3.00:1.00, for each Fiscal Quarter ending from September 30, 2019 through and including June 30, 2020 and (z) less than 2.75:1.00, for the Fiscal Quarter ending September 30, 2020 and each Fiscal Quarter ending thereafter, in each case, as detailed in a Pro Forma Compliance Certificate delivered to the Administrative Agent at least five (5) days (or such shorter period as may be agreed to by Administrative Agent) prior to any such redemption or repurchase.</w:t>
      </w:r>
    </w:p>
    <w:p>
      <w:pPr>
        <w:spacing w:after="0" w:line="196" w:lineRule="exact"/>
        <w:rPr>
          <w:rFonts w:ascii="Arial" w:cs="Arial" w:eastAsia="Arial" w:hAnsi="Arial"/>
          <w:sz w:val="20"/>
          <w:szCs w:val="20"/>
          <w:color w:val="auto"/>
        </w:rPr>
      </w:pPr>
    </w:p>
    <w:p>
      <w:pPr>
        <w:ind w:left="1740" w:hanging="435"/>
        <w:spacing w:after="0"/>
        <w:tabs>
          <w:tab w:leader="none" w:pos="1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Section 8.2(e) of the Credit Agreement is amended in its entirety to read as follows:</w:t>
      </w:r>
    </w:p>
    <w:p>
      <w:pPr>
        <w:spacing w:after="0" w:line="229" w:lineRule="exact"/>
        <w:rPr>
          <w:rFonts w:ascii="Arial" w:cs="Arial" w:eastAsia="Arial" w:hAnsi="Arial"/>
          <w:sz w:val="20"/>
          <w:szCs w:val="20"/>
          <w:color w:val="auto"/>
        </w:rPr>
      </w:pPr>
    </w:p>
    <w:p>
      <w:pPr>
        <w:jc w:val="both"/>
        <w:ind w:left="1220" w:firstLine="652"/>
        <w:spacing w:after="0" w:line="257" w:lineRule="auto"/>
        <w:tabs>
          <w:tab w:leader="none" w:pos="2326"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to (i) the aggregate outstanding principal amount of the Term Loans (allocated among the Lenders holding Term Loans in respect of their Pro Rata Shares), the Revolving Loans and the LC Exposure, (ii) payment of breakage, termination or other amounts owing in respect of any Hedging Obligations between the Borrower or any of its Subsidiaries and any Lender-Related Hedge Provider, to the extent such Hedging Obligations are permitted hereunder, (iii) payments of amounts due in respect of any Bank Product Obligations between the Borrower or any of its Subsidiaries and any Bank Product Provider, allocated pro rata among any Lender, any Lender-Related Hedge Provider and any Bank Product Provider, based on their respective Pro Rata Shares of the aggregate amount of such Revolving Loans, LC Exposure, Hedging Obligations and Bank Product Obligations;</w:t>
      </w:r>
    </w:p>
    <w:p>
      <w:pPr>
        <w:spacing w:after="0" w:line="181" w:lineRule="exact"/>
        <w:rPr>
          <w:rFonts w:ascii="Arial" w:cs="Arial" w:eastAsia="Arial" w:hAnsi="Arial"/>
          <w:sz w:val="19"/>
          <w:szCs w:val="19"/>
          <w:color w:val="auto"/>
        </w:rPr>
      </w:pPr>
    </w:p>
    <w:p>
      <w:pPr>
        <w:ind w:left="660" w:firstLine="645"/>
        <w:spacing w:after="0" w:line="260" w:lineRule="auto"/>
        <w:tabs>
          <w:tab w:leader="none" w:pos="1825"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Section 11.14 of the Credit Agreement is amended by (i) adding the text “(a)” immediately following the text “Loan Parties that,” and (ii) inserting a new clause (b) immediately prior to the final period therein to read as follows:</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(b) pursuant to the Beneficial Ownership Regulation, it is required to obtain a Beneficial Ownership Certificate</w:t>
      </w:r>
    </w:p>
    <w:p>
      <w:pPr>
        <w:spacing w:after="0" w:line="252" w:lineRule="exact"/>
        <w:rPr>
          <w:sz w:val="20"/>
          <w:szCs w:val="20"/>
          <w:color w:val="auto"/>
        </w:rPr>
      </w:pPr>
    </w:p>
    <w:p>
      <w:pPr>
        <w:ind w:left="1300" w:right="1980" w:firstLine="5"/>
        <w:spacing w:after="0" w:line="479" w:lineRule="auto"/>
        <w:tabs>
          <w:tab w:leader="none" w:pos="1718"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Article XI of the Credit Agreement is amended to include a new Section 11.21 to read as follows: Section 11.21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w:t>
      </w:r>
    </w:p>
    <w:p>
      <w:pPr>
        <w:jc w:val="both"/>
        <w:ind w:left="660" w:firstLine="645"/>
        <w:spacing w:after="0" w:line="263" w:lineRule="auto"/>
        <w:tabs>
          <w:tab w:leader="none" w:pos="17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190" w:lineRule="exact"/>
        <w:rPr>
          <w:rFonts w:ascii="Arial" w:cs="Arial" w:eastAsia="Arial" w:hAnsi="Arial"/>
          <w:sz w:val="19"/>
          <w:szCs w:val="19"/>
          <w:color w:val="auto"/>
        </w:rPr>
      </w:pPr>
    </w:p>
    <w:p>
      <w:pPr>
        <w:ind w:left="1300" w:right="20" w:firstLine="653"/>
        <w:spacing w:after="0" w:line="287" w:lineRule="auto"/>
        <w:tabs>
          <w:tab w:leader="none" w:pos="2338" w:val="left"/>
        </w:tabs>
        <w:numPr>
          <w:ilvl w:val="1"/>
          <w:numId w:val="27"/>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in connection with the Loans, the Letters of Credit or the Commitments;</w:t>
      </w:r>
    </w:p>
    <w:p>
      <w:pPr>
        <w:spacing w:after="0" w:line="166" w:lineRule="exact"/>
        <w:rPr>
          <w:rFonts w:ascii="Arial" w:cs="Arial" w:eastAsia="Arial" w:hAnsi="Arial"/>
          <w:sz w:val="19"/>
          <w:szCs w:val="19"/>
          <w:color w:val="auto"/>
        </w:rPr>
      </w:pPr>
    </w:p>
    <w:p>
      <w:pPr>
        <w:jc w:val="both"/>
        <w:ind w:left="1300" w:firstLine="653"/>
        <w:spacing w:after="0" w:line="291" w:lineRule="auto"/>
        <w:tabs>
          <w:tab w:leader="none" w:pos="24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366" w:right="239" w:bottom="1440" w:gutter="0" w:footer="0" w:header="0"/>
        </w:sectPr>
      </w:pPr>
    </w:p>
    <w:bookmarkStart w:id="45" w:name="page46"/>
    <w:bookmarkEnd w:id="45"/>
    <w:p>
      <w:pPr>
        <w:jc w:val="both"/>
        <w:ind w:left="1300"/>
        <w:spacing w:after="0" w:line="246" w:lineRule="auto"/>
        <w:rPr>
          <w:sz w:val="20"/>
          <w:szCs w:val="20"/>
          <w:color w:val="auto"/>
        </w:rPr>
      </w:pPr>
      <w:r>
        <w:rPr>
          <w:rFonts w:ascii="Arial" w:cs="Arial" w:eastAsia="Arial" w:hAnsi="Arial"/>
          <w:sz w:val="20"/>
          <w:szCs w:val="20"/>
          <w:color w:val="auto"/>
        </w:rPr>
        <w:t>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5" w:lineRule="exact"/>
        <w:rPr>
          <w:sz w:val="20"/>
          <w:szCs w:val="20"/>
          <w:color w:val="auto"/>
        </w:rPr>
      </w:pPr>
    </w:p>
    <w:p>
      <w:pPr>
        <w:jc w:val="both"/>
        <w:ind w:left="1300" w:firstLine="653"/>
        <w:spacing w:after="0" w:line="257" w:lineRule="auto"/>
        <w:tabs>
          <w:tab w:leader="none" w:pos="2574"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9"/>
          <w:szCs w:val="19"/>
          <w:color w:val="auto"/>
        </w:rPr>
      </w:pPr>
    </w:p>
    <w:p>
      <w:pPr>
        <w:ind w:left="1300" w:firstLine="653"/>
        <w:spacing w:after="0" w:line="260" w:lineRule="auto"/>
        <w:tabs>
          <w:tab w:leader="none" w:pos="2438" w:val="left"/>
        </w:tabs>
        <w:numPr>
          <w:ilvl w:val="1"/>
          <w:numId w:val="28"/>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color w:val="auto"/>
        </w:rPr>
      </w:pPr>
    </w:p>
    <w:p>
      <w:pPr>
        <w:jc w:val="both"/>
        <w:ind w:left="660" w:firstLine="645"/>
        <w:spacing w:after="0" w:line="243" w:lineRule="auto"/>
        <w:tabs>
          <w:tab w:leader="none" w:pos="1769"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w:t>
      </w:r>
    </w:p>
    <w:p>
      <w:pPr>
        <w:spacing w:after="0" w:line="210" w:lineRule="exact"/>
        <w:rPr>
          <w:rFonts w:ascii="Arial" w:cs="Arial" w:eastAsia="Arial" w:hAnsi="Arial"/>
          <w:sz w:val="20"/>
          <w:szCs w:val="20"/>
          <w:color w:val="auto"/>
        </w:rPr>
      </w:pPr>
    </w:p>
    <w:p>
      <w:pPr>
        <w:jc w:val="both"/>
        <w:ind w:left="1300" w:firstLine="653"/>
        <w:spacing w:after="0" w:line="250" w:lineRule="auto"/>
        <w:tabs>
          <w:tab w:leader="none" w:pos="23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none of the Administrative Agent, the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99" w:lineRule="exact"/>
        <w:rPr>
          <w:rFonts w:ascii="Arial" w:cs="Arial" w:eastAsia="Arial" w:hAnsi="Arial"/>
          <w:sz w:val="20"/>
          <w:szCs w:val="20"/>
          <w:color w:val="auto"/>
        </w:rPr>
      </w:pPr>
    </w:p>
    <w:p>
      <w:pPr>
        <w:jc w:val="both"/>
        <w:ind w:left="1300" w:firstLine="653"/>
        <w:spacing w:after="0" w:line="244" w:lineRule="auto"/>
        <w:tabs>
          <w:tab w:leader="none" w:pos="2582"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208" w:lineRule="exact"/>
        <w:rPr>
          <w:rFonts w:ascii="Arial" w:cs="Arial" w:eastAsia="Arial" w:hAnsi="Arial"/>
          <w:sz w:val="20"/>
          <w:szCs w:val="20"/>
          <w:color w:val="auto"/>
        </w:rPr>
      </w:pPr>
    </w:p>
    <w:p>
      <w:pPr>
        <w:jc w:val="both"/>
        <w:ind w:left="1300" w:firstLine="653"/>
        <w:spacing w:after="0" w:line="246" w:lineRule="auto"/>
        <w:tabs>
          <w:tab w:leader="none" w:pos="2627"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366" w:right="239" w:bottom="1440" w:gutter="0" w:footer="0" w:header="0"/>
        </w:sectPr>
      </w:pPr>
    </w:p>
    <w:bookmarkStart w:id="46" w:name="page47"/>
    <w:bookmarkEnd w:id="46"/>
    <w:p>
      <w:pPr>
        <w:jc w:val="both"/>
        <w:ind w:left="1300" w:firstLine="653"/>
        <w:spacing w:after="0" w:line="282" w:lineRule="auto"/>
        <w:tabs>
          <w:tab w:leader="none" w:pos="26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75" w:lineRule="exact"/>
        <w:rPr>
          <w:rFonts w:ascii="Arial" w:cs="Arial" w:eastAsia="Arial" w:hAnsi="Arial"/>
          <w:sz w:val="18"/>
          <w:szCs w:val="18"/>
          <w:color w:val="auto"/>
        </w:rPr>
      </w:pPr>
    </w:p>
    <w:p>
      <w:pPr>
        <w:jc w:val="both"/>
        <w:ind w:left="1300" w:firstLine="653"/>
        <w:spacing w:after="0" w:line="250" w:lineRule="auto"/>
        <w:tabs>
          <w:tab w:leader="none" w:pos="2506"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the Arranger or any their respective Affiliates for investment advice (as opposed to other services) in connection with the Loans, the Letters of Credit, the Commitments or this Agreement.</w:t>
      </w:r>
    </w:p>
    <w:p>
      <w:pPr>
        <w:spacing w:after="0" w:line="20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 xml:space="preserve">The representations set forth in this Section </w:t>
      </w:r>
      <w:r>
        <w:rPr>
          <w:rFonts w:ascii="Arial" w:cs="Arial" w:eastAsia="Arial" w:hAnsi="Arial"/>
          <w:sz w:val="20"/>
          <w:szCs w:val="20"/>
          <w:u w:val="single" w:color="auto"/>
          <w:color w:val="auto"/>
        </w:rPr>
        <w:t>11.22(b)(ii)-(v)</w:t>
      </w:r>
      <w:r>
        <w:rPr>
          <w:rFonts w:ascii="Arial" w:cs="Arial" w:eastAsia="Arial" w:hAnsi="Arial"/>
          <w:sz w:val="20"/>
          <w:szCs w:val="20"/>
          <w:color w:val="auto"/>
        </w:rPr>
        <w:t xml:space="preserve"> are intended to comply with the Department of Labor’s regulation Sections 29 C.F.R. 2510.3-21(a) and (c)(1) as promulgated on April 8, 2016 (81 Fed. Reg. 20,997), and if such regulations are no longer in effect, these representations shall be deemed to be no longer in effect.</w:t>
      </w:r>
    </w:p>
    <w:p>
      <w:pPr>
        <w:spacing w:after="0" w:line="186" w:lineRule="exact"/>
        <w:rPr>
          <w:sz w:val="20"/>
          <w:szCs w:val="20"/>
          <w:color w:val="auto"/>
        </w:rPr>
      </w:pPr>
    </w:p>
    <w:p>
      <w:pPr>
        <w:jc w:val="both"/>
        <w:ind w:left="660" w:firstLine="645"/>
        <w:spacing w:after="0" w:line="309" w:lineRule="auto"/>
        <w:tabs>
          <w:tab w:leader="none" w:pos="1843"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Administrative Agent and the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6" w:lineRule="exact"/>
        <w:rPr>
          <w:rFonts w:ascii="Arial" w:cs="Arial" w:eastAsia="Arial" w:hAnsi="Arial"/>
          <w:sz w:val="16"/>
          <w:szCs w:val="16"/>
          <w:color w:val="auto"/>
        </w:rPr>
      </w:pPr>
    </w:p>
    <w:p>
      <w:pPr>
        <w:ind w:left="1020" w:hanging="36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Effectiveness; Conditions Precedent</w:t>
      </w:r>
      <w:r>
        <w:rPr>
          <w:rFonts w:ascii="Arial" w:cs="Arial" w:eastAsia="Arial" w:hAnsi="Arial"/>
          <w:sz w:val="18"/>
          <w:szCs w:val="18"/>
          <w:color w:val="auto"/>
        </w:rPr>
        <w:t>. This Amendment shall be effective upon receipt by the Administrative Agent of each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following:</w:t>
      </w:r>
    </w:p>
    <w:p>
      <w:pPr>
        <w:spacing w:after="0" w:line="21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counterpart of this Amendment signed by the Administrative Agent, the Lenders, the Borrower and each Guarantor;</w:t>
      </w:r>
    </w:p>
    <w:p>
      <w:pPr>
        <w:spacing w:after="0" w:line="240" w:lineRule="exact"/>
        <w:rPr>
          <w:rFonts w:ascii="Arial" w:cs="Arial" w:eastAsia="Arial" w:hAnsi="Arial"/>
          <w:sz w:val="19"/>
          <w:szCs w:val="19"/>
          <w:color w:val="auto"/>
        </w:rPr>
      </w:pPr>
    </w:p>
    <w:p>
      <w:pPr>
        <w:ind w:firstLine="656"/>
        <w:spacing w:after="0" w:line="287" w:lineRule="auto"/>
        <w:tabs>
          <w:tab w:leader="none" w:pos="1077"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Borrower qualifies as a “legal entity customer” under the Beneficial Ownership Regulation, receipt by the Administrative Agent and (to the extent requested by a Lender) the Lenders a Beneficial Ownership Certification in relation to Borrower; and</w:t>
      </w:r>
    </w:p>
    <w:p>
      <w:pPr>
        <w:spacing w:after="0" w:line="166" w:lineRule="exact"/>
        <w:rPr>
          <w:rFonts w:ascii="Arial" w:cs="Arial" w:eastAsia="Arial" w:hAnsi="Arial"/>
          <w:sz w:val="19"/>
          <w:szCs w:val="19"/>
          <w:color w:val="auto"/>
        </w:rPr>
      </w:pPr>
    </w:p>
    <w:p>
      <w:pPr>
        <w:jc w:val="both"/>
        <w:ind w:firstLine="656"/>
        <w:spacing w:after="0" w:line="291" w:lineRule="auto"/>
        <w:tabs>
          <w:tab w:leader="none" w:pos="11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fees and other amounts due and payable on or prior to the First Amendment Effective Date, including reimbursement or payment of all out-of-pocket expenses (including reasonable fees, charges and disbursements of counsel to the Administrative Agent) required to be reimbursed or paid by the Borrower hereunder, under any other Loan Document and under any agreement with the Administrative Agent.</w:t>
      </w:r>
    </w:p>
    <w:p>
      <w:pPr>
        <w:spacing w:after="0" w:line="165" w:lineRule="exact"/>
        <w:rPr>
          <w:sz w:val="20"/>
          <w:szCs w:val="20"/>
          <w:color w:val="auto"/>
        </w:rPr>
      </w:pPr>
    </w:p>
    <w:p>
      <w:pPr>
        <w:ind w:left="1000" w:hanging="344"/>
        <w:spacing w:after="0"/>
        <w:tabs>
          <w:tab w:leader="none" w:pos="100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366" w:right="239" w:bottom="1440" w:gutter="0" w:footer="0" w:header="0"/>
        </w:sectPr>
      </w:pPr>
    </w:p>
    <w:bookmarkStart w:id="47" w:name="page48"/>
    <w:bookmarkEnd w:id="47"/>
    <w:p>
      <w:pPr>
        <w:ind w:left="1080" w:hanging="424"/>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Amendment shall be deemed to be, and is, a Loan Document.</w:t>
      </w:r>
    </w:p>
    <w:p>
      <w:pPr>
        <w:spacing w:after="0" w:line="229" w:lineRule="exact"/>
        <w:rPr>
          <w:rFonts w:ascii="Arial" w:cs="Arial" w:eastAsia="Arial" w:hAnsi="Arial"/>
          <w:sz w:val="20"/>
          <w:szCs w:val="20"/>
          <w:color w:val="auto"/>
        </w:rPr>
      </w:pPr>
    </w:p>
    <w:p>
      <w:pPr>
        <w:ind w:firstLine="656"/>
        <w:spacing w:after="0" w:line="260" w:lineRule="auto"/>
        <w:tabs>
          <w:tab w:leader="none" w:pos="1133" w:val="left"/>
        </w:tabs>
        <w:numPr>
          <w:ilvl w:val="0"/>
          <w:numId w:val="35"/>
        </w:numPr>
        <w:rPr>
          <w:rFonts w:ascii="Arial" w:cs="Arial" w:eastAsia="Arial" w:hAnsi="Arial"/>
          <w:sz w:val="20"/>
          <w:szCs w:val="20"/>
          <w:color w:val="auto"/>
        </w:rPr>
      </w:pPr>
      <w:r>
        <w:rPr>
          <w:rFonts w:ascii="Arial" w:cs="Arial" w:eastAsia="Arial" w:hAnsi="Arial"/>
          <w:sz w:val="20"/>
          <w:szCs w:val="20"/>
          <w:color w:val="auto"/>
        </w:rPr>
        <w:t>Effective as of the date hereof, all references to the Credit Agreement in each of the Loan Documents shall hereafter mean the Credit Agreement as amended by this Amendment.</w:t>
      </w:r>
    </w:p>
    <w:p>
      <w:pPr>
        <w:spacing w:after="0" w:line="190" w:lineRule="exact"/>
        <w:rPr>
          <w:rFonts w:ascii="Arial" w:cs="Arial" w:eastAsia="Arial" w:hAnsi="Arial"/>
          <w:sz w:val="20"/>
          <w:szCs w:val="20"/>
          <w:color w:val="auto"/>
        </w:rPr>
      </w:pPr>
    </w:p>
    <w:p>
      <w:pPr>
        <w:jc w:val="both"/>
        <w:ind w:firstLine="656"/>
        <w:spacing w:after="0" w:line="243" w:lineRule="auto"/>
        <w:tabs>
          <w:tab w:leader="none" w:pos="1083"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of the Loan Parties (i) acknowledges and consents to all of the terms and conditions of this Amendment, (ii) agrees that this Amendment and all documents executed in connection herewith do not operate to reduce or discharge its obligations under the Credit Agreement or the other Loan Documents or any certificates, documents, agreements and instruments executed in connection therewith, (iii) affirms all of its obligations under the Loan Documents, (iv) agrees that this Amendment shall in no manner impair or otherwise adversely affect any of the Liens granted in or pursuant to the Loan Documents and (v) affirms that each of the Liens granted in or pursuant to the Loan Documents are valid and subsisting.</w:t>
      </w:r>
    </w:p>
    <w:p>
      <w:pPr>
        <w:spacing w:after="0" w:line="210" w:lineRule="exact"/>
        <w:rPr>
          <w:rFonts w:ascii="Arial" w:cs="Arial" w:eastAsia="Arial" w:hAnsi="Arial"/>
          <w:sz w:val="20"/>
          <w:szCs w:val="20"/>
          <w:color w:val="auto"/>
        </w:rPr>
      </w:pPr>
    </w:p>
    <w:p>
      <w:pPr>
        <w:ind w:left="1080" w:hanging="424"/>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of the Loan Parties hereby represents and warrants to the Administrative Agent and the Lenders as follows:</w:t>
      </w:r>
    </w:p>
    <w:p>
      <w:pPr>
        <w:spacing w:after="0" w:line="229" w:lineRule="exact"/>
        <w:rPr>
          <w:rFonts w:ascii="Arial" w:cs="Arial" w:eastAsia="Arial" w:hAnsi="Arial"/>
          <w:sz w:val="20"/>
          <w:szCs w:val="20"/>
          <w:color w:val="auto"/>
        </w:rPr>
      </w:pPr>
    </w:p>
    <w:p>
      <w:pPr>
        <w:ind w:left="1680" w:hanging="375"/>
        <w:spacing w:after="0"/>
        <w:tabs>
          <w:tab w:leader="none" w:pos="16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such Loan Party has taken all necessary action to authorize the execution, delivery and performance of this Amendment;</w:t>
      </w:r>
    </w:p>
    <w:p>
      <w:pPr>
        <w:spacing w:after="0" w:line="252" w:lineRule="exact"/>
        <w:rPr>
          <w:rFonts w:ascii="Arial" w:cs="Arial" w:eastAsia="Arial" w:hAnsi="Arial"/>
          <w:sz w:val="18"/>
          <w:szCs w:val="18"/>
          <w:color w:val="auto"/>
        </w:rPr>
      </w:pPr>
    </w:p>
    <w:p>
      <w:pPr>
        <w:ind w:left="660" w:firstLine="645"/>
        <w:spacing w:after="0" w:line="260" w:lineRule="auto"/>
        <w:tabs>
          <w:tab w:leader="none" w:pos="1773"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such Loan Party and constitutes such Loan Party’s legal, valid and binding obligations, enforceable in accordance with its terms;</w:t>
      </w:r>
    </w:p>
    <w:p>
      <w:pPr>
        <w:spacing w:after="0" w:line="190" w:lineRule="exact"/>
        <w:rPr>
          <w:rFonts w:ascii="Arial" w:cs="Arial" w:eastAsia="Arial" w:hAnsi="Arial"/>
          <w:sz w:val="20"/>
          <w:szCs w:val="20"/>
          <w:color w:val="auto"/>
        </w:rPr>
      </w:pPr>
    </w:p>
    <w:p>
      <w:pPr>
        <w:ind w:left="660" w:right="20" w:firstLine="645"/>
        <w:spacing w:after="0" w:line="316" w:lineRule="auto"/>
        <w:tabs>
          <w:tab w:leader="none" w:pos="18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court or governmental authority or third party is required in connection with the execution, delivery or performance by any Loan Party of this Amendment;</w:t>
      </w:r>
    </w:p>
    <w:p>
      <w:pPr>
        <w:spacing w:after="0" w:line="143" w:lineRule="exact"/>
        <w:rPr>
          <w:rFonts w:ascii="Arial" w:cs="Arial" w:eastAsia="Arial" w:hAnsi="Arial"/>
          <w:sz w:val="18"/>
          <w:szCs w:val="18"/>
          <w:color w:val="auto"/>
        </w:rPr>
      </w:pPr>
    </w:p>
    <w:p>
      <w:pPr>
        <w:jc w:val="both"/>
        <w:ind w:left="660" w:firstLine="645"/>
        <w:spacing w:after="0" w:line="276" w:lineRule="auto"/>
        <w:tabs>
          <w:tab w:leader="none" w:pos="180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representations and warranties of each Loan Party set forth in the Loan Documents are true and correct in all material respects (other than those representations and warranties that are expressly qualified by a Material Adverse Effect or other materiality, in which case such representations and warranties are true and correct in all respects) except to the extent that such representations and warranties specifically refer to an earlier date, in which case they are true and correct in all material respects (other than those representations and warranties that are expressly qualified by a Material Adverse Effect or other materiality, in which case such representations and warranties are true and correct in all respects) as of such earlier date; and</w:t>
      </w:r>
    </w:p>
    <w:p>
      <w:pPr>
        <w:spacing w:after="0" w:line="178" w:lineRule="exact"/>
        <w:rPr>
          <w:rFonts w:ascii="Arial" w:cs="Arial" w:eastAsia="Arial" w:hAnsi="Arial"/>
          <w:sz w:val="18"/>
          <w:szCs w:val="18"/>
          <w:color w:val="auto"/>
        </w:rPr>
      </w:pPr>
    </w:p>
    <w:p>
      <w:pPr>
        <w:ind w:left="1740" w:hanging="435"/>
        <w:spacing w:after="0"/>
        <w:tabs>
          <w:tab w:leader="none" w:pos="17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no Default or Event of Default exists.</w:t>
      </w:r>
    </w:p>
    <w:p>
      <w:pPr>
        <w:spacing w:after="0" w:line="229" w:lineRule="exact"/>
        <w:rPr>
          <w:rFonts w:ascii="Arial" w:cs="Arial" w:eastAsia="Arial" w:hAnsi="Arial"/>
          <w:sz w:val="20"/>
          <w:szCs w:val="20"/>
          <w:color w:val="auto"/>
        </w:rPr>
      </w:pPr>
    </w:p>
    <w:p>
      <w:pPr>
        <w:jc w:val="both"/>
        <w:ind w:firstLine="656"/>
        <w:spacing w:after="0" w:line="246" w:lineRule="auto"/>
        <w:tabs>
          <w:tab w:leader="none" w:pos="1146"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Amendment may be executed by one or more of the parties to this Amendment on any number of separate counterparts (including by telecopy), and all of said counterparts taken together shall be deemed to constitute one and the same instrument. Delivery of an executed counterpart of a signature page of this Amendment by facsimile transmission or by any other electronic imaging means (including pdf), shall be effective as delivery of a manually executed counterpart of this Amendment.</w:t>
      </w:r>
    </w:p>
    <w:p>
      <w:pPr>
        <w:spacing w:after="0" w:line="191" w:lineRule="exact"/>
        <w:rPr>
          <w:rFonts w:ascii="Arial" w:cs="Arial" w:eastAsia="Arial" w:hAnsi="Arial"/>
          <w:sz w:val="20"/>
          <w:szCs w:val="20"/>
          <w:color w:val="auto"/>
        </w:rPr>
      </w:pPr>
    </w:p>
    <w:p>
      <w:pPr>
        <w:jc w:val="both"/>
        <w:ind w:right="20" w:firstLine="656"/>
        <w:spacing w:after="0" w:line="250" w:lineRule="auto"/>
        <w:tabs>
          <w:tab w:leader="none" w:pos="109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This Amendment and any claims, controversy, dispute or cause of action (whether in contract or tort or otherwise) based upon, arising out of or relating to this Amendment and the transactions contemplated hereby shall be construed in accordance with and be governed by the Law of the State of New York.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366" w:right="239" w:bottom="1440" w:gutter="0" w:footer="0" w:header="0"/>
        </w:sectPr>
      </w:pPr>
    </w:p>
    <w:bookmarkStart w:id="48" w:name="page49"/>
    <w:bookmarkEnd w:id="48"/>
    <w:p>
      <w:pPr>
        <w:jc w:val="both"/>
        <w:ind w:firstLine="656"/>
        <w:spacing w:after="0" w:line="282" w:lineRule="auto"/>
        <w:tabs>
          <w:tab w:leader="none" w:pos="104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Reaffirmation of Obligations</w:t>
      </w:r>
      <w:r>
        <w:rPr>
          <w:rFonts w:ascii="Arial" w:cs="Arial" w:eastAsia="Arial" w:hAnsi="Arial"/>
          <w:sz w:val="18"/>
          <w:szCs w:val="18"/>
          <w:color w:val="auto"/>
        </w:rPr>
        <w:t>. Each of the Loan Parties (a) acknowledges and consents to all of the terms and conditions of this Amendment, (b) affirms all of its obligations under the Loan Documents (as amended by this Amendment) and (c) agrees that this Amendment and all documents, agreements and instruments executed in connection with this Amendment do not operate to reduce or discharge such Loan Party’s obligations under the Loan Documents (except to the extent such obligations are modified pursuant to this Amendment).</w:t>
      </w:r>
    </w:p>
    <w:p>
      <w:pPr>
        <w:spacing w:after="0" w:line="175" w:lineRule="exact"/>
        <w:rPr>
          <w:rFonts w:ascii="Arial" w:cs="Arial" w:eastAsia="Arial" w:hAnsi="Arial"/>
          <w:sz w:val="18"/>
          <w:szCs w:val="18"/>
          <w:color w:val="auto"/>
        </w:rPr>
      </w:pPr>
    </w:p>
    <w:p>
      <w:pPr>
        <w:jc w:val="both"/>
        <w:ind w:firstLine="656"/>
        <w:spacing w:after="0" w:line="246" w:lineRule="auto"/>
        <w:tabs>
          <w:tab w:leader="none" w:pos="102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Reaffirmation of Security Interests</w:t>
      </w:r>
      <w:r>
        <w:rPr>
          <w:rFonts w:ascii="Arial" w:cs="Arial" w:eastAsia="Arial" w:hAnsi="Arial"/>
          <w:sz w:val="20"/>
          <w:szCs w:val="20"/>
          <w:color w:val="auto"/>
        </w:rPr>
        <w:t>. Each of the Loan Parties (a) affirms that each of the Liens granted in or pursuant to the Loan Documents is valid and subsisting and (b) agrees that this Amendment and all documents, agreements and instruments executed in connection with this Amendment do not in any manner impair or otherwise adversely affect any of the Liens granted in or pursuant to the Loan Documents.</w:t>
      </w:r>
    </w:p>
    <w:p>
      <w:pPr>
        <w:spacing w:after="0" w:line="205" w:lineRule="exact"/>
        <w:rPr>
          <w:rFonts w:ascii="Arial" w:cs="Arial" w:eastAsia="Arial" w:hAnsi="Arial"/>
          <w:sz w:val="20"/>
          <w:szCs w:val="20"/>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modified hereby, all of the terms and provisions of the Loan Documents shall remain in full force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effect.</w:t>
      </w:r>
    </w:p>
    <w:p>
      <w:pPr>
        <w:spacing w:after="0" w:line="213" w:lineRule="exact"/>
        <w:rPr>
          <w:rFonts w:ascii="Arial" w:cs="Arial" w:eastAsia="Arial" w:hAnsi="Arial"/>
          <w:sz w:val="18"/>
          <w:szCs w:val="18"/>
          <w:color w:val="auto"/>
        </w:rPr>
      </w:pPr>
    </w:p>
    <w:p>
      <w:pPr>
        <w:jc w:val="both"/>
        <w:ind w:firstLine="656"/>
        <w:spacing w:after="0" w:line="250" w:lineRule="auto"/>
        <w:tabs>
          <w:tab w:leader="none" w:pos="106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The Borrower agrees to pay all reasonable out-of-pocket fees and expenses of the Administrative Agent in connection with the preparation, execution and delivery of this Amendment, including without limitation the reasonable fees and expenses of Moore &amp; Van Allen PLLC, counsel to the Administrative Agent.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1420"/>
          </w:cols>
          <w:pgMar w:left="240" w:top="366"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20"/>
                <w:szCs w:val="20"/>
                <w:color w:val="auto"/>
              </w:rPr>
              <w:t>BORROWER:</w:t>
            </w:r>
          </w:p>
        </w:tc>
        <w:tc>
          <w:tcPr>
            <w:tcW w:w="6120" w:type="dxa"/>
            <w:vAlign w:val="bottom"/>
            <w:gridSpan w:val="5"/>
          </w:tcPr>
          <w:p>
            <w:pPr>
              <w:ind w:left="380"/>
              <w:spacing w:after="0"/>
              <w:rPr>
                <w:sz w:val="20"/>
                <w:szCs w:val="20"/>
                <w:color w:val="auto"/>
              </w:rPr>
            </w:pPr>
            <w:r>
              <w:rPr>
                <w:rFonts w:ascii="Arial" w:cs="Arial" w:eastAsia="Arial" w:hAnsi="Arial"/>
                <w:sz w:val="20"/>
                <w:szCs w:val="20"/>
                <w:color w:val="auto"/>
              </w:rPr>
              <w:t>CROSS COUNTRY HEALTHCARE, INC.,</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By:  /s/ William J. Grubbs</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0" w:type="dxa"/>
            <w:vAlign w:val="bottom"/>
          </w:tcPr>
          <w:p>
            <w:pPr>
              <w:spacing w:after="0"/>
              <w:rPr>
                <w:sz w:val="20"/>
                <w:szCs w:val="20"/>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Name: William J. Grubbs</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Title: President and CEO</w:t>
            </w: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0"/>
                <w:szCs w:val="20"/>
                <w:color w:val="auto"/>
              </w:rPr>
            </w:pPr>
            <w:r>
              <w:rPr>
                <w:rFonts w:ascii="Arial" w:cs="Arial" w:eastAsia="Arial" w:hAnsi="Arial"/>
                <w:sz w:val="20"/>
                <w:szCs w:val="20"/>
                <w:color w:val="auto"/>
              </w:rPr>
              <w:t>GUARANTORS:</w:t>
            </w:r>
          </w:p>
        </w:tc>
        <w:tc>
          <w:tcPr>
            <w:tcW w:w="6120" w:type="dxa"/>
            <w:vAlign w:val="bottom"/>
            <w:gridSpan w:val="5"/>
          </w:tcPr>
          <w:p>
            <w:pPr>
              <w:ind w:left="400"/>
              <w:spacing w:after="0"/>
              <w:rPr>
                <w:sz w:val="20"/>
                <w:szCs w:val="20"/>
                <w:color w:val="auto"/>
              </w:rPr>
            </w:pPr>
            <w:r>
              <w:rPr>
                <w:rFonts w:ascii="Arial" w:cs="Arial" w:eastAsia="Arial" w:hAnsi="Arial"/>
                <w:sz w:val="20"/>
                <w:szCs w:val="20"/>
                <w:color w:val="auto"/>
              </w:rPr>
              <w:t>CEJKA SEARCH, INC.,</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By:  /s/ William J. Grubbs</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0" w:type="dxa"/>
            <w:vAlign w:val="bottom"/>
          </w:tcPr>
          <w:p>
            <w:pPr>
              <w:spacing w:after="0"/>
              <w:rPr>
                <w:sz w:val="20"/>
                <w:szCs w:val="20"/>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Name: William J. Grubbs</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Title: Executive Vice President</w:t>
            </w: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CROSS COUNTRY STAFFING, INC.,</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By:  /s/ William J. Grubbs</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0" w:type="dxa"/>
            <w:vAlign w:val="bottom"/>
          </w:tcPr>
          <w:p>
            <w:pPr>
              <w:spacing w:after="0"/>
              <w:rPr>
                <w:sz w:val="20"/>
                <w:szCs w:val="20"/>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Name: William J. Grubbs</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Title: Executive Vice President</w:t>
            </w: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w w:val="91"/>
              </w:rPr>
              <w:t>CROSS COUNTRY SUPPORT SERVICES, LLC,</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 Delaware limited liability company</w:t>
            </w: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By: /s/ William J. Grubbs</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0" w:type="dxa"/>
            <w:vAlign w:val="bottom"/>
          </w:tcPr>
          <w:p>
            <w:pPr>
              <w:spacing w:after="0"/>
              <w:rPr>
                <w:sz w:val="20"/>
                <w:szCs w:val="20"/>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Name: William J. Grubbs</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Title: Executive Vice President</w:t>
            </w: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MDA HOLDINGS, INC.,</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 Delaware corporation</w:t>
            </w:r>
          </w:p>
        </w:tc>
        <w:tc>
          <w:tcPr>
            <w:tcW w:w="0" w:type="dxa"/>
            <w:vAlign w:val="bottom"/>
          </w:tcPr>
          <w:p>
            <w:pPr>
              <w:spacing w:after="0"/>
              <w:rPr>
                <w:sz w:val="1"/>
                <w:szCs w:val="1"/>
                <w:color w:val="auto"/>
              </w:rPr>
            </w:pPr>
          </w:p>
        </w:tc>
      </w:tr>
      <w:tr>
        <w:trPr>
          <w:trHeight w:val="415"/>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By:  /s/ William J. Grubbs</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0" w:type="dxa"/>
            <w:vAlign w:val="bottom"/>
          </w:tcPr>
          <w:p>
            <w:pPr>
              <w:spacing w:after="0"/>
              <w:rPr>
                <w:sz w:val="20"/>
                <w:szCs w:val="20"/>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Name: William J. Grubbs</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Title: Executive Vice President</w:t>
            </w: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ASSIGNMENT AMERICA, LLC,</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a Delaware limited liability company</w:t>
            </w: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4"/>
                <w:szCs w:val="24"/>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By:  /s/ William J. Grubbs</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0" w:type="dxa"/>
            <w:vAlign w:val="bottom"/>
          </w:tcPr>
          <w:p>
            <w:pPr>
              <w:spacing w:after="0"/>
              <w:rPr>
                <w:sz w:val="20"/>
                <w:szCs w:val="20"/>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Name: William J. Grubbs</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6120" w:type="dxa"/>
            <w:vAlign w:val="bottom"/>
            <w:gridSpan w:val="5"/>
          </w:tcPr>
          <w:p>
            <w:pPr>
              <w:ind w:left="2100"/>
              <w:spacing w:after="0"/>
              <w:rPr>
                <w:sz w:val="20"/>
                <w:szCs w:val="20"/>
                <w:color w:val="auto"/>
              </w:rPr>
            </w:pPr>
            <w:r>
              <w:rPr>
                <w:rFonts w:ascii="Arial" w:cs="Arial" w:eastAsia="Arial" w:hAnsi="Arial"/>
                <w:sz w:val="20"/>
                <w:szCs w:val="20"/>
                <w:color w:val="auto"/>
              </w:rPr>
              <w:t>Title: Executive Vice President</w:t>
            </w:r>
          </w:p>
        </w:tc>
        <w:tc>
          <w:tcPr>
            <w:tcW w:w="0" w:type="dxa"/>
            <w:vAlign w:val="bottom"/>
          </w:tcPr>
          <w:p>
            <w:pPr>
              <w:spacing w:after="0"/>
              <w:rPr>
                <w:sz w:val="1"/>
                <w:szCs w:val="1"/>
                <w:color w:val="auto"/>
              </w:rPr>
            </w:pPr>
          </w:p>
        </w:tc>
      </w:tr>
      <w:tr>
        <w:trPr>
          <w:trHeight w:val="473"/>
        </w:trPr>
        <w:tc>
          <w:tcPr>
            <w:tcW w:w="1800" w:type="dxa"/>
            <w:vAlign w:val="bottom"/>
            <w:vMerge w:val="restart"/>
          </w:tcPr>
          <w:p>
            <w:pPr>
              <w:spacing w:after="0"/>
              <w:rPr>
                <w:sz w:val="20"/>
                <w:szCs w:val="20"/>
                <w:color w:val="auto"/>
              </w:rPr>
            </w:pPr>
            <w:r>
              <w:rPr>
                <w:rFonts w:ascii="Arial" w:cs="Arial" w:eastAsia="Arial" w:hAnsi="Arial"/>
                <w:sz w:val="14"/>
                <w:szCs w:val="14"/>
                <w:color w:val="auto"/>
              </w:rPr>
              <w:t>CHAR1\1615048v6</w:t>
            </w:r>
          </w:p>
        </w:tc>
        <w:tc>
          <w:tcPr>
            <w:tcW w:w="4120" w:type="dxa"/>
            <w:vAlign w:val="bottom"/>
            <w:gridSpan w:val="3"/>
          </w:tcPr>
          <w:p>
            <w:pPr>
              <w:ind w:left="3860"/>
              <w:spacing w:after="0"/>
              <w:rPr>
                <w:sz w:val="20"/>
                <w:szCs w:val="20"/>
                <w:color w:val="auto"/>
              </w:rPr>
            </w:pPr>
            <w:r>
              <w:rPr>
                <w:rFonts w:ascii="Arial" w:cs="Arial" w:eastAsia="Arial" w:hAnsi="Arial"/>
                <w:sz w:val="20"/>
                <w:szCs w:val="20"/>
                <w:color w:val="auto"/>
              </w:rPr>
              <w:t>9</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800" w:type="dxa"/>
            <w:vAlign w:val="bottom"/>
            <w:vMerge w:val="continue"/>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366" w:right="819" w:bottom="1440" w:gutter="0" w:footer="0" w:header="0"/>
        </w:sectPr>
      </w:pPr>
    </w:p>
    <w:bookmarkStart w:id="50" w:name="page51"/>
    <w:bookmarkEnd w:id="50"/>
    <w:p>
      <w:pPr>
        <w:ind w:left="3900"/>
        <w:spacing w:after="0"/>
        <w:rPr>
          <w:sz w:val="20"/>
          <w:szCs w:val="20"/>
          <w:color w:val="auto"/>
        </w:rPr>
      </w:pPr>
      <w:r>
        <w:rPr>
          <w:rFonts w:ascii="Arial" w:cs="Arial" w:eastAsia="Arial" w:hAnsi="Arial"/>
          <w:sz w:val="20"/>
          <w:szCs w:val="20"/>
          <w:color w:val="auto"/>
        </w:rPr>
        <w:t>TRAVEL STAFF,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LOCAL STAFF,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MEDICAL DOCTOR ASSOCIATES,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right="939"/>
        <w:spacing w:after="0" w:line="260" w:lineRule="auto"/>
        <w:rPr>
          <w:sz w:val="20"/>
          <w:szCs w:val="20"/>
          <w:color w:val="auto"/>
        </w:rPr>
      </w:pPr>
      <w:r>
        <w:rPr>
          <w:rFonts w:ascii="Arial" w:cs="Arial" w:eastAsia="Arial" w:hAnsi="Arial"/>
          <w:sz w:val="20"/>
          <w:szCs w:val="20"/>
          <w:color w:val="auto"/>
        </w:rPr>
        <w:t>CREDENT VERIFICATION AND LICENSING SERVICES, LLC, a Delaware limited liability company</w:t>
      </w:r>
    </w:p>
    <w:p>
      <w:pPr>
        <w:spacing w:after="0" w:line="200" w:lineRule="exact"/>
        <w:rPr>
          <w:sz w:val="20"/>
          <w:szCs w:val="20"/>
          <w:color w:val="auto"/>
        </w:rPr>
      </w:pPr>
    </w:p>
    <w:p>
      <w:pPr>
        <w:spacing w:after="0" w:line="220"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OWS,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NEW MEDISCAN II,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California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51" w:name="page52"/>
    <w:bookmarkEnd w:id="51"/>
    <w:p>
      <w:pPr>
        <w:ind w:left="3900"/>
        <w:spacing w:after="0"/>
        <w:rPr>
          <w:sz w:val="20"/>
          <w:szCs w:val="20"/>
          <w:color w:val="auto"/>
        </w:rPr>
      </w:pPr>
      <w:r>
        <w:rPr>
          <w:rFonts w:ascii="Arial" w:cs="Arial" w:eastAsia="Arial" w:hAnsi="Arial"/>
          <w:sz w:val="20"/>
          <w:szCs w:val="20"/>
          <w:color w:val="auto"/>
        </w:rPr>
        <w:t>MEDISCAN NURSING STAFFING,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California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MEDISCAN DIAGNOSTIC SERVICES, LLC,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California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ADVANTAGE RN,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ind w:left="3900"/>
        <w:spacing w:after="0"/>
        <w:rPr>
          <w:sz w:val="20"/>
          <w:szCs w:val="20"/>
          <w:color w:val="auto"/>
        </w:rPr>
      </w:pPr>
      <w:r>
        <w:rPr>
          <w:rFonts w:ascii="Arial" w:cs="Arial" w:eastAsia="Arial" w:hAnsi="Arial"/>
          <w:sz w:val="20"/>
          <w:szCs w:val="20"/>
          <w:color w:val="auto"/>
        </w:rPr>
        <w:t>(f/k/a ARNC HOLDCO, LLC)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ADVANTAGE ON CALL,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ind w:left="3900"/>
        <w:spacing w:after="0"/>
        <w:rPr>
          <w:sz w:val="20"/>
          <w:szCs w:val="20"/>
          <w:color w:val="auto"/>
        </w:rPr>
      </w:pPr>
      <w:r>
        <w:rPr>
          <w:rFonts w:ascii="Arial" w:cs="Arial" w:eastAsia="Arial" w:hAnsi="Arial"/>
          <w:sz w:val="20"/>
          <w:szCs w:val="20"/>
          <w:color w:val="auto"/>
        </w:rPr>
        <w:t>(f/k/a CAOC, LLC)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ADVANTAGE LOCUMS,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ind w:left="3900"/>
        <w:spacing w:after="0"/>
        <w:rPr>
          <w:sz w:val="20"/>
          <w:szCs w:val="20"/>
          <w:color w:val="auto"/>
        </w:rPr>
      </w:pPr>
      <w:r>
        <w:rPr>
          <w:rFonts w:ascii="Arial" w:cs="Arial" w:eastAsia="Arial" w:hAnsi="Arial"/>
          <w:sz w:val="20"/>
          <w:szCs w:val="20"/>
          <w:color w:val="auto"/>
        </w:rPr>
        <w:t>(f/k/a LTU, LLC)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52" w:name="page53"/>
    <w:bookmarkEnd w:id="52"/>
    <w:p>
      <w:pPr>
        <w:ind w:left="3900"/>
        <w:spacing w:after="0"/>
        <w:rPr>
          <w:sz w:val="20"/>
          <w:szCs w:val="20"/>
          <w:color w:val="auto"/>
        </w:rPr>
      </w:pPr>
      <w:r>
        <w:rPr>
          <w:rFonts w:ascii="Arial" w:cs="Arial" w:eastAsia="Arial" w:hAnsi="Arial"/>
          <w:sz w:val="19"/>
          <w:szCs w:val="19"/>
          <w:color w:val="auto"/>
        </w:rPr>
        <w:t>ADVANTAGE RN LOCAL STAFFING, LLC,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ind w:left="3900"/>
        <w:spacing w:after="0"/>
        <w:rPr>
          <w:sz w:val="20"/>
          <w:szCs w:val="20"/>
          <w:color w:val="auto"/>
        </w:rPr>
      </w:pPr>
      <w:r>
        <w:rPr>
          <w:rFonts w:ascii="Arial" w:cs="Arial" w:eastAsia="Arial" w:hAnsi="Arial"/>
          <w:sz w:val="20"/>
          <w:szCs w:val="20"/>
          <w:color w:val="auto"/>
        </w:rPr>
        <w:t>(f/k/a CARNLS, LLC)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ARNCP,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J. Grubbs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William J. Grubbs</w:t>
      </w:r>
    </w:p>
    <w:p>
      <w:pPr>
        <w:ind w:left="390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20"/>
                <w:szCs w:val="20"/>
                <w:color w:val="auto"/>
              </w:rPr>
              <w:t>ADMINISTRATIVE</w:t>
            </w:r>
          </w:p>
        </w:tc>
        <w:tc>
          <w:tcPr>
            <w:tcW w:w="6660" w:type="dxa"/>
            <w:vAlign w:val="bottom"/>
            <w:gridSpan w:val="3"/>
          </w:tcPr>
          <w:p>
            <w:pPr>
              <w:ind w:left="1120"/>
              <w:spacing w:after="0"/>
              <w:rPr>
                <w:sz w:val="20"/>
                <w:szCs w:val="20"/>
                <w:color w:val="auto"/>
              </w:rPr>
            </w:pPr>
            <w:r>
              <w:rPr>
                <w:rFonts w:ascii="Arial" w:cs="Arial" w:eastAsia="Arial" w:hAnsi="Arial"/>
                <w:sz w:val="20"/>
                <w:szCs w:val="20"/>
                <w:color w:val="auto"/>
              </w:rPr>
              <w:t>SUNTRUST BANK,</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20"/>
                <w:szCs w:val="20"/>
                <w:color w:val="auto"/>
              </w:rPr>
              <w:t>AGENT:</w:t>
            </w:r>
          </w:p>
        </w:tc>
        <w:tc>
          <w:tcPr>
            <w:tcW w:w="6660" w:type="dxa"/>
            <w:vAlign w:val="bottom"/>
            <w:gridSpan w:val="3"/>
          </w:tcPr>
          <w:p>
            <w:pPr>
              <w:ind w:left="1120"/>
              <w:spacing w:after="0"/>
              <w:rPr>
                <w:sz w:val="20"/>
                <w:szCs w:val="20"/>
                <w:color w:val="auto"/>
              </w:rPr>
            </w:pPr>
            <w:r>
              <w:rPr>
                <w:rFonts w:ascii="Arial" w:cs="Arial" w:eastAsia="Arial" w:hAnsi="Arial"/>
                <w:sz w:val="20"/>
                <w:szCs w:val="20"/>
                <w:color w:val="auto"/>
                <w:w w:val="89"/>
              </w:rPr>
              <w:t>as Administrative Agent, as an Issuing Bank and as Swingline Lender</w:t>
            </w:r>
          </w:p>
        </w:tc>
        <w:tc>
          <w:tcPr>
            <w:tcW w:w="0" w:type="dxa"/>
            <w:vAlign w:val="bottom"/>
          </w:tcPr>
          <w:p>
            <w:pPr>
              <w:spacing w:after="0"/>
              <w:rPr>
                <w:sz w:val="1"/>
                <w:szCs w:val="1"/>
                <w:color w:val="auto"/>
              </w:rPr>
            </w:pPr>
          </w:p>
        </w:tc>
      </w:tr>
      <w:tr>
        <w:trPr>
          <w:trHeight w:val="874"/>
        </w:trPr>
        <w:tc>
          <w:tcPr>
            <w:tcW w:w="2780" w:type="dxa"/>
            <w:vAlign w:val="bottom"/>
          </w:tcPr>
          <w:p>
            <w:pPr>
              <w:spacing w:after="0"/>
              <w:rPr>
                <w:sz w:val="24"/>
                <w:szCs w:val="24"/>
                <w:color w:val="auto"/>
              </w:rPr>
            </w:pPr>
          </w:p>
        </w:tc>
        <w:tc>
          <w:tcPr>
            <w:tcW w:w="6660" w:type="dxa"/>
            <w:vAlign w:val="bottom"/>
            <w:gridSpan w:val="3"/>
          </w:tcPr>
          <w:p>
            <w:pPr>
              <w:ind w:left="1120"/>
              <w:spacing w:after="0"/>
              <w:rPr>
                <w:sz w:val="20"/>
                <w:szCs w:val="20"/>
                <w:color w:val="auto"/>
              </w:rPr>
            </w:pPr>
            <w:r>
              <w:rPr>
                <w:rFonts w:ascii="Arial" w:cs="Arial" w:eastAsia="Arial" w:hAnsi="Arial"/>
                <w:sz w:val="20"/>
                <w:szCs w:val="20"/>
                <w:color w:val="auto"/>
              </w:rPr>
              <w:t>By:  /s/ Jonathan Hart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780" w:type="dxa"/>
            <w:vAlign w:val="bottom"/>
          </w:tcPr>
          <w:p>
            <w:pPr>
              <w:spacing w:after="0"/>
              <w:rPr>
                <w:sz w:val="20"/>
                <w:szCs w:val="20"/>
                <w:color w:val="auto"/>
              </w:rPr>
            </w:pPr>
          </w:p>
        </w:tc>
        <w:tc>
          <w:tcPr>
            <w:tcW w:w="6660" w:type="dxa"/>
            <w:vAlign w:val="bottom"/>
            <w:gridSpan w:val="3"/>
          </w:tcPr>
          <w:p>
            <w:pPr>
              <w:ind w:left="1120"/>
              <w:spacing w:after="0"/>
              <w:rPr>
                <w:sz w:val="20"/>
                <w:szCs w:val="20"/>
                <w:color w:val="auto"/>
              </w:rPr>
            </w:pPr>
            <w:r>
              <w:rPr>
                <w:rFonts w:ascii="Arial" w:cs="Arial" w:eastAsia="Arial" w:hAnsi="Arial"/>
                <w:sz w:val="20"/>
                <w:szCs w:val="20"/>
                <w:color w:val="auto"/>
              </w:rPr>
              <w:t>Name: Jonathan Hart</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6660" w:type="dxa"/>
            <w:vAlign w:val="bottom"/>
            <w:gridSpan w:val="3"/>
          </w:tcPr>
          <w:p>
            <w:pPr>
              <w:ind w:left="1120"/>
              <w:spacing w:after="0"/>
              <w:rPr>
                <w:sz w:val="20"/>
                <w:szCs w:val="20"/>
                <w:color w:val="auto"/>
              </w:rPr>
            </w:pPr>
            <w:r>
              <w:rPr>
                <w:rFonts w:ascii="Arial" w:cs="Arial" w:eastAsia="Arial" w:hAnsi="Arial"/>
                <w:sz w:val="20"/>
                <w:szCs w:val="20"/>
                <w:color w:val="auto"/>
              </w:rPr>
              <w:t>Title: Vice President</w:t>
            </w:r>
          </w:p>
        </w:tc>
        <w:tc>
          <w:tcPr>
            <w:tcW w:w="0" w:type="dxa"/>
            <w:vAlign w:val="bottom"/>
          </w:tcPr>
          <w:p>
            <w:pPr>
              <w:spacing w:after="0"/>
              <w:rPr>
                <w:sz w:val="1"/>
                <w:szCs w:val="1"/>
                <w:color w:val="auto"/>
              </w:rPr>
            </w:pPr>
          </w:p>
        </w:tc>
      </w:tr>
      <w:tr>
        <w:trPr>
          <w:trHeight w:val="1161"/>
        </w:trPr>
        <w:tc>
          <w:tcPr>
            <w:tcW w:w="2780" w:type="dxa"/>
            <w:vAlign w:val="bottom"/>
            <w:vMerge w:val="restart"/>
          </w:tcPr>
          <w:p>
            <w:pPr>
              <w:spacing w:after="0"/>
              <w:rPr>
                <w:sz w:val="20"/>
                <w:szCs w:val="20"/>
                <w:color w:val="auto"/>
              </w:rPr>
            </w:pPr>
            <w:r>
              <w:rPr>
                <w:rFonts w:ascii="Arial" w:cs="Arial" w:eastAsia="Arial" w:hAnsi="Arial"/>
                <w:sz w:val="14"/>
                <w:szCs w:val="14"/>
                <w:color w:val="auto"/>
              </w:rPr>
              <w:t>CHAR1\1615048v6</w:t>
            </w:r>
          </w:p>
        </w:tc>
        <w:tc>
          <w:tcPr>
            <w:tcW w:w="6660" w:type="dxa"/>
            <w:vAlign w:val="bottom"/>
            <w:gridSpan w:val="3"/>
          </w:tcPr>
          <w:p>
            <w:pPr>
              <w:ind w:left="284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160"/>
        </w:trPr>
        <w:tc>
          <w:tcPr>
            <w:tcW w:w="278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54" w:right="1440" w:bottom="1440" w:gutter="0" w:footer="0" w:header="0"/>
        </w:sectPr>
      </w:pPr>
    </w:p>
    <w:bookmarkStart w:id="54" w:name="page55"/>
    <w:bookmarkEnd w:id="54"/>
    <w:p>
      <w:pPr>
        <w:spacing w:after="0"/>
        <w:tabs>
          <w:tab w:leader="none" w:pos="1920" w:val="left"/>
        </w:tabs>
        <w:rPr>
          <w:sz w:val="20"/>
          <w:szCs w:val="20"/>
          <w:color w:val="auto"/>
        </w:rPr>
      </w:pPr>
      <w:r>
        <w:rPr>
          <w:rFonts w:ascii="Arial" w:cs="Arial" w:eastAsia="Arial" w:hAnsi="Arial"/>
          <w:sz w:val="20"/>
          <w:szCs w:val="20"/>
          <w:color w:val="auto"/>
        </w:rPr>
        <w:t>LENDERS:</w:t>
      </w:r>
      <w:r>
        <w:rPr>
          <w:sz w:val="20"/>
          <w:szCs w:val="20"/>
          <w:color w:val="auto"/>
        </w:rPr>
        <w:tab/>
      </w:r>
      <w:r>
        <w:rPr>
          <w:rFonts w:ascii="Arial" w:cs="Arial" w:eastAsia="Arial" w:hAnsi="Arial"/>
          <w:sz w:val="20"/>
          <w:szCs w:val="20"/>
          <w:color w:val="auto"/>
        </w:rPr>
        <w:t>SUNTRUST BANK,</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Jonathan Hart</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Jonathan Hart</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595" w:right="1440" w:bottom="1440" w:gutter="0" w:footer="0" w:header="0"/>
        </w:sectPr>
      </w:pPr>
    </w:p>
    <w:bookmarkStart w:id="55" w:name="page56"/>
    <w:bookmarkEnd w:id="55"/>
    <w:p>
      <w:pPr>
        <w:ind w:left="3900"/>
        <w:spacing w:after="0"/>
        <w:rPr>
          <w:sz w:val="20"/>
          <w:szCs w:val="20"/>
          <w:color w:val="auto"/>
        </w:rPr>
      </w:pPr>
      <w:r>
        <w:rPr>
          <w:rFonts w:ascii="Arial" w:cs="Arial" w:eastAsia="Arial" w:hAnsi="Arial"/>
          <w:sz w:val="19"/>
          <w:szCs w:val="19"/>
          <w:color w:val="auto"/>
        </w:rPr>
        <w:t>BMO HARRIS BANK, N.A.,</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Jason Deegan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Jason Deegan</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825" w:right="1440" w:bottom="1440" w:gutter="0" w:footer="0" w:header="0"/>
        </w:sectPr>
      </w:pPr>
    </w:p>
    <w:bookmarkStart w:id="56" w:name="page57"/>
    <w:bookmarkEnd w:id="56"/>
    <w:p>
      <w:pPr>
        <w:ind w:left="3900"/>
        <w:spacing w:after="0"/>
        <w:rPr>
          <w:sz w:val="20"/>
          <w:szCs w:val="20"/>
          <w:color w:val="auto"/>
        </w:rPr>
      </w:pPr>
      <w:r>
        <w:rPr>
          <w:rFonts w:ascii="Arial" w:cs="Arial" w:eastAsia="Arial" w:hAnsi="Arial"/>
          <w:sz w:val="20"/>
          <w:szCs w:val="20"/>
          <w:color w:val="auto"/>
        </w:rPr>
        <w:t>BANK UNITED,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Vanessa C. Civalero</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Vanessa C. Civalero</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57" w:name="page58"/>
    <w:bookmarkEnd w:id="57"/>
    <w:p>
      <w:pPr>
        <w:ind w:left="3900"/>
        <w:spacing w:after="0"/>
        <w:rPr>
          <w:sz w:val="20"/>
          <w:szCs w:val="20"/>
          <w:color w:val="auto"/>
        </w:rPr>
      </w:pPr>
      <w:r>
        <w:rPr>
          <w:rFonts w:ascii="Arial" w:cs="Arial" w:eastAsia="Arial" w:hAnsi="Arial"/>
          <w:sz w:val="20"/>
          <w:szCs w:val="20"/>
          <w:color w:val="auto"/>
        </w:rPr>
        <w:t>FIFTH THIRD BANK,</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Ellie Robertson</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Ellie Robertson</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58" w:name="page59"/>
    <w:bookmarkEnd w:id="58"/>
    <w:p>
      <w:pPr>
        <w:ind w:left="3900"/>
        <w:spacing w:after="0"/>
        <w:rPr>
          <w:sz w:val="20"/>
          <w:szCs w:val="20"/>
          <w:color w:val="auto"/>
        </w:rPr>
      </w:pPr>
      <w:r>
        <w:rPr>
          <w:rFonts w:ascii="Arial" w:cs="Arial" w:eastAsia="Arial" w:hAnsi="Arial"/>
          <w:sz w:val="19"/>
          <w:szCs w:val="19"/>
          <w:color w:val="auto"/>
        </w:rPr>
        <w:t>BANK OF AMERICA, N.A.,</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Heath B. Lipson</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Heath B. Lipson</w:t>
      </w:r>
    </w:p>
    <w:p>
      <w:pPr>
        <w:ind w:left="3900"/>
        <w:spacing w:after="0"/>
        <w:rPr>
          <w:sz w:val="20"/>
          <w:szCs w:val="20"/>
          <w:color w:val="auto"/>
        </w:rPr>
      </w:pPr>
      <w:r>
        <w:rPr>
          <w:rFonts w:ascii="Arial" w:cs="Arial" w:eastAsia="Arial" w:hAnsi="Arial"/>
          <w:sz w:val="19"/>
          <w:szCs w:val="19"/>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59" w:name="page60"/>
    <w:bookmarkEnd w:id="59"/>
    <w:p>
      <w:pPr>
        <w:ind w:left="3900"/>
        <w:spacing w:after="0"/>
        <w:rPr>
          <w:sz w:val="20"/>
          <w:szCs w:val="20"/>
          <w:color w:val="auto"/>
        </w:rPr>
      </w:pPr>
      <w:r>
        <w:rPr>
          <w:rFonts w:ascii="Arial" w:cs="Arial" w:eastAsia="Arial" w:hAnsi="Arial"/>
          <w:sz w:val="20"/>
          <w:szCs w:val="20"/>
          <w:color w:val="auto"/>
        </w:rPr>
        <w:t>CADENCE BANK,</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John R. Burch III</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John R. Burch III</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AVP -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60" w:name="page61"/>
    <w:bookmarkEnd w:id="60"/>
    <w:p>
      <w:pPr>
        <w:ind w:left="3900"/>
        <w:spacing w:after="0"/>
        <w:rPr>
          <w:sz w:val="20"/>
          <w:szCs w:val="20"/>
          <w:color w:val="auto"/>
        </w:rPr>
      </w:pPr>
      <w:r>
        <w:rPr>
          <w:rFonts w:ascii="Arial" w:cs="Arial" w:eastAsia="Arial" w:hAnsi="Arial"/>
          <w:sz w:val="20"/>
          <w:szCs w:val="20"/>
          <w:color w:val="auto"/>
        </w:rPr>
        <w:t>CAPITAL BANK,</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Dilian Schulz</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Dilian Schulz</w:t>
      </w:r>
    </w:p>
    <w:p>
      <w:pPr>
        <w:ind w:left="39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CHAR1\1615048v6</w:t>
      </w:r>
    </w:p>
    <w:p>
      <w:pPr>
        <w:sectPr>
          <w:pgSz w:w="11900" w:h="16838" w:orient="portrait"/>
          <w:cols w:equalWidth="0" w:num="1">
            <w:col w:w="10219"/>
          </w:cols>
          <w:pgMar w:left="240" w:top="366"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Pizzi,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2018,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2018, (the "Periodic Report"), I, Christopher R. Pizzi, SVP &amp; Chief Financial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Roman"/>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decimal"/>
      <w:start w:val="5"/>
    </w:lvl>
  </w:abstractNum>
  <w:abstractNum w:abstractNumId="6">
    <w:nsid w:val="2443A858"/>
    <w:multiLevelType w:val="hybridMultilevel"/>
    <w:lvl w:ilvl="0">
      <w:lvlJc w:val="left"/>
      <w:lvlText w:val="%1."/>
      <w:numFmt w:val="decimal"/>
      <w:start w:val="6"/>
    </w:lvl>
  </w:abstractNum>
  <w:abstractNum w:abstractNumId="7">
    <w:nsid w:val="2D1D5AE9"/>
    <w:multiLevelType w:val="hybridMultilevel"/>
    <w:lvl w:ilvl="0">
      <w:lvlJc w:val="left"/>
      <w:lvlText w:val="%1."/>
      <w:numFmt w:val="decimal"/>
      <w:start w:val="10"/>
    </w:lvl>
  </w:abstractNum>
  <w:abstractNum w:abstractNumId="8">
    <w:nsid w:val="6763845E"/>
    <w:multiLevelType w:val="hybridMultilevel"/>
    <w:lvl w:ilvl="0">
      <w:lvlJc w:val="left"/>
      <w:lvlText w:val="%1."/>
      <w:numFmt w:val="decimal"/>
      <w:start w:val="11"/>
    </w:lvl>
  </w:abstractNum>
  <w:abstractNum w:abstractNumId="9">
    <w:nsid w:val="75A2A8D4"/>
    <w:multiLevelType w:val="hybridMultilevel"/>
    <w:lvl w:ilvl="0">
      <w:lvlJc w:val="left"/>
      <w:lvlText w:val="%1."/>
      <w:numFmt w:val="decimal"/>
      <w:start w:val="12"/>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4"/>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decimal"/>
      <w:start w:val="1"/>
    </w:lvl>
    <w:lvl w:ilvl="1">
      <w:lvlJc w:val="left"/>
      <w:lvlText w:val="(%2)"/>
      <w:numFmt w:val="lowerLetter"/>
      <w:start w:val="1"/>
    </w:lvl>
  </w:abstractNum>
  <w:abstractNum w:abstractNumId="16">
    <w:nsid w:val="71F32454"/>
    <w:multiLevelType w:val="hybridMultilevel"/>
    <w:lvl w:ilvl="0">
      <w:lvlJc w:val="left"/>
      <w:lvlText w:val="(%1)"/>
      <w:numFmt w:val="lowerLetter"/>
      <w:start w:val="2"/>
    </w:lvl>
  </w:abstractNum>
  <w:abstractNum w:abstractNumId="17">
    <w:nsid w:val="2CA88611"/>
    <w:multiLevelType w:val="hybridMultilevel"/>
    <w:lvl w:ilvl="0">
      <w:lvlJc w:val="left"/>
      <w:lvlText w:val="(%1)"/>
      <w:numFmt w:val="lowerRoman"/>
      <w:start w:val="6"/>
    </w:lvl>
  </w:abstractNum>
  <w:abstractNum w:abstractNumId="18">
    <w:nsid w:val="836C40E"/>
    <w:multiLevelType w:val="hybridMultilevel"/>
    <w:lvl w:ilvl="0">
      <w:lvlJc w:val="left"/>
      <w:lvlText w:val="(%1)"/>
      <w:numFmt w:val="lowerLetter"/>
      <w:start w:val="3"/>
    </w:lvl>
  </w:abstractNum>
  <w:abstractNum w:abstractNumId="19">
    <w:nsid w:val="2901D82"/>
    <w:multiLevelType w:val="hybridMultilevel"/>
    <w:lvl w:ilvl="0">
      <w:lvlJc w:val="left"/>
      <w:lvlText w:val="(%1)"/>
      <w:numFmt w:val="lowerLetter"/>
      <w:start w:val="5"/>
    </w:lvl>
    <w:lvl w:ilvl="1">
      <w:lvlJc w:val="left"/>
      <w:lvlText w:val="(%2)"/>
      <w:numFmt w:val="lowerLetter"/>
      <w:start w:val="2"/>
    </w:lvl>
  </w:abstractNum>
  <w:abstractNum w:abstractNumId="20">
    <w:nsid w:val="3A95F874"/>
    <w:multiLevelType w:val="hybridMultilevel"/>
    <w:lvl w:ilvl="0">
      <w:lvlJc w:val="left"/>
      <w:lvlText w:val="%1"/>
      <w:numFmt w:val="lowerLetter"/>
      <w:start w:val="1"/>
    </w:lvl>
    <w:lvl w:ilvl="1">
      <w:lvlJc w:val="left"/>
      <w:lvlText w:val="(%2)"/>
      <w:numFmt w:val="lowerLetter"/>
      <w:start w:val="7"/>
    </w:lvl>
  </w:abstractNum>
  <w:abstractNum w:abstractNumId="21">
    <w:nsid w:val="8138641"/>
    <w:multiLevelType w:val="hybridMultilevel"/>
    <w:lvl w:ilvl="0">
      <w:lvlJc w:val="left"/>
      <w:lvlText w:val="(%1)"/>
      <w:numFmt w:val="lowerLetter"/>
      <w:start w:val="7"/>
    </w:lvl>
    <w:lvl w:ilvl="1">
      <w:lvlJc w:val="left"/>
      <w:lvlText w:val="%2"/>
      <w:numFmt w:val="lowerLetter"/>
      <w:start w:val="1"/>
    </w:lvl>
  </w:abstractNum>
  <w:abstractNum w:abstractNumId="22">
    <w:nsid w:val="1E7FF521"/>
    <w:multiLevelType w:val="hybridMultilevel"/>
    <w:lvl w:ilvl="0">
      <w:lvlJc w:val="left"/>
      <w:lvlText w:val="(%1)"/>
      <w:numFmt w:val="lowerLetter"/>
      <w:start w:val="12"/>
    </w:lvl>
  </w:abstractNum>
  <w:abstractNum w:abstractNumId="23">
    <w:nsid w:val="7C3DBD3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4">
    <w:nsid w:val="737B8DDC"/>
    <w:multiLevelType w:val="hybridMultilevel"/>
    <w:lvl w:ilvl="0">
      <w:lvlJc w:val="left"/>
      <w:lvlText w:val="(%1)"/>
      <w:numFmt w:val="lowerLetter"/>
      <w:start w:val="14"/>
    </w:lvl>
    <w:lvl w:ilvl="1">
      <w:lvlJc w:val="left"/>
      <w:lvlText w:val="(%2)"/>
      <w:numFmt w:val="lowerLetter"/>
      <w:start w:val="5"/>
    </w:lvl>
    <w:lvl w:ilvl="2">
      <w:lvlJc w:val="left"/>
      <w:lvlText w:val="%3"/>
      <w:numFmt w:val="upperLetter"/>
      <w:start w:val="1"/>
    </w:lvl>
  </w:abstractNum>
  <w:abstractNum w:abstractNumId="25">
    <w:nsid w:val="6CEAF087"/>
    <w:multiLevelType w:val="hybridMultilevel"/>
    <w:lvl w:ilvl="0">
      <w:lvlJc w:val="left"/>
      <w:lvlText w:val="(%1)"/>
      <w:numFmt w:val="lowerLetter"/>
      <w:start w:val="16"/>
    </w:lvl>
  </w:abstractNum>
  <w:abstractNum w:abstractNumId="26">
    <w:nsid w:val="22221A70"/>
    <w:multiLevelType w:val="hybridMultilevel"/>
    <w:lvl w:ilvl="0">
      <w:lvlJc w:val="left"/>
      <w:lvlText w:val="(%1)"/>
      <w:numFmt w:val="lowerLetter"/>
      <w:start w:val="1"/>
    </w:lvl>
    <w:lvl w:ilvl="1">
      <w:lvlJc w:val="left"/>
      <w:lvlText w:val="(%2)"/>
      <w:numFmt w:val="lowerRoman"/>
      <w:start w:val="1"/>
    </w:lvl>
  </w:abstractNum>
  <w:abstractNum w:abstractNumId="27">
    <w:nsid w:val="4516DDE9"/>
    <w:multiLevelType w:val="hybridMultilevel"/>
    <w:lvl w:ilvl="0">
      <w:lvlJc w:val="left"/>
      <w:lvlText w:val="%1"/>
      <w:numFmt w:val="lowerLetter"/>
      <w:start w:val="1"/>
    </w:lvl>
    <w:lvl w:ilvl="1">
      <w:lvlJc w:val="left"/>
      <w:lvlText w:val="(%2)"/>
      <w:numFmt w:val="lowerRoman"/>
      <w:start w:val="3"/>
    </w:lvl>
  </w:abstractNum>
  <w:abstractNum w:abstractNumId="28">
    <w:nsid w:val="3006C83E"/>
    <w:multiLevelType w:val="hybridMultilevel"/>
    <w:lvl w:ilvl="0">
      <w:lvlJc w:val="left"/>
      <w:lvlText w:val="(%1)"/>
      <w:numFmt w:val="lowerLetter"/>
      <w:start w:val="2"/>
    </w:lvl>
    <w:lvl w:ilvl="1">
      <w:lvlJc w:val="left"/>
      <w:lvlText w:val="(%2)"/>
      <w:numFmt w:val="lowerRoman"/>
      <w:start w:val="1"/>
    </w:lvl>
  </w:abstractNum>
  <w:abstractNum w:abstractNumId="29">
    <w:nsid w:val="614FD4A1"/>
    <w:multiLevelType w:val="hybridMultilevel"/>
    <w:lvl w:ilvl="0">
      <w:lvlJc w:val="left"/>
      <w:lvlText w:val="(%1)"/>
      <w:numFmt w:val="lowerRoman"/>
      <w:start w:val="4"/>
    </w:lvl>
  </w:abstractNum>
  <w:abstractNum w:abstractNumId="30">
    <w:nsid w:val="419AC241"/>
    <w:multiLevelType w:val="hybridMultilevel"/>
    <w:lvl w:ilvl="0">
      <w:lvlJc w:val="left"/>
      <w:lvlText w:val="%1"/>
      <w:numFmt w:val="decimal"/>
      <w:start w:val="1"/>
    </w:lvl>
    <w:lvl w:ilvl="1">
      <w:lvlJc w:val="left"/>
      <w:lvlText w:val="(%2)"/>
      <w:numFmt w:val="lowerLetter"/>
      <w:start w:val="3"/>
    </w:lvl>
  </w:abstractNum>
  <w:abstractNum w:abstractNumId="31">
    <w:nsid w:val="5577F8E1"/>
    <w:multiLevelType w:val="hybridMultilevel"/>
    <w:lvl w:ilvl="0">
      <w:lvlJc w:val="left"/>
      <w:lvlText w:val="%1."/>
      <w:numFmt w:val="decimal"/>
      <w:start w:val="4"/>
    </w:lvl>
    <w:lvl w:ilvl="1">
      <w:lvlJc w:val="left"/>
      <w:lvlText w:val="%2"/>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lowerLetter"/>
      <w:start w:val="1"/>
    </w:lvl>
    <w:lvl w:ilvl="1">
      <w:lvlJc w:val="left"/>
      <w:lvlText w:val="(%2)"/>
      <w:numFmt w:val="lowerRoman"/>
      <w:start w:val="1"/>
    </w:lvl>
  </w:abstractNum>
  <w:abstractNum w:abstractNumId="35">
    <w:nsid w:val="77465F01"/>
    <w:multiLevelType w:val="hybridMultilevel"/>
    <w:lvl w:ilvl="0">
      <w:lvlJc w:val="left"/>
      <w:lvlText w:val="%1."/>
      <w:numFmt w:val="decimal"/>
      <w:start w:val="6"/>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1" Type="http://schemas.openxmlformats.org/officeDocument/2006/relationships/hyperlink" Target="http://www.sec.gov/Archives/edgar/data/1141103/000114420418048862/tv50264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2019-12-28T18:37:19Z</dcterms:created>
  <dcterms:modified xsi:type="dcterms:W3CDTF">2019-12-28T18:37:19Z</dcterms:modified>
</cp:coreProperties>
</file>