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103" w:lineRule="exact"/>
        <w:rPr>
          <w:sz w:val="24"/>
          <w:szCs w:val="24"/>
          <w:color w:val="auto"/>
        </w:rPr>
      </w:pPr>
    </w:p>
    <w:p>
      <w:pPr>
        <w:ind w:left="2660" w:hanging="181"/>
        <w:spacing w:after="0"/>
        <w:tabs>
          <w:tab w:leader="none" w:pos="2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3680" w:right="2340" w:hanging="1212"/>
        <w:spacing w:after="0" w:line="353" w:lineRule="auto"/>
        <w:tabs>
          <w:tab w:leader="none" w:pos="266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color w:val="auto"/>
        </w:rPr>
        <w:t>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-50165</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1188" w:right="459" w:bottom="1440" w:gutter="0" w:footer="0" w:header="0"/>
        </w:sectPr>
      </w:pPr>
    </w:p>
    <w:p>
      <w:pPr>
        <w:spacing w:after="0" w:line="4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86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0-33169</w:t>
      </w: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Commission</w:t>
      </w: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13-4066229</w:t>
      </w:r>
    </w:p>
    <w:p>
      <w:pPr>
        <w:spacing w:after="0" w:line="3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Identification Number)</w:t>
      </w:r>
    </w:p>
    <w:p>
      <w:pPr>
        <w:spacing w:after="0" w:line="188" w:lineRule="exact"/>
        <w:rPr>
          <w:sz w:val="24"/>
          <w:szCs w:val="24"/>
          <w:color w:val="auto"/>
        </w:rPr>
      </w:pPr>
    </w:p>
    <w:p>
      <w:pPr>
        <w:sectPr>
          <w:pgSz w:w="11900" w:h="16838" w:orient="portrait"/>
          <w:cols w:equalWidth="0" w:num="3">
            <w:col w:w="4500" w:space="720"/>
            <w:col w:w="2680" w:space="720"/>
            <w:col w:w="2500"/>
          </w:cols>
          <w:pgMar w:left="320" w:top="1188"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6551 Park of Commerce Boulevard, N.W.</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Boca Raton, Florida 33487</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offices)(Zip Code)</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(561) 998-2232</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20"/>
          </w:cols>
          <w:pgMar w:left="320" w:top="1188" w:right="45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060" w:space="720"/>
            <w:col w:w="1980" w:space="720"/>
            <w:col w:w="3640"/>
          </w:cols>
          <w:pgMar w:left="320" w:top="1188" w:right="4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00" w:space="720"/>
            <w:col w:w="2300" w:space="720"/>
            <w:col w:w="2980"/>
          </w:cols>
          <w:pgMar w:left="320" w:top="1188" w:right="459" w:bottom="1440" w:gutter="0" w:footer="0" w:header="0"/>
          <w:type w:val="continuous"/>
        </w:sectPr>
      </w:pPr>
    </w:p>
    <w:p>
      <w:pPr>
        <w:spacing w:after="0" w:line="21" w:lineRule="exact"/>
        <w:rPr>
          <w:sz w:val="24"/>
          <w:szCs w:val="24"/>
          <w:color w:val="auto"/>
        </w:rPr>
      </w:pPr>
    </w:p>
    <w:p>
      <w:pPr>
        <w:ind w:right="2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p>
      <w:pPr>
        <w:jc w:val="center"/>
        <w:ind w:right="-119"/>
        <w:spacing w:after="0" w:line="184" w:lineRule="exact"/>
        <w:tabs>
          <w:tab w:leader="none" w:pos="140" w:val="left"/>
          <w:tab w:leader="none" w:pos="1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jc w:val="center"/>
        <w:ind w:right="-119"/>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86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outstanding </w:t>
      </w:r>
      <w:r>
        <w:rPr>
          <w:rFonts w:ascii="Times New Roman" w:cs="Times New Roman" w:eastAsia="Times New Roman" w:hAnsi="Times New Roman"/>
          <w:sz w:val="17"/>
          <w:szCs w:val="17"/>
          <w:color w:val="auto"/>
        </w:rPr>
        <w:t>33,808,610</w:t>
      </w:r>
      <w:r>
        <w:rPr>
          <w:rFonts w:ascii="Times New Roman" w:cs="Times New Roman" w:eastAsia="Times New Roman" w:hAnsi="Times New Roman"/>
          <w:sz w:val="16"/>
          <w:szCs w:val="16"/>
          <w:color w:val="auto"/>
        </w:rPr>
        <w:t xml:space="preserve"> shares of common stock, par value $0.0001 per share, as of 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8" w:right="4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overall macroeconomic environment, including increased inflation and interest rates, demand for the healthcare services that we provide, both nationally and in the regions in which we operate,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including data privacy and protection laws, social, ethical, and security issues relating to the use of artificial intelligence, our customers’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2023 (2023 Form 10-K), as filed and updated in our subsequent Quarterly Reports on Form 10-Q and other filings with the Securities and Exchange Commission (SEC).</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14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gridSpan w:val="9"/>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gridSpan w:val="6"/>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7"/>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4460" w:type="dxa"/>
            <w:vAlign w:val="bottom"/>
            <w:gridSpan w:val="7"/>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Income (Unaudited)</w:t>
            </w:r>
          </w:p>
        </w:tc>
        <w:tc>
          <w:tcPr>
            <w:tcW w:w="1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3020" w:type="dxa"/>
            <w:vAlign w:val="bottom"/>
            <w:gridSpan w:val="3"/>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3680" w:type="dxa"/>
            <w:vAlign w:val="bottom"/>
            <w:gridSpan w:val="5"/>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400" w:type="dxa"/>
            <w:vAlign w:val="bottom"/>
            <w:gridSpan w:val="4"/>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22</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960" w:type="dxa"/>
            <w:vAlign w:val="bottom"/>
            <w:tcBorders>
              <w:left w:val="single" w:sz="8" w:color="0000FF"/>
            </w:tcBorders>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6500" w:type="dxa"/>
            <w:vAlign w:val="bottom"/>
            <w:gridSpan w:val="10"/>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35</w:t>
            </w:r>
          </w:p>
        </w:tc>
      </w:tr>
      <w:tr>
        <w:trPr>
          <w:trHeight w:val="26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87"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17,094</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$35,744 in 2024 and $20,547 in 2023</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372,352</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7,681</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415,153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$18,859 in 2024 and $15,808 in 2023</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27,339</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Cloud computing</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5,987</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602,883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679,317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85,333</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52,297</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Earnout liability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148,587</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claims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liability</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205,924</w:t>
            </w:r>
          </w:p>
        </w:tc>
      </w:tr>
      <w:tr>
        <w:trPr>
          <w:trHeight w:val="203"/>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236,417</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224,999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238,357</w:t>
            </w: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439,062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473,393</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602,883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1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540,695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1,163,402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417,556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900,840</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505,506</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1,084,416</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78,986</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19,644</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foreign currency translation (loss) gain, net of tax</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33,960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35,524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34,088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36,041</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880" w:top="887" w:right="879" w:bottom="1440" w:gutter="0" w:footer="0" w:header="0"/>
        </w:sectPr>
      </w:pPr>
    </w:p>
    <w:bookmarkStart w:id="5" w:name="page6"/>
    <w:bookmarkEnd w:id="5"/>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CROSS COUNTRY HEALTHCARE, INC. 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Three Months Ended June 30, 2024 and 2023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8"/>
        </w:trPr>
        <w:tc>
          <w:tcPr>
            <w:tcW w:w="4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280" w:type="dxa"/>
            <w:vAlign w:val="bottom"/>
          </w:tcPr>
          <w:p>
            <w:pPr>
              <w:jc w:val="right"/>
              <w:ind w:right="14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1"/>
                <w:szCs w:val="11"/>
                <w:color w:val="auto"/>
              </w:rPr>
            </w:pPr>
          </w:p>
        </w:tc>
        <w:tc>
          <w:tcPr>
            <w:tcW w:w="100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March 31, 2024</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34,326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228,525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(1,388)</w:t>
            </w:r>
          </w:p>
        </w:tc>
        <w:tc>
          <w:tcPr>
            <w:tcW w:w="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241,049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468,190</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42</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(247)</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2,259</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2,259</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(980)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(14,945)</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(14,946)</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(16,050)</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(16,050)</w:t>
            </w: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June 30, 2024</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33,388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215,449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(1,389)</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224,999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439,062</w:t>
            </w:r>
          </w:p>
        </w:tc>
      </w:tr>
      <w:tr>
        <w:trPr>
          <w:trHeight w:val="20"/>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8"/>
        </w:trPr>
        <w:tc>
          <w:tcPr>
            <w:tcW w:w="4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280" w:type="dxa"/>
            <w:vAlign w:val="bottom"/>
          </w:tcPr>
          <w:p>
            <w:pPr>
              <w:jc w:val="right"/>
              <w:ind w:right="14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1"/>
                <w:szCs w:val="11"/>
                <w:color w:val="auto"/>
              </w:rPr>
            </w:pPr>
          </w:p>
        </w:tc>
        <w:tc>
          <w:tcPr>
            <w:tcW w:w="98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March 31, 2023</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35,454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258,144</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(1,380)</w:t>
            </w:r>
          </w:p>
        </w:tc>
        <w:tc>
          <w:tcPr>
            <w:tcW w:w="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195,162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451,930</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49</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(373)</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2,205</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2,205</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(198)</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(4,723)</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(4,723)</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r>
      <w:tr>
        <w:trPr>
          <w:trHeight w:val="20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21,345</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21,345</w:t>
            </w: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June 30, 2023</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35,305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255,216</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(1,379)</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216,507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470,348</w:t>
            </w:r>
          </w:p>
        </w:tc>
      </w:tr>
      <w:tr>
        <w:trPr>
          <w:trHeight w:val="21"/>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80" w:top="8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18"/>
                <w:szCs w:val="18"/>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1"/>
                <w:szCs w:val="11"/>
                <w:color w:val="auto"/>
              </w:rPr>
            </w:pPr>
          </w:p>
        </w:tc>
        <w:tc>
          <w:tcPr>
            <w:tcW w:w="11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00" w:type="dxa"/>
            <w:vAlign w:val="bottom"/>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0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2023</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34,385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236,417</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238,357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473,393</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(2,953)</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(2,953)</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3,457</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3,457</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(1,290)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(21,313)</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(21,314)</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(159)</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(13,358)</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(13,358)</w:t>
            </w:r>
          </w:p>
        </w:tc>
        <w:tc>
          <w:tcPr>
            <w:tcW w:w="0" w:type="dxa"/>
            <w:vAlign w:val="bottom"/>
          </w:tcPr>
          <w:p>
            <w:pPr>
              <w:spacing w:after="0"/>
              <w:rPr>
                <w:sz w:val="1"/>
                <w:szCs w:val="1"/>
                <w:color w:val="auto"/>
              </w:rPr>
            </w:pP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June 30, 2024</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33,388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215,449</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224,999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439,062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060" w:type="dxa"/>
            <w:vAlign w:val="bottom"/>
          </w:tcPr>
          <w:p>
            <w:pPr>
              <w:spacing w:after="0"/>
              <w:rPr>
                <w:sz w:val="24"/>
                <w:szCs w:val="24"/>
                <w:color w:val="auto"/>
              </w:rPr>
            </w:pPr>
          </w:p>
        </w:tc>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24"/>
                <w:szCs w:val="24"/>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24"/>
                <w:szCs w:val="24"/>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940" w:type="dxa"/>
            <w:vAlign w:val="bottom"/>
            <w:vMerge w:val="restart"/>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Pr>
          <w:p>
            <w:pPr>
              <w:spacing w:after="0"/>
              <w:rPr>
                <w:sz w:val="12"/>
                <w:szCs w:val="12"/>
                <w:color w:val="auto"/>
              </w:rPr>
            </w:pPr>
          </w:p>
        </w:tc>
        <w:tc>
          <w:tcPr>
            <w:tcW w:w="74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Pr>
          <w:p>
            <w:pPr>
              <w:spacing w:after="0"/>
              <w:rPr>
                <w:sz w:val="12"/>
                <w:szCs w:val="12"/>
                <w:color w:val="auto"/>
              </w:rPr>
            </w:pPr>
          </w:p>
        </w:tc>
        <w:tc>
          <w:tcPr>
            <w:tcW w:w="940" w:type="dxa"/>
            <w:vAlign w:val="bottom"/>
          </w:tcPr>
          <w:p>
            <w:pPr>
              <w:jc w:val="center"/>
              <w:ind w:right="124"/>
              <w:spacing w:after="0" w:line="14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80" w:type="dxa"/>
            <w:vAlign w:val="bottom"/>
          </w:tcPr>
          <w:p>
            <w:pPr>
              <w:spacing w:after="0"/>
              <w:rPr>
                <w:sz w:val="12"/>
                <w:szCs w:val="12"/>
                <w:color w:val="auto"/>
              </w:rPr>
            </w:pPr>
          </w:p>
        </w:tc>
        <w:tc>
          <w:tcPr>
            <w:tcW w:w="1300" w:type="dxa"/>
            <w:vAlign w:val="bottom"/>
          </w:tcPr>
          <w:p>
            <w:pPr>
              <w:jc w:val="center"/>
              <w:ind w:right="104"/>
              <w:spacing w:after="0" w:line="142"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2"/>
                <w:szCs w:val="12"/>
                <w:color w:val="auto"/>
              </w:rPr>
            </w:pPr>
          </w:p>
        </w:tc>
        <w:tc>
          <w:tcPr>
            <w:tcW w:w="110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02"/>
        </w:trPr>
        <w:tc>
          <w:tcPr>
            <w:tcW w:w="40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36,303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292,876</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165,726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457,219</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424</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(4,886)</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(4,886)</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3,980</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3,980</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(1,422)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(36,483)</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(36,483)</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(271)</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50,781</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50,781</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Balances at June 30, 2023</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35,305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255,216</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(1,379)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216,507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470,348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146,443</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(66,548)</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166,113</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Acquisition-related settlements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(7,492)</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(73,875)</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Senior Secured Asset-Based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553,419</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on Senior Secured Asset-Based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(599,219)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for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repurchase and retirement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(36,483)</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(161,552)</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2024.</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2023 included in the 2023 Form 10-K. The December 31, 2023 condensed consolidated balance sheet included herein was derived from the December 31, 2023 audited consolidated balance sheet included in the 2023 Form 10-K.</w:t>
      </w:r>
    </w:p>
    <w:p>
      <w:pPr>
        <w:spacing w:after="0" w:line="200" w:lineRule="exact"/>
        <w:rPr>
          <w:sz w:val="20"/>
          <w:szCs w:val="20"/>
          <w:color w:val="auto"/>
        </w:rPr>
      </w:pPr>
    </w:p>
    <w:p>
      <w:pPr>
        <w:spacing w:after="0" w:line="242" w:lineRule="exact"/>
        <w:rPr>
          <w:sz w:val="20"/>
          <w:szCs w:val="20"/>
          <w:color w:val="auto"/>
        </w:rPr>
      </w:pPr>
    </w:p>
    <w:p>
      <w:pPr>
        <w:ind w:right="6200" w:firstLine="8"/>
        <w:spacing w:after="0" w:line="534"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could materially and adversely impact the Company's consolidated financial statements in future reporting periods. Actual results could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Item 1A. Risk Factors in the 2023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56"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credit losses and sales allowances. Estimated revenue for the Company employees’, subcontracted employees’, and independent contractors’ time worked but not yet billed at June 30, 2024 and December 31, 2023 totaled $59.2 million and $89.9 million, respectively.</w:t>
      </w:r>
    </w:p>
    <w:p>
      <w:pPr>
        <w:spacing w:after="0" w:line="2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credit losses is established for losses expected to be incurred on accounts receivable balances. Accounts receivable are written off against the allowance for credit losses when the Company determines amounts are no longer collectible. Judgment is required in the estimation of the allowance and the Company evaluates the collectability of</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9" w:name="page10"/>
    <w:bookmarkEnd w:id="9"/>
    <w:p>
      <w:pPr>
        <w:ind w:right="320"/>
        <w:spacing w:after="0" w:line="261" w:lineRule="auto"/>
        <w:rPr>
          <w:sz w:val="20"/>
          <w:szCs w:val="20"/>
          <w:color w:val="auto"/>
        </w:rPr>
      </w:pPr>
      <w:r>
        <w:rPr>
          <w:rFonts w:ascii="Times New Roman" w:cs="Times New Roman" w:eastAsia="Times New Roman" w:hAnsi="Times New Roman"/>
          <w:sz w:val="18"/>
          <w:szCs w:val="18"/>
          <w:color w:val="auto"/>
        </w:rPr>
        <w:t>its accounts receivable based on a combination of factors. The Company bases its allowance for credit losses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credit losses.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balance of the allowance for credit losses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35,032</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to the allowance for credit losses, the Company maintains a sales allowance for billing-related adjustments which may arise in the ordinary course of business and adjustments to the reserve are recorded as contra-revenue. The sales allowance balance as of June 30, 2024 and December 31, 2023 was $0.7 million and $0.9 million, respectively.</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revenue for the three and six months ended June 30, 2024 and 2023, or the Company’s accounts receivable balance as of June 30, 2024 and December 31, 2023. In 2023, there was an increase in credit loss expense primarily driven by a deterioration in the accounts receivable aging stemming from a single managed service programs (MSP) customer. On May 6, 2024, the customer filed a voluntary petition for relief under Chapter 11 of the United States Bankruptcy Code. As a result, the Company recorded an associated credit loss expense of $19.4 million in the second quarter of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56"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7"/>
          <w:szCs w:val="17"/>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and comprehensive (loss) income primarily include employee termination costs and lease-related exit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4"/>
          </w:tcPr>
          <w:p>
            <w:pPr>
              <w:jc w:val="right"/>
              <w:ind w:right="181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The amendments also require that all entities disclose, on an annual basis, disaggregated information regarding income taxes paid and income tax expense. This guidance is effective for annual periods beginning after December 15, 2024. The amendments should be applied prospectively, but retrospective application is permitted. Early adoption is permitted for annual financial statements that have not yet been issued or made available for issuance. The Company expects to adopt this standard for its annual report for the fiscal year ended December 31, 2025. The Company expects this ASU to only impact its disclosures with no impacts to results of operations, cash flows, and financial condition.</w:t>
      </w:r>
    </w:p>
    <w:p>
      <w:pPr>
        <w:spacing w:after="0" w:line="2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November 27,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 enhanced disclosures about significant segment expenses, enhances interim disclosure requirements, clarifies circumstances in which an entity can disclose multiple segment measures of profit or loss, provides new segment disclosure requirements for entities with a single reportable segment, and requires certain disclosures related to the chief operating decision maker. This guidance is effective for fiscal years beginning after December 15, 2023, and interim periods within fiscal years beginning after December 15, 2024. The amendments should be applied retrospectively to all prior periods presented in the financial statements. Early adoption is permitted. The Company expects to adopt this standard for its fiscal year ended December 31, 2024. The Company expects this ASU to only expand its disclosures with no impacts to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00" w:lineRule="exact"/>
        <w:rPr>
          <w:sz w:val="20"/>
          <w:szCs w:val="20"/>
          <w:color w:val="auto"/>
        </w:rPr>
      </w:pPr>
    </w:p>
    <w:p>
      <w:pPr>
        <w:spacing w:after="0" w:line="20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HireUp</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282,501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328,337</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291,451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2023</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483,560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526,675</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495,376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540,695</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607,475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697,800</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623,637</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95,308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718,945</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2023</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1,051,210</w:t>
            </w:r>
          </w:p>
        </w:tc>
        <w:tc>
          <w:tcPr>
            <w:tcW w:w="2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81,312</w:t>
            </w:r>
          </w:p>
        </w:tc>
        <w:tc>
          <w:tcPr>
            <w:tcW w:w="2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1,132,522</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1,077,678</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1,163,402</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-4354195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-4062730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-3068320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-2776855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-1782445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-1490980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83" w:lineRule="exact"/>
        <w:rPr>
          <w:sz w:val="20"/>
          <w:szCs w:val="20"/>
          <w:color w:val="auto"/>
        </w:rPr>
      </w:pPr>
    </w:p>
    <w:p>
      <w:pPr>
        <w:sectPr>
          <w:pgSz w:w="11900" w:h="16838" w:orient="portrait"/>
          <w:cols w:equalWidth="0" w:num="2">
            <w:col w:w="4940" w:space="720"/>
            <w:col w:w="5580"/>
          </w:cols>
          <w:pgMar w:left="320" w:top="887"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13, 2022, the Company purchased and acquired substantially all of the assets and assumed certain liabilities of HireUp Leadership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(HireUp) for a purchase price of $6.0 million in cash, subject to adjustment, and $0.8 million in shares (or 29,811 shares) of the Company's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was treated as a purchase of assets for income tax purposes.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ind w:right="80"/>
        <w:spacing w:after="0" w:line="258" w:lineRule="auto"/>
        <w:rPr>
          <w:sz w:val="20"/>
          <w:szCs w:val="20"/>
          <w:color w:val="auto"/>
        </w:rPr>
      </w:pPr>
      <w:r>
        <w:rPr>
          <w:rFonts w:ascii="Times New Roman" w:cs="Times New Roman" w:eastAsia="Times New Roman" w:hAnsi="Times New Roman"/>
          <w:sz w:val="18"/>
          <w:szCs w:val="18"/>
          <w:color w:val="auto"/>
        </w:rPr>
        <w:t>The sellers were eligible to receive up to an additional $8.0 million in earnout cash consideration based on HireUp's revenues and Adjusted EBITDA for each of the twelve-month periods ending on the first and second anniversaries of the first day after the closing date. Quarterly throughout 2023, and during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The Company paid the remaining earnout liability of $1.7 million in the first quarter of 2024. See Note 10 - Fair Value Measurements.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Mint</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sellers were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a calculation for the first measurement period, resulting in the achievement of a $4.9 million earnout, which was paid in the first quarter of 2024. During the first quarter of 2024, the Company performed analyses using multiple updated forecasted scenarios and determined that the earnout for the second measurement period would only be partially achieved and, as a result, recognized a decrease in the fair value of the related liabilities. The remaining liability of $4.1 million is included in the current portion of earnout liability on the condensed consolidated balance sheets. See Note 10 - Fair Value Measurements.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Country Workforce Solutions Group (CCWSG)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8, 2021, the Company purchased and acquired substantially all of the assets and assumed certain liabilities of Workforce Solutions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(WSG) for a purchase price of $25.0 million in cash and $5.0 million in shares (or 307,730 shares) of the Company's common stock.</w:t>
      </w:r>
    </w:p>
    <w:p>
      <w:pPr>
        <w:spacing w:after="0" w:line="2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sellers were eligible to receive an earnout based on the business' performance through three years after the acquisition date that could provide up to an additional $15.0 million in cash. In the third quarter of 2022, the Company determined that the contingent consideration earnout was achieved for the 2021 through 2022 period and, as a result, the Company made a $7.5 million earnout payment. In the third quarter of 2023, the Company determined that the contingent consideration earnout was achieved for the 2022 through 2023 period and, as a result, the Company made the final $7.5 million earnout payment.</w:t>
      </w:r>
    </w:p>
    <w:p>
      <w:pPr>
        <w:spacing w:after="0" w:line="200" w:lineRule="exact"/>
        <w:rPr>
          <w:sz w:val="20"/>
          <w:szCs w:val="20"/>
          <w:color w:val="auto"/>
        </w:rPr>
      </w:pPr>
    </w:p>
    <w:p>
      <w:pPr>
        <w:spacing w:after="0" w:line="2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COMPREHENSIVE (LOSS) INCOME</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Total comprehensive (loss) income includes net income or loss and foreign currency translation adjustments, net of any related deferred taxes, and is included within the accompanying condensed consolidated statements of operations and comprehensive (loss)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$1.5 million as of June 30, 2024 and December 31, 2023.</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income tax impact related to components of other comprehensive (loss) income for the three and six months ended June 30, 2024 and 2023 is included in unrealized foreign currency translation (loss) gain, net of tax in the condensed consolidated statements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0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63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3"/>
                <w:szCs w:val="23"/>
                <w:color w:val="auto"/>
              </w:rPr>
            </w:pPr>
          </w:p>
        </w:tc>
      </w:tr>
      <w:tr>
        <w:trPr>
          <w:trHeight w:val="250"/>
        </w:trPr>
        <w:tc>
          <w:tcPr>
            <w:tcW w:w="6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9"/>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8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data)</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common stockholders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35,606</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diluted shares: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awards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3"/>
        </w:trPr>
        <w:tc>
          <w:tcPr>
            <w:tcW w:w="636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Weighted average common shares - Diluted</w:t>
            </w:r>
            <w:r>
              <w:rPr>
                <w:rFonts w:ascii="Times New Roman" w:cs="Times New Roman" w:eastAsia="Times New Roman" w:hAnsi="Times New Roman"/>
                <w:sz w:val="23"/>
                <w:szCs w:val="23"/>
                <w:color w:val="auto"/>
                <w:vertAlign w:val="superscript"/>
              </w:rPr>
              <w:t>a</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6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80" w:firstLine="8"/>
        <w:spacing w:after="0" w:line="282" w:lineRule="auto"/>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the effect of diluted shares was not included in the weighted average share calculation due to the Company's net operating loss position.</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share-based awards that could potentially dilute net (loss) income per share attributable to common stockholders in the future that were not included in the computation of diluted net (loss) income per share attributable to common stockholders because to do so would have been anti-dilutive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(amounts in thousands)</w:t>
            </w: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100" w:type="dxa"/>
            <w:vAlign w:val="bottom"/>
            <w:gridSpan w:val="2"/>
            <w:shd w:val="clear" w:color="auto" w:fill="CCEEFF"/>
          </w:tcPr>
          <w:p>
            <w:pPr>
              <w:jc w:val="right"/>
              <w:ind w:right="555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6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7.  GOODWILL, TRADE NAMES, AND OTHER INTANGIBLE ASSETS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Company had the following acquired intangible assets: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4"/>
                <w:szCs w:val="14"/>
                <w:color w:val="auto"/>
              </w:rPr>
            </w:pP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24,971</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As of June 30, 2024, estimated annual amortization expense was as follows:</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900" w:type="dxa"/>
            <w:vAlign w:val="bottom"/>
            <w:gridSpan w:val="8"/>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June 30, 2024, the Company performed a qualitative assessment of each of its reporting units and determined that it was not more likely than not that the fair value of its reporting units dropped below their carrying value. Although management believes that the Company’s current estimates and assumptions utilized in its qualitative testing are reasonable and supportable, there can be no assurance that the estimates and assumptions management used for purposes of its assessment as of June 30, 2024 will prove to be accurate predictions of future performance.</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2024, goodwill by reporting segment was: $112.5 million for Nurse and Allied Staffing and $22.9 million for Physician Staffing, for a total of $135.4 million.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its long-lived assets and definite-lived intangible assets, the Company reviews for impairment whenever events or changes in circumstances indicate that the carrying amount may not be recoverable. As of June 30, 2024, the Company performed a qualitative assessment of its trade names and other intangible assets and determined it was not more likely than not that their carrying value may not be recoverable. During the three months ended June 30, 2023, the Company wrote off an abandoned IT project, resulting in an impairment charge.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Senior Secured Asset-Based Loan, interest of 7.19% and 6.99% at June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4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0"/>
                <w:szCs w:val="20"/>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40" w:space="100"/>
            <w:col w:w="5000"/>
          </w:cols>
          <w:pgMar w:left="320" w:top="887" w:right="339" w:bottom="1440" w:gutter="0" w:footer="0" w:header="0"/>
        </w:sectPr>
      </w:pP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there was no debt outstanding on the condensed consolidated balance sheets. The Company has elected to present the debt issuance costs associated with its senior secured asset-based credit facility as an asset, included in other assets on the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 Credit Agreement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w:t>
      </w:r>
    </w:p>
    <w:p>
      <w:pPr>
        <w:spacing w:after="0" w:line="189"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On November 18, 2021, the Company amended the Term Loan Agreement (Term Loan First Amendment), which provided the Company an incremental borrowing in an aggregate amount equal to $75.0 million. Additionally, the Term Loan First Amendment increased the aggregate amount of all increases (as defined in the Term Loan Agreement) to be no greater than $115.0 million.</w:t>
      </w:r>
    </w:p>
    <w:p>
      <w:pPr>
        <w:spacing w:after="0" w:line="2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April 14, 2023, the Company amended the Term Loan Agreement (Term Loan Second Amendment), which provided the option for all or a portion of the borrowings to bear interest at a rate based on the Secured Overnight Financing Rate (SOFR) or the Base Rate (as defined in the Term Loan Agreement), at the election of the borrowers, plus an applicable margin.</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30, 2023, the Company repaid all outstanding obligations of $73.9 million under the term loan and terminated the Term Loan Agreement. As a result, debt issuance costs of $1.7 million were written off in the second quarter of 2023. There were no prepayment premiums associated with the payoff and all subsidiary guarantees of the term loan were automatically released.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Asset-Based Loan Agreement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October 25, 2019, the Company terminated its prior senior credit facility and entered into an asset-based loan agreement, by and among the Company and certain of its domestic subsidiaries, as borrowers or guarantors, Wells Fargo Bank, N.A., and PNC Bank N.A., as well as other Lenders (as defined therein) from time to time parties thereto (Loan Agreement). The Loan Agreement provided for a five-year revolving senior secured asset-based credit facility (ABL) in the aggregate principal amount of up to $120.0 million, including a sublimit for swing loans up to $15.0 million and a $35.0 million sublimit for standby letters of credit.</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the Loan Agreement (First Amendment), which increased the current aggregate committed size of the ABL from $120.0 million to $130.0 million. All other terms, conditions, covenants, and pricing of the Loan Agreement remained the same.</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the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68"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On June 8, 2021, the Company amended the Loan Agreement (Third Amendment), which permitted the incurrence of indebtedness and grant of security as set forth in the Loan Agreement and in accordance with the Intercreditor Agreement (as defined in the Loan Agreement), and provides mechanics relating to a transition away from LIBOR as a benchmark interest rate to a replacement alternative benchmark rate or mechanism for loans made in U.S. dollars.</w:t>
      </w:r>
    </w:p>
    <w:p>
      <w:pPr>
        <w:spacing w:after="0" w:line="5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the Loan Agreement (Fourth Amendment), whereby the permitted indebtedness (as defined in the Loan Agreement), was increased to $175.0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6" w:name="page17"/>
    <w:bookmarkEnd w:id="16"/>
    <w:p>
      <w:pPr>
        <w:ind w:right="80"/>
        <w:spacing w:after="0" w:line="258" w:lineRule="auto"/>
        <w:rPr>
          <w:sz w:val="20"/>
          <w:szCs w:val="20"/>
          <w:color w:val="auto"/>
        </w:rPr>
      </w:pPr>
      <w:r>
        <w:rPr>
          <w:rFonts w:ascii="Times New Roman" w:cs="Times New Roman" w:eastAsia="Times New Roman" w:hAnsi="Times New Roman"/>
          <w:sz w:val="18"/>
          <w:szCs w:val="18"/>
          <w:color w:val="auto"/>
        </w:rPr>
        <w:t>On March 21, 2022, the Company amended the Loan Agreement (Fifth Amendment), which increased the current aggregate committed size of the ABL from $150.0 million to $300.0 million, extended the term of the credit facility for an additional five years, through March 21, 2027, and increased certain borrowing base sub-limits. In addition, the agreement provides the option for all or a portion of the borrowings to bear interest at a rate based on the SOFR or the Base Rate (as defined in the Loan Agreement), at the election of the borrowers, plus an applicable margin. The applicable margin increased 10 basis points due to the credit spread associated with the transition to SOFR.</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2023, the Company amended the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are amortized ratably over the remaining term of the Loan Agreement.</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ABL availability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At June 30, 2024, there were no borrowings drawn under the ABL, and borrowing base availability under the ABL was $166.7 million, with $152.9 million of availability net of $13.8 million of letters of credit outstanding related to workers' compensation and professional liability policies.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2024,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7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Loan Agreement contains various restrictions applicable to the Company and its subsidiaries. For the three months ended June 30, 2024, the excess availability did not fall below the stated threshold and, as a result, there was no covenant compliance period. Obligations under the ABL are secured by substantially all of the assets of the borrowers and guarantors,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part of the Company's restructuring activities, management periodically reduces or fully vacates leased office space, which results in right-of-use impairment charges. The Company may also write off leasehold improvements or other property and equipment related to these locations. The measurement of these impairments is a Level 3 fair value measurement. For the three and six months ended June 30, 2024 and 2023, the Company did not record any material lease-related impairment charges. See Note 2 - Summary of Significant Accounting Policies for a description of the Company's restructuring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Condensed Consolidated Balance Sheets: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20" w:type="dxa"/>
            <w:vAlign w:val="bottom"/>
            <w:tcBorders>
              <w:bottom w:val="single" w:sz="8" w:color="auto"/>
            </w:tcBorders>
          </w:tcPr>
          <w:p>
            <w:pPr>
              <w:spacing w:after="0"/>
              <w:rPr>
                <w:sz w:val="20"/>
                <w:szCs w:val="20"/>
                <w:color w:val="auto"/>
              </w:rPr>
            </w:pPr>
          </w:p>
        </w:tc>
      </w:tr>
      <w:tr>
        <w:trPr>
          <w:trHeight w:val="223"/>
        </w:trPr>
        <w:tc>
          <w:tcPr>
            <w:tcW w:w="5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2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520" w:type="dxa"/>
            <w:vAlign w:val="bottom"/>
          </w:tcPr>
          <w:p>
            <w:pPr>
              <w:spacing w:after="0"/>
              <w:rPr>
                <w:sz w:val="19"/>
                <w:szCs w:val="19"/>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2,635</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8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2,085</w:t>
            </w:r>
          </w:p>
        </w:tc>
        <w:tc>
          <w:tcPr>
            <w:tcW w:w="21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8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2,652</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8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3.06 years</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years</w:t>
            </w:r>
          </w:p>
        </w:tc>
      </w:tr>
      <w:tr>
        <w:trPr>
          <w:trHeight w:val="234"/>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r>
    </w:tbl>
    <w:p>
      <w:pPr>
        <w:spacing w:after="0" w:line="30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June 30,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1"/>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40" w:right="1240"/>
        <w:spacing w:after="0" w:line="29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Right-of-use assets acquired under 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 and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Short-term lease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 and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Short-term lease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1,734</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34"/>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1,047</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363</w:t>
            </w: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0"/>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358</w:t>
            </w: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34"/>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(45)</w:t>
            </w: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686</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0"/>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777</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34"/>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580</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bl>
    <w:p>
      <w:pPr>
        <w:spacing w:after="0" w:line="200" w:lineRule="exact"/>
        <w:rPr>
          <w:sz w:val="20"/>
          <w:szCs w:val="20"/>
          <w:color w:val="auto"/>
        </w:rPr>
      </w:pPr>
    </w:p>
    <w:p>
      <w:pPr>
        <w:sectPr>
          <w:pgSz w:w="11900" w:h="16838" w:orient="portrait"/>
          <w:cols w:equalWidth="0" w:num="2">
            <w:col w:w="7160" w:space="120"/>
            <w:col w:w="3880"/>
          </w:cols>
          <w:pgMar w:left="320" w:top="887" w:right="419" w:bottom="1440" w:gutter="0" w:footer="0" w:header="0"/>
        </w:sectPr>
      </w:pPr>
    </w:p>
    <w:p>
      <w:pPr>
        <w:spacing w:after="0" w:line="10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and comprehensive (loss) income, depending on the nature of the leased asset. Operating lease expense is reported net of sublease income, which is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did not have any material operating leases that had not yet commenced, and does not have any finance lease contracts.</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type w:val="continuous"/>
        </w:sectPr>
      </w:pPr>
    </w:p>
    <w:bookmarkStart w:id="19" w:name="page20"/>
    <w:bookmarkEnd w:id="19"/>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primarily its: (i) deferred compensation asset included in other assets; and (ii) deferred compensation liability included in other liabilities on its condensed consolidated balance sheets.</w:t>
      </w:r>
    </w:p>
    <w:p>
      <w:pPr>
        <w:spacing w:after="0" w:line="187"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50" w:lineRule="exact"/>
        <w:rPr>
          <w:sz w:val="20"/>
          <w:szCs w:val="20"/>
          <w:color w:val="auto"/>
        </w:rPr>
      </w:pPr>
    </w:p>
    <w:p>
      <w:pPr>
        <w:ind w:left="722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June 30, 2024</w:t>
      </w:r>
      <w:r>
        <w:rPr>
          <w:sz w:val="20"/>
          <w:szCs w:val="20"/>
          <w:color w:val="auto"/>
        </w:rPr>
        <w:tab/>
      </w: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19685</wp:posOffset>
            </wp:positionV>
            <wp:extent cx="2905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-127000</wp:posOffset>
            </wp:positionV>
            <wp:extent cx="71062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27"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3,561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30"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2,899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any material impairment charges during the three and six months ended June 30,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w:t>
      </w:r>
    </w:p>
    <w:p>
      <w:pPr>
        <w:spacing w:after="0" w:line="2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financial instruments measured or recorded at fair value include earnout liabilities related to the (i) Mint and (ii) HireUp acquisitions, as discussed below.</w:t>
      </w:r>
    </w:p>
    <w:p>
      <w:pPr>
        <w:spacing w:after="0" w:line="189" w:lineRule="exact"/>
        <w:rPr>
          <w:sz w:val="20"/>
          <w:szCs w:val="20"/>
          <w:color w:val="auto"/>
        </w:rPr>
      </w:pPr>
    </w:p>
    <w:p>
      <w:pPr>
        <w:ind w:right="120" w:firstLine="8"/>
        <w:spacing w:after="0" w:line="247"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earnout payments related to the Mint acquisition are contingent upon meeting certain performance requirements based on 2022 through 2024 performance. On a quarterly basis, the Company performs an analysis using multiple forecasted scenarios to determine the fair value of the earnout liability. In the fourth quarter of 2023, the Company performed the earnout calculation for the first measurement period, resulting in an earnout of</w:t>
      </w:r>
    </w:p>
    <w:p>
      <w:pPr>
        <w:spacing w:after="0" w:line="1" w:lineRule="exact"/>
        <w:rPr>
          <w:rFonts w:ascii="Times New Roman" w:cs="Times New Roman" w:eastAsia="Times New Roman" w:hAnsi="Times New Roman"/>
          <w:sz w:val="18"/>
          <w:szCs w:val="18"/>
          <w:color w:val="auto"/>
        </w:rPr>
      </w:pPr>
    </w:p>
    <w:p>
      <w:pPr>
        <w:ind w:right="32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which was paid in the first quarter of 2024. During the first quarter of 2024, the Company determined that the earnout for the second measurement period would only be partially achieved and, as a result, recognized a decrease in the fair value of the related liabilities. The remaining liability of $4.1 million is included in the current portion of earnout liability on the condensed consolidated balance sheets. The carrying amount of the earnout liability approximates fair value. See Note 4 - Acquisitions.</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9" w:right="399" w:bottom="1440" w:gutter="0" w:footer="0" w:header="0"/>
        </w:sectPr>
      </w:pPr>
    </w:p>
    <w:bookmarkStart w:id="20" w:name="page21"/>
    <w:bookmarkEnd w:id="20"/>
    <w:p>
      <w:pPr>
        <w:ind w:right="60" w:firstLine="8"/>
        <w:spacing w:after="0" w:line="246"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earnout payments related to the HireUp acquisition were contingent upon meeting certain performance requirements based on 2022 through 2024 performance. Quarterly throughout 2023 and in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remaining liability of $1.7 million was paid in the first quarter of 2024. See Note 4 - Acquisitions.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credit losses in Note 2 - Summary of Significant Accounting Policies. Overall, based on the large number of customers in differing geographic areas, primarily throughout the United States and its territories, the Company believes that the concentration of credit risk is limited.</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2023, the Company’s Board of Directors authorized approximately $59.0 million in additional share repurchases to be added to the prior</w:t>
      </w:r>
    </w:p>
    <w:p>
      <w:pPr>
        <w:spacing w:after="0" w:line="237" w:lineRule="auto"/>
        <w:rPr>
          <w:sz w:val="20"/>
          <w:szCs w:val="20"/>
          <w:color w:val="auto"/>
        </w:rPr>
      </w:pPr>
      <w:r>
        <w:rPr>
          <w:rFonts w:ascii="Times New Roman" w:cs="Times New Roman" w:eastAsia="Times New Roman" w:hAnsi="Times New Roman"/>
          <w:sz w:val="18"/>
          <w:szCs w:val="18"/>
          <w:color w:val="auto"/>
        </w:rPr>
        <w:t>authorized repurchase program, such that, effective for trades made after May 3, 2023, the aggregate amount available for stock repurchases was set at</w:t>
      </w:r>
    </w:p>
    <w:p>
      <w:pPr>
        <w:spacing w:after="0" w:line="234" w:lineRule="auto"/>
        <w:rPr>
          <w:sz w:val="20"/>
          <w:szCs w:val="20"/>
          <w:color w:val="auto"/>
        </w:rPr>
      </w:pPr>
      <w:r>
        <w:rPr>
          <w:rFonts w:ascii="Times New Roman" w:cs="Times New Roman" w:eastAsia="Times New Roman" w:hAnsi="Times New Roman"/>
          <w:sz w:val="18"/>
          <w:szCs w:val="18"/>
          <w:color w:val="auto"/>
        </w:rPr>
        <w:t>$100.0 million (the Repurchase Program). The shares can be repurchased from time-to-time in the open market or in privately negotiated transactions. The</w:t>
      </w:r>
    </w:p>
    <w:p>
      <w:pPr>
        <w:spacing w:after="0" w:line="235" w:lineRule="auto"/>
        <w:rPr>
          <w:sz w:val="20"/>
          <w:szCs w:val="20"/>
          <w:color w:val="auto"/>
        </w:rPr>
      </w:pPr>
      <w:r>
        <w:rPr>
          <w:rFonts w:ascii="Times New Roman" w:cs="Times New Roman" w:eastAsia="Times New Roman" w:hAnsi="Times New Roman"/>
          <w:sz w:val="18"/>
          <w:szCs w:val="18"/>
          <w:color w:val="auto"/>
        </w:rPr>
        <w:t>Repurchase Program does not obligate the Company to repurchase any particular number of shares of common stock and may be discontinued by the Board</w:t>
      </w:r>
    </w:p>
    <w:p>
      <w:pPr>
        <w:spacing w:after="0" w:line="235" w:lineRule="auto"/>
        <w:rPr>
          <w:sz w:val="20"/>
          <w:szCs w:val="20"/>
          <w:color w:val="auto"/>
        </w:rPr>
      </w:pPr>
      <w:r>
        <w:rPr>
          <w:rFonts w:ascii="Times New Roman" w:cs="Times New Roman" w:eastAsia="Times New Roman" w:hAnsi="Times New Roman"/>
          <w:sz w:val="18"/>
          <w:szCs w:val="18"/>
          <w:color w:val="auto"/>
        </w:rPr>
        <w:t>of Directors at any time. Decisions regarding the amount and the timing of repurchases under the Repurchase Program will be subject to the Company’s</w:t>
      </w:r>
    </w:p>
    <w:p>
      <w:pPr>
        <w:spacing w:after="0" w:line="235" w:lineRule="auto"/>
        <w:rPr>
          <w:sz w:val="20"/>
          <w:szCs w:val="20"/>
          <w:color w:val="auto"/>
        </w:rPr>
      </w:pPr>
      <w:r>
        <w:rPr>
          <w:rFonts w:ascii="Times New Roman" w:cs="Times New Roman" w:eastAsia="Times New Roman" w:hAnsi="Times New Roman"/>
          <w:sz w:val="18"/>
          <w:szCs w:val="18"/>
          <w:color w:val="auto"/>
        </w:rPr>
        <w:t>available liquidity and cash on hand, applicable legal requirements, the terms of the Company’s Loan Agreement, general market conditions, and other</w:t>
      </w:r>
    </w:p>
    <w:p>
      <w:pPr>
        <w:spacing w:after="0"/>
        <w:rPr>
          <w:sz w:val="20"/>
          <w:szCs w:val="20"/>
          <w:color w:val="auto"/>
        </w:rPr>
      </w:pPr>
      <w:r>
        <w:rPr>
          <w:rFonts w:ascii="Times New Roman" w:cs="Times New Roman" w:eastAsia="Times New Roman" w:hAnsi="Times New Roman"/>
          <w:sz w:val="18"/>
          <w:szCs w:val="18"/>
          <w:color w:val="auto"/>
        </w:rPr>
        <w:t>factors.</w:t>
      </w:r>
    </w:p>
    <w:p>
      <w:pPr>
        <w:spacing w:after="0" w:line="23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entered into a Rule 10b5-1 Repurchase Plan to allow for share repurchases during the Company's blackout periods, effective through November 2, 2023. During the third quarter of 2023, the Company entered into a new Rule 10b5-1 Repurchase Plan to allow for share repurchases during the Company's blackout periods, beginning on January 2, 2024 and effective through November 7, 2024.</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Company repurchased a total of 979,921 shares of common stock for $14.9 million, at an average price of $15.23 per share. During the six months ended June 30, 2024, the Company repurchased a total of 1,290,156 shares of common stock for an aggregate of $21.3 million, at an average price of $16.50 per share. During the three months ended June 30, 2023, the Company repurchased a total of 198,463 shares of common stock for $4.7 million, at an average price of $23.78 per share. During the six months ended June 30, 2023, the Company repurchased a total of 1,421,867 shares of common stock for $36.5 million, at an average price of $25.64 per share.</w:t>
      </w:r>
    </w:p>
    <w:p>
      <w:pPr>
        <w:spacing w:after="0" w:line="2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$56.0 million remaining for share repurchase under the Repurchase Program, subject to certain conditions in the Company's Loan Agreement. As of June 30, 2024, the Company had 33,388,000 unrestricted shares of common stock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43"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color w:val="auto"/>
        </w:rPr>
        <w:t>On May 14, 2024, the Company's stockholders approved the Cross Country Healthcare, Inc. 2024 Omnibus Incentive Plan (2024 Plan). Pursuant to the 2024 Plan, awards may be granted to employees, non-employee directors, consultants, and key advisors of the Company and its subsidiaries, including stock options (including incentive stock options and nonqualified stock options), stock appreciation rights, stock awards, stock units, other stock-based awards, and cash awards. The 2024 Plan was adopted principally to serve as a successor plan to the Cross Country Healthcare, Inc. 2020 Omnibus Incentive Plan (2020 Plan) and to increase the number of shares of Company common stock reserved for equity-based awards to 2,400,000 shares (in addition to the share reserve amount that remained available under the 2020 Plan immediately prior to the adoption of the 2024 Plan and other eligible returning shares). No awards may be granted under the 2024 Plan after May 13, 2034.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2020 Plan and the 2024 Plan (Plans) for the six months ended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375,377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(308,241)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June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564,414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Awards granted to non-employee directors under the Plans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Plans, the number of target shares that are issued for performance-based stock awards are determined based on the level of attainment of the targets. During the first quarter of 2024, the Company's Compensation Committee of the Board of Directors approved a 101% level of attainment for the 2021 performance-based share awards, resulting in the issuance of 145,908 performance shares that vested on March 31, 2024.</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2024, $2.3 million and $3.5 million, respectively, was included in selling, general and administrative expenses related to share-based payments, and a net of 42,227 and 293,251 shares, respectively, of common stock were issued upon the vesting of restricted and performance stock.</w:t>
      </w: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2023, $2.2 million and $4.0 million, respectively, was included in selling, general and administrative expenses related to share-based payments, and a net of 49,582 and 424,274 shares, respectively, of common stock were issued upon the vesting of restricted and performance stock.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segments offer services to its customers as described below:</w:t>
      </w:r>
    </w:p>
    <w:p>
      <w:pPr>
        <w:spacing w:after="0" w:line="250" w:lineRule="exact"/>
        <w:rPr>
          <w:sz w:val="20"/>
          <w:szCs w:val="20"/>
          <w:color w:val="auto"/>
        </w:rPr>
      </w:pPr>
    </w:p>
    <w:p>
      <w:pPr>
        <w:ind w:left="660" w:right="80" w:hanging="328"/>
        <w:spacing w:after="0" w:line="246" w:lineRule="auto"/>
        <w:tabs>
          <w:tab w:leader="none" w:pos="6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provides traditional staffing, recruiting, and value-added total talent solutions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and permanent placement of travel nurse and allied professionals, per diem, and healthcare leaders within nursing, allied, physician, human resources, and finance, MSP services, education healthcare services, in-home care services, and outsourcing services. In addition, Nurse and Allied Staffing provides executive search services for healthcare professionals, as well as contingent search and recruitment process outsourcing services, and offers the Company's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to manage all or a portion of their agency services. Its customers include: public and private acute care hospitals, non-acute care hospitals, government facilities, local healthcare plans, national healthcare plans, managed care providers, public schools, charter schools, academic medical centers, Programs of All-Inclusive Care for the Elderly (PACE) programs, outpatient clinics, ambulatory care facilities, physician practice groups, and many other healthcare providers throughout the United States.</w:t>
      </w:r>
    </w:p>
    <w:p>
      <w:pPr>
        <w:spacing w:after="0" w:line="218" w:lineRule="exact"/>
        <w:rPr>
          <w:rFonts w:ascii="Times New Roman" w:cs="Times New Roman" w:eastAsia="Times New Roman" w:hAnsi="Times New Roman"/>
          <w:sz w:val="18"/>
          <w:szCs w:val="18"/>
          <w:color w:val="auto"/>
        </w:rPr>
      </w:pPr>
    </w:p>
    <w:p>
      <w:pPr>
        <w:ind w:left="660" w:right="320" w:hanging="328"/>
        <w:spacing w:after="0" w:line="290" w:lineRule="auto"/>
        <w:tabs>
          <w:tab w:leader="none" w:pos="62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Physician Staffing </w:t>
      </w:r>
      <w:r>
        <w:rPr>
          <w:rFonts w:ascii="Times New Roman" w:cs="Times New Roman" w:eastAsia="Times New Roman" w:hAnsi="Times New Roman"/>
          <w:sz w:val="17"/>
          <w:szCs w:val="17"/>
          <w:color w:val="auto"/>
        </w:rPr>
        <w:t>– Physician Staffing provides physicians in many specialties, as well as certified registered nurse anesthetists, nurse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2" w:name="page23"/>
    <w:bookmarkEnd w:id="22"/>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evaluates performance of each segment primarily based on revenue and contribution income. The Company defines contribution income as income (loss) from operations before depreciation and amortization, acquisition and integration-related (benefits) costs, restructuring (benefits) costs, legal and other losses,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or among the operating segments.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(loss) income from operations for the periods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9"/>
                <w:szCs w:val="19"/>
                <w:color w:val="auto"/>
              </w:rPr>
            </w:pPr>
          </w:p>
        </w:tc>
        <w:tc>
          <w:tcPr>
            <w:tcW w:w="30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80" w:type="dxa"/>
            <w:vAlign w:val="bottom"/>
            <w:gridSpan w:val="5"/>
          </w:tcPr>
          <w:p>
            <w:pPr>
              <w:ind w:left="560"/>
              <w:spacing w:after="0"/>
              <w:rPr>
                <w:sz w:val="20"/>
                <w:szCs w:val="20"/>
                <w:color w:val="auto"/>
              </w:rPr>
            </w:pPr>
            <w:r>
              <w:rPr>
                <w:rFonts w:ascii="Times New Roman" w:cs="Times New Roman" w:eastAsia="Times New Roman" w:hAnsi="Times New Roman"/>
                <w:sz w:val="16"/>
                <w:szCs w:val="16"/>
                <w:color w:val="auto"/>
              </w:rPr>
              <w:t>(amounts in thousands)</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495,376</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623,637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1,077,678</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85,724</w:t>
            </w: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540,695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718,945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1,163,402</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123,650</w:t>
            </w:r>
          </w:p>
        </w:tc>
      </w:tr>
      <w:tr>
        <w:trPr>
          <w:trHeight w:val="230"/>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128,915</w:t>
            </w:r>
          </w:p>
        </w:tc>
      </w:tr>
      <w:tr>
        <w:trPr>
          <w:trHeight w:val="257"/>
        </w:trPr>
        <w:tc>
          <w:tcPr>
            <w:tcW w:w="4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37,547</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4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(b)</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80" w:firstLine="8"/>
        <w:spacing w:after="0" w:line="250"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include acquisition and integration-related costs.</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second quarter of 2024, the Company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320"/>
        <w:spacing w:after="0" w:line="266" w:lineRule="auto"/>
        <w:rPr>
          <w:sz w:val="20"/>
          <w:szCs w:val="20"/>
          <w:color w:val="auto"/>
        </w:rPr>
      </w:pPr>
      <w:r>
        <w:rPr>
          <w:rFonts w:ascii="Times New Roman" w:cs="Times New Roman" w:eastAsia="Times New Roman" w:hAnsi="Times New Roman"/>
          <w:sz w:val="18"/>
          <w:szCs w:val="18"/>
          <w:color w:val="auto"/>
        </w:rPr>
        <w:t>recorded legal settlement charges related to the resolution of a class action settlement agreement, as well as costs related to an unrecoverable asset. The Company believes that the outcome of any outstanding loss contingencies as of June 30, 2024 will not have a material adverse effect on its business, financial condition, results of operations, or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(loss) income and the liability is reflected in sales tax payable within other current liabilities in its condensed consolidated balance sheets.</w:t>
      </w:r>
    </w:p>
    <w:p>
      <w:pPr>
        <w:spacing w:after="0" w:line="2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Company has historically calculated the provision for income taxes during interim reporting periods by applying an estimate of the Annual Effective Tax Rate (AETR) for the full fiscal year to ordinary income for the reporting period. For the three and six months ended June 30, 2024, the Company used actual results to calculate the provision for income taxes. It determined that since small changes in estimated ordinary income would result in significant changes in the estimated AETR, the historical method would not provide a reliable estimate for the three and six month periods ended June 30, 2024.</w:t>
      </w:r>
    </w:p>
    <w:p>
      <w:pPr>
        <w:spacing w:after="0" w:line="19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18.0% and 15.8% for the three and six months ended June 30, 2024, respectively, and 29.6% and 27.9% for the three and six months ended June 30, 2023, respectively. In addition to using actual results, a book loss primarily driven by credit loss expense as discussed in Note 2 - Summary of Significant Accounting Policies, relative to nondeductible items, caused the quarterly and year-to-date effective tax rates to be significantly different from the historical annual effective tax rate.</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approximately $11.6 million of unrecognized tax benefits included in other non-current liabilities, $11.0 million, net of deferred taxes, which would impact the effective tax rate if recognized. During the six months ended June 30, 2024, the Company had net increases of $1.0 million to its current year unrecognized tax benefits related to federal and state tax provisions.</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Effective January 1, 2024, many jurisdictions implemented the Pillar Two rules issued by the Organization for Economic Co-operation and Development. In general, large multinational entity groups with consolidated revenue in excess of 750 million Euros in at least two of the preceding four years could be subject to the new rules in jurisdictions with an effective tax rate below fifteen percent. The Company currently does not operate in any jurisdictions that have implemented the Pillar Two rules, but jurisdictions may adopt retroactively to January 1, 2024. The Company does not expect the adoption of the Pillar Two rules by any jurisdiction in which it currently operates to have a material impact on its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years 2012 through 2023 remain open to examination by certain taxing jurisdictions to which the Company is subject to tax.</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Mr. Kevin C. Clark, the Company's non-executive Chairman of the Board of Directors since April 1, 2022, and the Company's Co-Founder &amp; Chief Executive Officer through March 31, 2022. Mr. Clark is a minority shareholder in the firm's parent company and is a member of the parent company's Board of Directors. Management believes that the terms of the arrangement are equivalent to those prevailing in an arm's-length transaction and have been approved by the Audit Committee of the Company's Board of Directors through the Company's related party transaction approval process. The digital marketing firm manages a limited number of digital publishers covering various Company brands for a monthly management fee. During the three and six months ended June 30, 2024 and 2023, the Company incurred an immaterial amount in expenses and had an immaterial payable balance at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p>
      <w:pPr>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entities which are affiliated with certain members of the Company’s Board of Directors. Management believes that the services were conducted on terms equivalent to those prevailing in an arm's-length transaction. Revenue related to these transactions was immaterial for the three and six months ended June 30, 2024 and 2023. Accounts receivable due from these entities was an immaterial amount at June 30, 2024 and December 31, 2023.</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29, 2024, the Company amended its Loan Agreement. The amendment allows for all share repurchases paid in cash prior to June 30, 2024 and thereafter to be excluded as restricted payments in the fixed charge coverage ratio calculation, if as of the date of the share repurchase, there is no revolving ABL balance (except for interest and fees payable in accordance with the terms of the Loan Agreement).</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2023 (2023 Form 10-K) (including Part I, Item 1A. “Risk Factors”), our financial statements and the accompanying notes to our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WSG and Mint.</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workforce solutions include managed service programs (MSPs), vendor management systems (VMS), in-home care services, education health services, recruitment process outsourcing (RPO), project management, and other outsourcing and consultative services as described in Item 1. “Business” in our 2023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which we believe is closely aligned with our core values to create a better future for our people, communities, and our stockholders.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reportable segments offer services to its customers as described below:</w:t>
      </w:r>
    </w:p>
    <w:p>
      <w:pPr>
        <w:spacing w:after="0" w:line="250" w:lineRule="exact"/>
        <w:rPr>
          <w:sz w:val="20"/>
          <w:szCs w:val="20"/>
          <w:color w:val="auto"/>
        </w:rPr>
      </w:pPr>
    </w:p>
    <w:p>
      <w:pPr>
        <w:ind w:left="660" w:right="40" w:hanging="328"/>
        <w:spacing w:after="0" w:line="246" w:lineRule="auto"/>
        <w:tabs>
          <w:tab w:leader="none" w:pos="6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86% of total revenue in the second quarter of 2024. The Nurse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executive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 We also offer our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to manage all or a portion of their agency services.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ind w:left="660" w:right="80" w:hanging="328"/>
        <w:spacing w:after="0" w:line="267" w:lineRule="auto"/>
        <w:tabs>
          <w:tab w:leader="none" w:pos="6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14% of total revenue in the second quarter of 2024. Physician Staffing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quarter ended June 30, 2024, revenue from services decreased 37% year-over-year to $339.8 million, due to a 26% decrease in demand and a 21% decrease in average bill rates within the Nurse and Allied Staffing segment, primarily in travel nursing, while Homecare Staffing experienced 12% year-over-year revenue growth and 6% sequential revenue growth. The Physician Staffing segment experienced 7% year-over-year and 3% sequential revenue growth due to a price increase of 12% and a volume increase of 2%. Net loss attributable to common stockholders in the second quarter of 2024 was $16.1 million, as compared to net income of $21.3 million for the same period in the prior year.</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cash and cash equivalents totaled $69.6 million, with no debt outstanding. Cash flow provided by operating activities for the six months ended June 30, 2024 was $88.4 million, with a decrease in working capital stemming from a decrease in net receivables, partially offset by the timing of disbursements. As of June 30, 2024, there were no borrowings drawn under the revolving senior-secured asset-based credit facility (ABL), and borrowing base availability was $166.7 million, with $152.9 million of availability net of $13.8 million of letters of credit.</w:t>
      </w:r>
    </w:p>
    <w:p>
      <w:pPr>
        <w:spacing w:after="0" w:line="207"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8"/>
          <w:szCs w:val="18"/>
          <w:color w:val="auto"/>
        </w:rPr>
        <w:t>We have been able to execute in the challenging travel staffing environment, with a positive demand trajectory as we exited the quarter. Our technology initiatives are enhancing our competitive positioning, driven in part by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's traction in the marketplace. Over 90% of our existing travel customers have transitioned to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will remain responsive to the current market conditions while also ensuring that we maintain a solid foundation for growth.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Metrics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178"/>
        </w:trPr>
        <w:tc>
          <w:tcPr>
            <w:tcW w:w="35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80" w:type="dxa"/>
            <w:vAlign w:val="bottom"/>
          </w:tcPr>
          <w:p>
            <w:pPr>
              <w:ind w:left="1540"/>
              <w:spacing w:after="0" w:line="177" w:lineRule="exact"/>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on a full-time equivalent basis.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7680" w:type="dxa"/>
            <w:vAlign w:val="bottom"/>
          </w:tcPr>
          <w:p>
            <w:pPr>
              <w:ind w:left="1540"/>
              <w:spacing w:after="0" w:line="181" w:lineRule="exact"/>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c>
          <w:tcPr>
            <w:tcW w:w="0" w:type="dxa"/>
            <w:vAlign w:val="bottom"/>
          </w:tcPr>
          <w:p>
            <w:pPr>
              <w:spacing w:after="0"/>
              <w:rPr>
                <w:sz w:val="1"/>
                <w:szCs w:val="1"/>
                <w:color w:val="auto"/>
              </w:rPr>
            </w:pPr>
          </w:p>
        </w:tc>
      </w:tr>
      <w:tr>
        <w:trPr>
          <w:trHeight w:val="225"/>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worked in the respective periods.</w:t>
            </w: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Revenue per day filled is calculated by dividing revenue as reported by days filled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for the period presented.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and comprehensive (loss) income data expressed as a percentage of revenue. Our historical results of operations are not necessarily indicative of future operating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19"/>
                <w:szCs w:val="19"/>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720" w:type="dxa"/>
            <w:vAlign w:val="bottom"/>
          </w:tcPr>
          <w:p>
            <w:pPr>
              <w:spacing w:after="0"/>
              <w:rPr>
                <w:sz w:val="20"/>
                <w:szCs w:val="20"/>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77.5</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2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2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6"/>
        </w:trPr>
        <w:tc>
          <w:tcPr>
            <w:tcW w:w="860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Three Months Ended June 30, 2024 and the Three Months Ended June 30, 2023</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8"/>
        </w:trPr>
        <w:tc>
          <w:tcPr>
            <w:tcW w:w="6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360" w:type="dxa"/>
            <w:vAlign w:val="bottom"/>
            <w:tcBorders>
              <w:bottom w:val="single" w:sz="8" w:color="auto"/>
            </w:tcBorders>
          </w:tcPr>
          <w:p>
            <w:pPr>
              <w:spacing w:after="0"/>
              <w:rPr>
                <w:sz w:val="22"/>
                <w:szCs w:val="22"/>
                <w:color w:val="auto"/>
              </w:rPr>
            </w:pPr>
          </w:p>
        </w:tc>
      </w:tr>
      <w:tr>
        <w:trPr>
          <w:trHeight w:val="174"/>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6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540,695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(200,924)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501.7 %</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131.8 %</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Revenue from services decreased 37.2% to $339.8 million for the three months ended June 30, 2024, as compared to $540.7 million for the three months ended June 30, 2023, due to volume and bill rate declines in the Nurse and Allied Staffing segment partially offset by volume and price increases in the Physician Staffing segment.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Direct operating expenses consist primarily of field employee compensation and independent contractor expenses, housing expenses, travel expenses, and related insurance expenses. Direct operating expenses decreased $148.6 million, or 35.6%, to $269.0 million for the three months ended June 30, 2024, as compared to $417.6 million for the three months ended June 30, 2023, as a result of revenue decreases and the tightening of the bill/pay spreads. As a percentage of total revenue, direct operating expenses increased to 79.2%, as compared to 77.2% in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23.7% to $60.3 million for the three months ended June 30, 2024, as compared to $78.9 million for the three months ended June 30, 2023, primarily due to decreases in compensation and benefit expense through proactive cost management. As</w:t>
      </w:r>
    </w:p>
    <w:p>
      <w:pPr>
        <w:ind w:right="260"/>
        <w:spacing w:after="0" w:line="260" w:lineRule="auto"/>
        <w:rPr>
          <w:sz w:val="20"/>
          <w:szCs w:val="20"/>
          <w:color w:val="auto"/>
        </w:rPr>
      </w:pPr>
      <w:r>
        <w:rPr>
          <w:rFonts w:ascii="Times New Roman" w:cs="Times New Roman" w:eastAsia="Times New Roman" w:hAnsi="Times New Roman"/>
          <w:sz w:val="18"/>
          <w:szCs w:val="18"/>
          <w:color w:val="auto"/>
        </w:rPr>
        <w:t>a percentage of total revenue, selling, general and administrative expenses increased to 17.7% for the three months ended June 30, 2024, as compared to 14.6% for the three months ended June 30,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25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Credit loss expense for the three months ended June 30, 2024 was $18.9 million, as compared to $3.1 million for the three months ended June 30, 2023. The increase was driven by a bankruptcy filing by a single large customer. There is no significant impact on operations from this client as the majority of the business had been wound down in the prior year. As a percentage of revenue, credit loss expense was 5.6% for the three months ended June 30, 2024, as compared to 0.6% for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June 30, 2024 was $4.7 million, as compared to $4.4 million for the three months ended June 30, 2023. As a percentage of revenue, depreciation and amortization expense was 1.4% for the three months ended June 30, 2024 and 0.8% for the three months ended June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Restructuring costs for the three months ended June 30, 2024 and 2023 were primarily comprised of employee termination costs. See Note 2 - Summary of Significant Accounting Policies to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losses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recorded legal and other losses of $3.9 million which included the settlement of a class action lawsuit, as well as costs related to an unrecoverable asset. There were no such charges for the three months ended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Non-cash impairment charges for the three months ended June 30, 2024 related to real estate restructuring activities. Non-cash impairment charges for the three months ended June 30, 2023 related to the write-off of an abandoned IT project.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was $0.6 million for the three months ended June 30, 2024, as compared to $3.1 million for the three months ended June 30, 2023, due to lower average borrowings, partially offset by a higher effective interest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Loss on early extinguishment of debt for the three months ended June 30, 2023 consisted of the write-off of debt issuance costs related to the repayment and termination of our term loan in the second quarter of 2023. There were no such charges for the three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totaled $3.5 million for the three months ended June 30, 2024, as compared to expense of $9.0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2023. The decrease in income tax expense was related to a decrease in book income primarily driven by credit loss expense as discussed in Note 2</w:t>
      </w:r>
    </w:p>
    <w:p>
      <w:pPr>
        <w:spacing w:after="0" w:line="21" w:lineRule="exact"/>
        <w:rPr>
          <w:sz w:val="20"/>
          <w:szCs w:val="20"/>
          <w:color w:val="auto"/>
        </w:rPr>
      </w:pPr>
    </w:p>
    <w:p>
      <w:pPr>
        <w:ind w:right="220" w:firstLine="8"/>
        <w:spacing w:after="0" w:line="260" w:lineRule="auto"/>
        <w:tabs>
          <w:tab w:leader="none" w:pos="1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Significant Accounting Policies to our condensed consolidated financial statements. The tax amounts for the three months ended June 30, 2024 and 2023 were impacted by federal and state taxes. See Note 14 - Income Taxes to our condensed consolidated financial statements.</w:t>
      </w:r>
    </w:p>
    <w:p>
      <w:pPr>
        <w:sectPr>
          <w:pgSz w:w="11900" w:h="16838" w:orient="portrait"/>
          <w:cols w:equalWidth="0" w:num="1">
            <w:col w:w="11180"/>
          </w:cols>
          <w:pgMar w:left="320" w:top="88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Six Months Ended June 30, 2024 and the Six Months Ended June 30,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360" w:type="dxa"/>
            <w:vAlign w:val="bottom"/>
            <w:tcBorders>
              <w:bottom w:val="single" w:sz="8" w:color="auto"/>
            </w:tcBorders>
          </w:tcPr>
          <w:p>
            <w:pPr>
              <w:spacing w:after="0"/>
              <w:rPr>
                <w:sz w:val="18"/>
                <w:szCs w:val="18"/>
                <w:color w:val="auto"/>
              </w:rPr>
            </w:pPr>
          </w:p>
        </w:tc>
      </w:tr>
      <w:tr>
        <w:trPr>
          <w:trHeight w:val="177"/>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(444,457)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575.2 %</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34.7 %</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Revenue from services decreased 38.2% to $718.9 million for the six months ended June 30, 2024, as compared to $1.2 billion for the six months ended June 30, 2023, due to volume and bill rate declines in the Nurse and Allied Staffing segment, partially offset by volume and price increases in the Physician Staffing segment.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Direct operating expenses decreased $330.0 million, or 36.6%, to $570.8 million for the six months ended June 30, 2024, as compared to $900.8 million for the six months ended June 30, 2023, as a result of revenue decreases and the tightening of bill/pay spreads. As a percentage of total revenue, direct operating expenses increased to 79.4%, as compared to 77.5% in the prior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24.3% to $123.5 million for the six months ended June 30, 2024, as compared to $163.2 million for the six months ended June 30, 2023, primarily due to decreases in compensation and benefit expense through proactive cost management, as well as a decrease in marketing expense. As a percentage of total revenue, selling, general and administrative expenses increased to 17.2% for the six months ended June 30, 2024, as compared to 14.0% for the six months ended June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Credit loss expense for the six months ended June 30, 2024 was $20.1 million, as compared to $8.0 million for the six months ended June 30, 2023. The increase was driven by a bankruptcy filing by a single large customer. There is no significant impact on operations from this client as the majority of the business had been wound down in the prior year</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As a percentage of revenue, credit loss expense was 2.8% for the six months ended June 30, 2024, as compared to 0.7%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six months ended June 30, 2024 was $9.4 million, as compared to $9.3 million for the six months ended June 30, 2023. As a percentage of revenue, depreciation and amortization expense was 1.3% for the six months ended June 30, 2024 and 0.8% for the six months ended June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Restructuring costs for the six months ended June 30, 2024 were primarily comprised of employee termination costs and ongoing lease exit costs. Restructuring costs for the six months ended June 30, 2023 were primarily comprised of employee termination costs, partially offset by an immaterial lease-related benefit. See Note 2 - Summary of Significant Accounting Policies to our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losses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recorded legal and other losses of $7.6 million which included the settlement of a class action lawsuit, as well as costs related to an unrecoverable asset. Legal and other losses totaled $1.1 million for the six months ended June 30, 2023 and related to the settlement of a wage and hour class action lawsuit and associated legal fees.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Non-cash impairment charges for the six months ended June 30, 2024 related to real estate restructuring activities. Non-cash impairment charges for the six months ended June 30, 2023 related to the write-off of an abandoned IT project.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expense was $1.0 million for the six months ended June 30, 2024, as compared to $6.8 million for the six months ended June 30, 2023, due to lower average borrowings, partially offset by a higher effective interest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Loss on early extinguishment of debt for the six months ended June 30, 2023 consisted of the write-off of debt issuance costs related to the repayment and termination of our term loan in the second quarter of 2023. There were no such charges for the six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other income, net included a $0.9 million decrease of the remaining earnout liability related to the Mint acquisition. See Note 4 - Acquisitions to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 benefit totaled $2.5 million for the six months ended June 30, 2024, as compared to expense of $19.6 million for the six months ended June 30, 2023. The decrease in income tax expense was related to a decrease in book income primarily driven by credit loss expense as discussed in Note 2 - Summary of Significant Accounting Policies to our condensed consolidated financial statements. The tax amounts for the six months ended June 30, 2024 and 2023 were impacted by federal and state taxes.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Segment Results</w:t>
            </w: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3"/>
        </w:trPr>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(loss) income from operations for the periods indicated are as follows: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1"/>
                <w:szCs w:val="21"/>
                <w:color w:val="auto"/>
              </w:rPr>
            </w:pPr>
          </w:p>
        </w:tc>
        <w:tc>
          <w:tcPr>
            <w:tcW w:w="286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(amounts in thousands)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2"/>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291,451</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495,376</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623,637</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1,077,678</w:t>
            </w: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85,724</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540,695</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718,945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1,163,402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123,650</w:t>
            </w:r>
          </w:p>
        </w:tc>
      </w:tr>
      <w:tr>
        <w:trPr>
          <w:trHeight w:val="229"/>
        </w:trPr>
        <w:tc>
          <w:tcPr>
            <w:tcW w:w="4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128,915</w:t>
            </w:r>
          </w:p>
        </w:tc>
      </w:tr>
      <w:tr>
        <w:trPr>
          <w:trHeight w:val="270"/>
        </w:trPr>
        <w:tc>
          <w:tcPr>
            <w:tcW w:w="46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37,547</w:t>
            </w:r>
          </w:p>
        </w:tc>
      </w:tr>
      <w:tr>
        <w:trPr>
          <w:trHeight w:val="230"/>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4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costs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(16,285)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20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8,415</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0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20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8,770</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0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the MD&amp;A.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Three Months Ended June 30, 2024 and Three Months Ended June 30,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7"/>
          <w:szCs w:val="17"/>
          <w:color w:val="auto"/>
        </w:rPr>
        <w:t>Revenue decreased $203.9 million, or 41.2%, to $291.5 million for the three months ended June 30, 2024, as compared to $495.4 million for the three months ended June 30, 2023, driven primarily by a 26% decline in billable hours and, to a lesser extent, a 21% normalization in bill rates. Within the segment, HomeCare Staffing experienced year-over-year revenue growth of 12.0% and sequential revenue growth of 5.5% in the second quarter of 2024.</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Contribution income decreased $50.7 million, or 89.7%, to $5.8 million for the three months ended June 30, 2024, as compared to $56.5 million for the three months ended June 30, 2023. As a percentage of segment revenue, contribution income margin was 2.0% for the three months ended June 30, 2024, as compared to 11.4% for the three months ended June 30, 2023.</w:t>
      </w:r>
    </w:p>
    <w:p>
      <w:pPr>
        <w:spacing w:after="0" w:line="20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average number of FTEs on contract during the three months ended June 30, 2024 decreased 26.1% from the three months ended June 30, 2023, primarily due to headcount decline in travel nurse and per diem. The average revenue per FTE per day decreased 20.5%.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Revenue increased $3.0 million, or 6.6%, to $48.3 million for the three months ended June 30, 2024, as compared to $45.3 million for the three months ended June 30, 2023, primarily due to a 2% increase in billable days, as well as price increases of 12%.</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Contribution income was $4.0 million for the three months ended June 30, 2024, as compared to $3.5 million for the three months ended June 30, 2023. As a percentage of segment revenue, contribution income was 8.3% for the three months ended June 30, 2024, as compared to 7.8% for the three months ended June 30, 2023.</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days filled for the three months ended June 30, 2024 was 24,252, as compared with 23,826 in the prior year. Revenue per day filled was $1,992 as compared with $1,902 in the prior year, due to price increases.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Corporate overhead decreased to $18.2 million for the three months ended June 30, 2024, from $18.9 million for the three months ended June 30, 2023, primarily due to decreases in compensation and benefit expense, and professional fees, partially offset by increases in insurance and taxes. As a percentage of consolidated revenue, corporate overhead was 5.3% for the three months ended June 30, 2024 and 3.5% for the three months ended June 30,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Six Months Ended June 30, 2024 and Six Months Ended June 30, 2023</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Revenue decreased $454.0 million, or 42.1%, to $623.6 million for the six months ended June 30, 2024, as compared to $1.1 billion for the six months ended June 30, 2023, driven primarily by a 26% decline in billable hours and, to a lesser extent, a 22% normalization in bill rates. Within the segment, HomeCare Staffing experienced year-over-year revenue growth of 7.5% for the six months ended June 30, 2024.</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Contribution income decreased $90.7 million, or 73.3%, to $33.0 million for the six months ended June 30, 2024, as compared to $123.7 million for the six months ended June 30, 2023. As a percentage of segment revenue, contribution income margin was 5.3% for the six months ended June 30, 2024, as compared to 11.5% for the six months ended June 30, 2023.</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average number of FTEs on contract during the six months ended June 30, 2024 decreased 26.6% from the six months ended June 30, 2023, primarily due to headcount decline in travel nurse and allied, and per diem. The average revenue per FTE per day decreased 21.5%.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 increased $9.6 million, or 11.2%, to $95.3 million for the six months ended June 30, 2024, as compared to $85.7 million for the six months ended June 30, 2023, primarily due to a 5% increase in billable days, as well as price increases of 15%.</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Contribution income was $7.2 million for the six months ended June 30, 2024, as compared to $5.3 million for the six months ended June 30, 2023. As a percentage of segment revenue, contribution income was 7.5% for the six months ended June 30, 2024, as compared to 6.1% for the six months ended June 30, 2023.</w:t>
      </w: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Total days filled for the six months ended June 30, 2024 was 48,037, as compared with 45,923 in the prior year. Revenue per day filled was $1,984 as compared with $1,867 in the prior year, due to price increases.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Corporate overhead decreased to $35.7 million for the six months ended June 30, 2024, from $37.5 million for the six months ended June 30, 2023, primarily due to decreases in compensation and benefit expense, and professional fees, partially offset by increases in computer expenses, insurance, and workers’ compensation. As a percentage of consolidated revenue, corporate overhead was 5.0% for the six months ended June 30, 2024 and 3.2% for the six months ended June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30, 2023, we repaid all $73.9 million in outstanding obligations under the term loan and terminated the Term Loan Agreement (as defined below). As of June 30, 2024, we reported $69.6 million in cash and cash equivalents, with no borrowings drawn under the ABL, and no off-balance sheet arrangements. Working capital decreased by $39.0 million to $227.6 million as of June 30, 2024, as compared to $266.6 million as of December 31, 2023, primarily due to a decrease in net receivables, partially offset by the timing of disbursements. As of June 30, 2024, our days’ sales outstanding, net of amounts owed to subcontractors, was 56 days, down 7 days year-over-year and down 18 days sequentially.</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4" w:name="page35"/>
    <w:bookmarkEnd w:id="34"/>
    <w:p>
      <w:pPr>
        <w:ind w:right="20"/>
        <w:spacing w:after="0" w:line="282" w:lineRule="auto"/>
        <w:rPr>
          <w:sz w:val="20"/>
          <w:szCs w:val="20"/>
          <w:color w:val="auto"/>
        </w:rPr>
      </w:pPr>
      <w:r>
        <w:rPr>
          <w:rFonts w:ascii="Times New Roman" w:cs="Times New Roman" w:eastAsia="Times New Roman" w:hAnsi="Times New Roman"/>
          <w:sz w:val="18"/>
          <w:szCs w:val="18"/>
          <w:color w:val="auto"/>
        </w:rPr>
        <w:t>meet our future cash needs from a combination of cash on hand, operating cash flows, and funds available through the ABL. See the debt discussion which follows.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May 2023, the Company maintains a $100.0 million Board-authorized stock repurchase program (Repurchase Program). In the third quarter of 2023, the Company entered into a Rule 10b5-1 Repurchase Plan to allow for share repurchases during the Company's blackout periods, beginning on January 2, 2024 through November 7, 2024. During the six months ended June 30, 2024, the Company repurchased a total of 1,290,156 shares of common stock for $21.3 million, at an average price of $16.50 per share. As of June 30, 2024, we had $56.0 million remaining for share repurchase under the Repurchase Program, subject to certain conditions in our Loan Agreement (as defined below).</w:t>
      </w:r>
    </w:p>
    <w:p>
      <w:pPr>
        <w:spacing w:after="0" w:line="2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$77.7 million to $88.4 million for the six months ended June 30, 2024, as compared to $166.1 million for the six months ended June 30,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$5.1 million for the six months ended June 30, 2024, as compared to $7.5 million for the six months ended</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June 30, 2023. Net cash used in the six months ended June 30, 2024 was for capital expenditures. Net cash used in the six months ended June 30, 2023 was for capital expenditures and an immaterial amount related to a local business acquisition.</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2024 was $30.8 million, as compared to $161.6 million during the six months ended June 30, 2023. During the six months ended June 30, 2024, we used cash to pay $2.9 million for income taxes on share-based compensation, $21.3 million for share repurchases, and $6.6 million for contingent consideration. During the six months ended June 30, 2023, we reported net repayments of $119.7 million on debt, and used cash to pay $4.9 million for income taxes on share-based compensation, $36.5 million for share repurchases, and an immaterial amount for other financing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Credit Agreement</w:t>
      </w:r>
    </w:p>
    <w:p>
      <w:pPr>
        <w:spacing w:after="0" w:line="3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8, 2021, we entered into the Term Loan Credit Agreement (Term Loan Agreement), which provided for a six-year second lien subordinated term loan in the amount of $100.0 million (term loan). On November 18, 2021, we amended the Term Loan Agreement (Term Loan First Amendment), which provided the Company an incremental term loan in an aggregate amount equal to $75.0 million. On April 14, 2023, we amended the Term Loan Agreement (Term Loan Second Amendment), which provided the option for all or a portion of the borrowings to bear interest at a rate based on the Secured Overnight Financing Rate (SOFR) or the Base Rate (as defined in the Term Loan Agreement),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more fully described in Note 8 - Debt to our condensed consolidated financial statements, on June 30, 2023, we repaid all outstanding obligations under the term loan, and terminated the Term Loan Agreement. As a result, debt issuance costs of $1.7 million were written off in the second quarter of 2023 and are included as loss on early extinguishment of debt in the condensed consolidated statements of operations and comprehensive (loss) income. All subsidiary guarantees of the term loan were automatically released upon the termination of the Term Loan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Asset-Based Loan Agreement</w:t>
      </w:r>
    </w:p>
    <w:p>
      <w:pPr>
        <w:spacing w:after="0" w:line="2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Effective October 25, 2019, the prior senior credit facility entered into in August 2017 was replaced by a $120.0 million asset-based loan agreement (Loan Agreement), which provided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permitted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5" w:name="page36"/>
    <w:bookmarkEnd w:id="35"/>
    <w:p>
      <w:pPr>
        <w:ind w:right="80"/>
        <w:spacing w:after="0" w:line="255" w:lineRule="auto"/>
        <w:rPr>
          <w:sz w:val="20"/>
          <w:szCs w:val="20"/>
          <w:color w:val="auto"/>
        </w:rPr>
      </w:pPr>
      <w:r>
        <w:rPr>
          <w:rFonts w:ascii="Times New Roman" w:cs="Times New Roman" w:eastAsia="Times New Roman" w:hAnsi="Times New Roman"/>
          <w:sz w:val="18"/>
          <w:szCs w:val="18"/>
          <w:color w:val="auto"/>
        </w:rPr>
        <w:t>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SOFR or Base Rate (as defined in the Loan Agreement), at the election of the borrowers, plus an applicable margin. On September 29, 2023, we amended the Loan Agreement (Sixth Amendment), which changed the minimum fixed charge coverage ratio from a maintenance covenant to a springing covenant based on excess availability. For the three months ended June 30, 2024, the excess availability did not fall below the stated threshold and, as a result, there was no covenant compliance period.</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2024,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our excess availability under the revolving credit facility. In addition, the facility is subject to an unused line fee, letter of credit fees, and an administrative fee. Borrowing base availability under the ABL was $166.7 million as of June 30, 2024, with no borrowings drawn and $152.9 million of availability net of $13.8 million of letters of credit.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remain consistent with those reported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Loan Agreement entered into on October 25, 2019. This agreement charges interest at a rate based on either SOFR or Base Rate (as defined in the Loan Agreement) plus an applicable margin. Our Term Loan Agreement, entered into on June 8, 2021, was repaid and terminated on June 30, 2023.</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1.0% change in interest rates would have resulted in interest expense fluctuating an immaterial amount for the six months ended June 30, 2024 and 2023, respectively. See Note 8 - Debt to our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other exposures as disclosed in our 2023 Form 10-K.</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spacing w:after="0" w:line="21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we implemented a new company-wide enterprise resource planning (ERP) system. We have appropriately considered this change in our design and testing for effectiveness of internal controls and concluded that, as part of the evaluation described above, the ERP implementation has not materially affected our internal control over financial reporting.</w:t>
      </w:r>
    </w:p>
    <w:p>
      <w:pPr>
        <w:spacing w:after="0" w:line="203"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There were no other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Part I, Item 1, Note 13 - Contingencies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this Quarterly Report on Form 10-Q, and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our Risk Factors as previously disclosed in our 2023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Issuer Purchases of Equity Securities</w:t>
      </w:r>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second fiscal quarter ended June 30, 2024. See Note 11 - Stockholders’ Equity contained in “Notes to Condensed Consolidated Financial Statements” in Part I, Item 1 of this Quarterly Report on Form 10-Q for additional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Approximate Dollar</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Average Price</w:t>
            </w:r>
          </w:p>
        </w:tc>
        <w:tc>
          <w:tcPr>
            <w:tcW w:w="18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Part of Publicly</w:t>
            </w:r>
          </w:p>
        </w:tc>
        <w:tc>
          <w:tcPr>
            <w:tcW w:w="1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May Yet Be Purchased</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Period</w:t>
            </w:r>
          </w:p>
        </w:tc>
        <w:tc>
          <w:tcPr>
            <w:tcW w:w="16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Paid per Share</w:t>
            </w:r>
          </w:p>
        </w:tc>
        <w:tc>
          <w:tcPr>
            <w:tcW w:w="1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Programs (a)</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Programs (b)</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(dollar value in thousands, except per share data)</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 through April 30</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189,278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189,278</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$67,562</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through May 31</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259,921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259,921</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$63,684</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 through June 30</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530,722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530,722</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$55,970</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31" w:lineRule="exact"/>
        <w:rPr>
          <w:sz w:val="20"/>
          <w:szCs w:val="20"/>
          <w:color w:val="auto"/>
        </w:rPr>
      </w:pPr>
    </w:p>
    <w:p>
      <w:pPr>
        <w:ind w:right="560" w:firstLine="8"/>
        <w:spacing w:after="0" w:line="250"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repurchased under the Repurchase Program. The Repurchase Program has no expiration date but may be terminated by the Board of Directors at any time. No shares were purchased other than through publicly announced programs during the periods shown.</w:t>
      </w:r>
    </w:p>
    <w:p>
      <w:pPr>
        <w:ind w:right="40" w:firstLine="8"/>
        <w:spacing w:after="0" w:line="255"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the Board of Directors has authorized an aggregate of $100.0 million in share repurchases under the Repurchase Program. Amounts shown in this column reflect amounts remaining under the Repurchase Program referenced in Note 11 - Stockholders’ Equity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directors and officers (as defined in Rule 16a-1(f) under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trading arrangement or non-Rule 10b5-1 trading arrangement (as that term is defined in Item 408(c) of Regulation S-K) during the most recently completed quarter.</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87" w:right="51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16"/>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 xml:space="preserve">Amended and Restated By-laws of the Registrant </w:t>
              </w:r>
              <w:r>
                <w:rPr>
                  <w:rFonts w:ascii="Times New Roman" w:cs="Times New Roman" w:eastAsia="Times New Roman" w:hAnsi="Times New Roman"/>
                  <w:sz w:val="18"/>
                  <w:szCs w:val="18"/>
                  <w:u w:val="single" w:color="auto"/>
                  <w:color w:val="0000FF"/>
                </w:rPr>
                <w:t>(Previously</w:t>
              </w:r>
              <w:r>
                <w:rPr>
                  <w:rFonts w:ascii="Times New Roman" w:cs="Times New Roman" w:eastAsia="Times New Roman" w:hAnsi="Times New Roman"/>
                  <w:sz w:val="18"/>
                  <w:szCs w:val="18"/>
                  <w:color w:val="0000FF"/>
                </w:rPr>
                <w:t xml:space="preserve"> filed as an exhibit to the Company's Form 10-Q for the quarter ended</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March 31, 2024 and incorporated by reference herein.)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6"/>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Amendment No. 7 to ABL Credit Agreement, dated as of July 29, 2024, by and among Cross Country Healthcare, Inc. and certain of</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its domestic subsidiaries as borrowers or guarantors, and Wells Fargo Bank, N.A., as administrative agent, collateral agent, and</w:t>
              </w:r>
            </w:hyperlink>
          </w:p>
        </w:tc>
        <w:tc>
          <w:tcPr>
            <w:tcW w:w="4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lender (Previously filed as an exhibit to the Company's Form 8-K dated July 29, 2024 and incorporated by reference herein.)</w:t>
              </w:r>
            </w:hyperlink>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 John</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 Martins, President, Chief Executive Officer, Director (Principal Executive Officer)</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William J. Burns, Executive Vice President, Chief Financial Officer (Principal Financial Officer)</w:t>
            </w:r>
          </w:p>
        </w:tc>
        <w:tc>
          <w:tcPr>
            <w:tcW w:w="2200" w:type="dxa"/>
            <w:vAlign w:val="bottom"/>
            <w:tcBorders>
              <w:top w:val="single" w:sz="8" w:color="0000FF"/>
            </w:tcBorders>
            <w:gridSpan w:val="3"/>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John A.</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Martins, President, Chief Executive Officer, Director (Principal Executive Officer)</w:t>
            </w: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William</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J. Burns, Executive Vice President, Chief Financial Officer (Principal Financial Officer)</w:t>
            </w:r>
          </w:p>
        </w:tc>
        <w:tc>
          <w:tcPr>
            <w:tcW w:w="60" w:type="dxa"/>
            <w:vAlign w:val="bottom"/>
            <w:gridSpan w:val="2"/>
          </w:tcPr>
          <w:p>
            <w:pPr>
              <w:spacing w:after="0"/>
              <w:rPr>
                <w:sz w:val="13"/>
                <w:szCs w:val="13"/>
                <w:color w:val="auto"/>
              </w:rPr>
            </w:pPr>
          </w:p>
        </w:tc>
      </w:tr>
      <w:tr>
        <w:trPr>
          <w:trHeight w:val="53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3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300" w:type="dxa"/>
            <w:vAlign w:val="bottom"/>
            <w:gridSpan w:val="10"/>
          </w:tcPr>
          <w:p>
            <w:pPr>
              <w:spacing w:after="0"/>
              <w:rPr>
                <w:sz w:val="24"/>
                <w:szCs w:val="24"/>
                <w:color w:val="auto"/>
              </w:rPr>
            </w:pP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Represents a management contract or compensatory plan or arrangement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3281680</wp:posOffset>
            </wp:positionH>
            <wp:positionV relativeFrom="paragraph">
              <wp:posOffset>-3693795</wp:posOffset>
            </wp:positionV>
            <wp:extent cx="381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0" w:name="page41"/>
    <w:bookmarkEnd w:id="4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J. Burns</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w:t>
      </w: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320" w:top="887" w:right="5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Martins,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August 1, 2024</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John A. Martins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August 1, 2024</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June 30, 2024, (the "Periodic Report"), I, John A. Martins, President and Chief Executive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August 1, 2024</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John A. Martins</w:t>
      </w:r>
    </w:p>
    <w:p>
      <w:pPr>
        <w:ind w:left="304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June 30, 2024, (the "Periodic Report"), I, William J. Burns, Executive Vice President and Chief Financial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August 1, 2024</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pacing w:after="0" w:line="3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77" Type="http://schemas.openxmlformats.org/officeDocument/2006/relationships/hyperlink" Target="https://www.sec.gov/Archives/edgar/data/1141103/000162828024019778/ccrn20240331-10qex3x1.htm" TargetMode="External"/><Relationship Id="rId78" Type="http://schemas.openxmlformats.org/officeDocument/2006/relationships/hyperlink" Target="https://www.sec.gov/Archives/edgar/data/1141103/000162828024033300/ccrn20240729-ablamendmen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2024-08-01T09:19:42Z</dcterms:created>
  <dcterms:modified xsi:type="dcterms:W3CDTF">2024-08-01T09:19:42Z</dcterms:modified>
</cp:coreProperties>
</file>