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2660" w:hanging="181"/>
        <w:spacing w:after="0"/>
        <w:tabs>
          <w:tab w:leader="none" w:pos="2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34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1188" w:right="45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500"/>
          </w:cols>
          <w:pgMar w:left="320" w:top="1188"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1188" w:right="45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640"/>
          </w:cols>
          <w:pgMar w:left="320" w:top="1188" w:right="4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980"/>
          </w:cols>
          <w:pgMar w:left="320" w:top="1188" w:right="459" w:bottom="1440" w:gutter="0" w:footer="0" w:header="0"/>
          <w:type w:val="continuous"/>
        </w:sectPr>
      </w:pPr>
    </w:p>
    <w:p>
      <w:pPr>
        <w:spacing w:after="0" w:line="21" w:lineRule="exact"/>
        <w:rPr>
          <w:sz w:val="24"/>
          <w:szCs w:val="24"/>
          <w:color w:val="auto"/>
        </w:r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p>
      <w:pPr>
        <w:jc w:val="center"/>
        <w:ind w:right="-119"/>
        <w:spacing w:after="0" w:line="184" w:lineRule="exact"/>
        <w:tabs>
          <w:tab w:leader="none" w:pos="14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jc w:val="center"/>
        <w:ind w:right="-11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8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w:t>
      </w:r>
      <w:r>
        <w:rPr>
          <w:rFonts w:ascii="Times New Roman" w:cs="Times New Roman" w:eastAsia="Times New Roman" w:hAnsi="Times New Roman"/>
          <w:sz w:val="17"/>
          <w:szCs w:val="17"/>
          <w:color w:val="auto"/>
        </w:rPr>
        <w:t>32,916,647</w:t>
      </w:r>
      <w:r>
        <w:rPr>
          <w:rFonts w:ascii="Times New Roman" w:cs="Times New Roman" w:eastAsia="Times New Roman" w:hAnsi="Times New Roman"/>
          <w:sz w:val="16"/>
          <w:szCs w:val="16"/>
          <w:color w:val="auto"/>
        </w:rPr>
        <w:t xml:space="preserve"> shares of common stock, par value $0.0001 per share, as of October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8" w:right="4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overall macroeconomic environment, including increased inflation and interest rates, demand for the healthcare services that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including data privacy and protection laws, social, ethical, and security issues relating to the use of artificial intelligence,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2023 (2023 Form 10-K), as filed and updated in our subsequent Quarterly Reports on Form 10-Q and other filings with the Securities and Exchange Commission (SEC).</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9"/>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gridSpan w:val="6"/>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460" w:type="dxa"/>
            <w:vAlign w:val="bottom"/>
            <w:gridSpan w:val="7"/>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 (Unaudited)</w:t>
            </w:r>
          </w:p>
        </w:tc>
        <w:tc>
          <w:tcPr>
            <w:tcW w:w="1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3020" w:type="dxa"/>
            <w:vAlign w:val="bottom"/>
            <w:gridSpan w:val="3"/>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3680" w:type="dxa"/>
            <w:vAlign w:val="bottom"/>
            <w:gridSpan w:val="5"/>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400" w:type="dxa"/>
            <w:vAlign w:val="bottom"/>
            <w:gridSpan w:val="4"/>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960" w:type="dxa"/>
            <w:vAlign w:val="bottom"/>
            <w:tcBorders>
              <w:left w:val="single" w:sz="8" w:color="0000FF"/>
            </w:tcBorders>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500" w:type="dxa"/>
            <w:vAlign w:val="bottom"/>
            <w:gridSpan w:val="10"/>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42</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3"/>
          </w:tcPr>
          <w:p>
            <w:pPr>
              <w:spacing w:after="0"/>
              <w:rPr>
                <w:sz w:val="22"/>
                <w:szCs w:val="22"/>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4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0000FF"/>
                <w:w w:val="99"/>
              </w:rPr>
              <w:t>45</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$35,025 in 2024 and $20,547 in 2023</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372,352</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416,875</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$20,792 in 2024 and $15,808 in 2023</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27,339</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Cloud computing</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5,987</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597,423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681,064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92,822</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52,297</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Earnout liability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156,076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claims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liability</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213,413</w:t>
            </w: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236,417</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232,615</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424,691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467,651</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681,064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ectPr>
          <w:pgSz w:w="11900" w:h="16838" w:orient="portrait"/>
          <w:cols w:equalWidth="0" w:num="1">
            <w:col w:w="10140"/>
          </w:cols>
          <w:pgMar w:left="880" w:top="887" w:right="879" w:bottom="1440" w:gutter="0" w:footer="0" w:header="0"/>
        </w:sectPr>
      </w:pPr>
    </w:p>
    <w:p>
      <w:pPr>
        <w:spacing w:after="0" w:line="270"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14605</wp:posOffset>
            </wp:positionV>
            <wp:extent cx="1508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1508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sectPr>
          <w:pgSz w:w="11900" w:h="16838" w:orient="portrait"/>
          <w:cols w:equalWidth="0" w:num="2">
            <w:col w:w="7420" w:space="720"/>
            <w:col w:w="2000"/>
          </w:cols>
          <w:pgMar w:left="880" w:top="887" w:right="8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1,605,693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1,245,772</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232,825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312,266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421,988</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1,047,496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1,506,404</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99,289</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89,925</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880" w:top="887" w:right="879" w:bottom="1440" w:gutter="0" w:footer="0" w:header="0"/>
          <w:type w:val="continuous"/>
        </w:sectPr>
      </w:pPr>
    </w:p>
    <w:bookmarkStart w:id="5" w:name="page6"/>
    <w:bookmarkEnd w:id="5"/>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Three Months Ended September 30, 2024 and 2023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June 30, 2024</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33,388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215,449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(1,389)</w:t>
            </w:r>
          </w:p>
        </w:tc>
        <w:tc>
          <w:tcPr>
            <w:tcW w:w="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219,257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433,320</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870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870</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(817)</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(11,920)</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(11,920)</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2,555</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2,555</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September 30, 2024</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32,572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204,273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(1,397)</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221,812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424,691</w:t>
            </w: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June 30, 2023</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35,305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255,216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(1,379)</w:t>
            </w:r>
          </w:p>
        </w:tc>
        <w:tc>
          <w:tcPr>
            <w:tcW w:w="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210,765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464,606</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1,433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1,433</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(617)</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(14,768)</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(14,768)</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(145)</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12,812</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12,812</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September 30, 2023</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34,689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241,732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(1,394)</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223,577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463,919</w:t>
            </w:r>
          </w:p>
        </w:tc>
      </w:tr>
      <w:tr>
        <w:trPr>
          <w:trHeight w:val="21"/>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type w:val="continuous"/>
        </w:sectPr>
      </w:pPr>
    </w:p>
    <w:bookmarkStart w:id="6" w:name="page7"/>
    <w:bookmarkEnd w:id="6"/>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 EQUITY Nine Months Ended September 30, 2024 and 2023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18"/>
                <w:szCs w:val="18"/>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11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34,385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236,417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232,615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467,651</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294</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(2,960)</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(2,960)</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4,327</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4,327</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(33,233)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(33,234)</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(278)</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(10,803)</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(10,803)</w:t>
            </w: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September 30, 2024</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32,572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204,273</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221,812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424,691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60" w:type="dxa"/>
            <w:vAlign w:val="bottom"/>
          </w:tcPr>
          <w:p>
            <w:pPr>
              <w:spacing w:after="0"/>
              <w:rPr>
                <w:sz w:val="24"/>
                <w:szCs w:val="24"/>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24"/>
                <w:szCs w:val="24"/>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24"/>
                <w:szCs w:val="24"/>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940" w:type="dxa"/>
            <w:vAlign w:val="bottom"/>
            <w:vMerge w:val="restart"/>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Pr>
          <w:p>
            <w:pPr>
              <w:spacing w:after="0"/>
              <w:rPr>
                <w:sz w:val="12"/>
                <w:szCs w:val="12"/>
                <w:color w:val="auto"/>
              </w:rPr>
            </w:pPr>
          </w:p>
        </w:tc>
        <w:tc>
          <w:tcPr>
            <w:tcW w:w="74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Pr>
          <w:p>
            <w:pPr>
              <w:spacing w:after="0"/>
              <w:rPr>
                <w:sz w:val="12"/>
                <w:szCs w:val="12"/>
                <w:color w:val="auto"/>
              </w:rPr>
            </w:pPr>
          </w:p>
        </w:tc>
        <w:tc>
          <w:tcPr>
            <w:tcW w:w="940" w:type="dxa"/>
            <w:vAlign w:val="bottom"/>
          </w:tcPr>
          <w:p>
            <w:pPr>
              <w:jc w:val="center"/>
              <w:ind w:right="124"/>
              <w:spacing w:after="0" w:line="14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80" w:type="dxa"/>
            <w:vAlign w:val="bottom"/>
          </w:tcPr>
          <w:p>
            <w:pPr>
              <w:spacing w:after="0"/>
              <w:rPr>
                <w:sz w:val="12"/>
                <w:szCs w:val="12"/>
                <w:color w:val="auto"/>
              </w:rPr>
            </w:pPr>
          </w:p>
        </w:tc>
        <w:tc>
          <w:tcPr>
            <w:tcW w:w="1300" w:type="dxa"/>
            <w:vAlign w:val="bottom"/>
          </w:tcPr>
          <w:p>
            <w:pPr>
              <w:jc w:val="center"/>
              <w:ind w:right="104"/>
              <w:spacing w:after="0" w:line="142"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2"/>
                <w:szCs w:val="12"/>
                <w:color w:val="auto"/>
              </w:rPr>
            </w:pPr>
          </w:p>
        </w:tc>
        <w:tc>
          <w:tcPr>
            <w:tcW w:w="110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02"/>
        </w:trPr>
        <w:tc>
          <w:tcPr>
            <w:tcW w:w="40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36,303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292,876</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159,984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451,477</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(4,890)</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(4,890)</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5,413</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5,413</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(2,039)</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(51,251)</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(51,251)</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(416)</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0" w:type="dxa"/>
            <w:vAlign w:val="bottom"/>
          </w:tcPr>
          <w:p>
            <w:pPr>
              <w:spacing w:after="0"/>
              <w:rPr>
                <w:sz w:val="1"/>
                <w:szCs w:val="1"/>
                <w:color w:val="auto"/>
              </w:rPr>
            </w:pP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63,593</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63,593</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Balances at September 30, 2023</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34,689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241,732</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223,577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463,919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63,593</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217,223</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(89,596)</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236,424</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Acquisition-related settlements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665,385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(742,185)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repurchase and retirement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(42,772)</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(214,825)</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46,927</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2024.</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2023 included in the 2023 Form 10-K. The December 31, 2023 condensed consolidated balance sheet included herein was derived from the December 31, 2023 audited consolidated balance sheet included in the 2023 Form 10-K.</w:t>
      </w:r>
    </w:p>
    <w:p>
      <w:pPr>
        <w:spacing w:after="0" w:line="20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consolidated statements of operations and comprehensive income (loss).</w:t>
      </w:r>
    </w:p>
    <w:p>
      <w:pPr>
        <w:spacing w:after="0" w:line="185" w:lineRule="exact"/>
        <w:rPr>
          <w:sz w:val="20"/>
          <w:szCs w:val="20"/>
          <w:color w:val="auto"/>
        </w:rPr>
      </w:pPr>
    </w:p>
    <w:p>
      <w:pPr>
        <w:ind w:right="620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consolidated financial statements in future reporting periods. Actual results could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the 2023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Prior Period Financial Statements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 Company’s financial statements for the quarter ended September 30, 2024, the Company identified an accounting error related to Medical Staffing Network Healthcare, LLC, which the Company acquired on June 30, 2014. The error pertains to an elimination entry that was improperly recorded, which resulted in the overstatement of revenue and the understatement of subcontractor liabilities. It was determined that the impact of the error was inconsequential in 2023 and 2024, and primarily related to the fiscal years of 2020 through 2022, during which time the Company's business greatly accelerated as a result of the pandemic. This non-cash error did not affect client billings, payments to health care professionals, or payments to subcontractors.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Management assessed the materiality of the error, including the presentation in prior period consolidated financial statements, on a qualitative and quantitative basis in accordance with </w:t>
      </w:r>
      <w:r>
        <w:rPr>
          <w:rFonts w:ascii="Times New Roman" w:cs="Times New Roman" w:eastAsia="Times New Roman" w:hAnsi="Times New Roman"/>
          <w:sz w:val="18"/>
          <w:szCs w:val="18"/>
          <w:i w:val="1"/>
          <w:iCs w:val="1"/>
          <w:color w:val="auto"/>
        </w:rPr>
        <w:t>SEC Staff Accounting Bulletin No. 99, Materiality</w:t>
      </w:r>
      <w:r>
        <w:rPr>
          <w:rFonts w:ascii="Times New Roman" w:cs="Times New Roman" w:eastAsia="Times New Roman" w:hAnsi="Times New Roman"/>
          <w:sz w:val="18"/>
          <w:szCs w:val="18"/>
          <w:color w:val="auto"/>
        </w:rPr>
        <w:t xml:space="preserve">, codified in </w:t>
      </w:r>
      <w:r>
        <w:rPr>
          <w:rFonts w:ascii="Times New Roman" w:cs="Times New Roman" w:eastAsia="Times New Roman" w:hAnsi="Times New Roman"/>
          <w:sz w:val="18"/>
          <w:szCs w:val="18"/>
          <w:i w:val="1"/>
          <w:iCs w:val="1"/>
          <w:color w:val="auto"/>
        </w:rPr>
        <w:t>Accounting Standards Codification (ASC) Topic 250,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Based on this assessment, the Company concluded that the error and the related impacts did not result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misstatement of the previously issued consolidated financial statements as of and for the fiscal years ended December 31, 2021 through 2023. However, correcting the cumulative effect of the error in the third quarter of 2024 would have had a material effect on the results of operations for that period.</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Therefore, the relevant prior periods’ financial statements and related footnotes have been corrected. Previously reported financial information for such an immaterial error will be corrected in future filings, as applicable.</w:t>
      </w:r>
    </w:p>
    <w:p>
      <w:pPr>
        <w:spacing w:after="0" w:line="1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has provided a summary of the revisions to the impacted financial statement line items from the previously issued financial statements. See Note 16 - Immaterial Financial Restatement to Prior Period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4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credit losses and sales allowances. Estimated revenue for the Company employees’, subcontracted employees’, and independent contractors’ time worked but not yet billed at September 30, 2024 and December 31, 2023 totaled $67.5 million and $89.9 million, respectively.</w:t>
      </w:r>
    </w:p>
    <w:p>
      <w:pPr>
        <w:spacing w:after="0" w:line="2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 its accounts receivable based on a combination of factors. The Company bases its allowance for credit losses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credit losses.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credit losses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35,032</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34,602</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17,875</w:t>
            </w:r>
          </w:p>
        </w:tc>
      </w:tr>
      <w:tr>
        <w:trPr>
          <w:trHeight w:val="20"/>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credit losses, the Company maintains a sales allowance for billing-related adjustments that may arise in the ordinary course of business and adjustments to the reserve are recorded as contra-revenue. The sales allowance balance as of September 30, 2024 and December 31, 2023 was $0.4 million and $0.9 million, respectively.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three and nine months ended September 30, 2024 and 2023, or the Company’s accounts receivable balance as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ind w:right="120"/>
        <w:spacing w:after="0" w:line="289" w:lineRule="auto"/>
        <w:rPr>
          <w:sz w:val="20"/>
          <w:szCs w:val="20"/>
          <w:color w:val="auto"/>
        </w:rPr>
      </w:pPr>
      <w:r>
        <w:rPr>
          <w:rFonts w:ascii="Times New Roman" w:cs="Times New Roman" w:eastAsia="Times New Roman" w:hAnsi="Times New Roman"/>
          <w:sz w:val="17"/>
          <w:szCs w:val="17"/>
          <w:color w:val="auto"/>
        </w:rPr>
        <w:t>September 30, 2024 and December 31, 2023. In 2023, there was an increase in credit loss expense primarily driven by a deterioration in the accounts receivable aging stemming from a single MSP customer. On May 6, 2024, the customer filed a voluntary petition for relief under Chapter 11 of the United States Bankruptcy Code. As a result, the Company recorded an associated credit loss expense of $19.4 million during the quarter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and comprehensive income (loss) primarily include employee termination costs and lease-related exit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December 14,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which requires that public business entities, on an annual basis, (1) disclose specific categories in the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Early adoption is permitted for annual financial statements that have not yet been issued or made available for issuance. The Company expects to adopt this standard for its annual report for the fiscal year ended December 31, 2025. The Company expects this ASU to only impact its disclosures with no impacts to results of operations, cash flows, and financial condition.</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November 27,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 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This guidance is effective for fiscal years beginning after December 15, 2023, and interim periods within fiscal years beginning after December 15, 2024. The amendments should be applied retrospectively to all prior periods presented in the financial statements. Early adoption is permitted. The Company expects to adopt this standard for its fiscal year ended December 31, 2024. The Company expects this ASU to only expand its disclosures with no impacts to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00" w:lineRule="exact"/>
        <w:rPr>
          <w:sz w:val="20"/>
          <w:szCs w:val="20"/>
          <w:color w:val="auto"/>
        </w:rPr>
      </w:pPr>
    </w:p>
    <w:p>
      <w:pPr>
        <w:spacing w:after="0" w:line="20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HireUp</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304,883</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264,853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2023</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386,536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429,701</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396,595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864,510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1,002,683</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888,490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2023</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1,437,746</w:t>
            </w:r>
          </w:p>
        </w:tc>
        <w:tc>
          <w:tcPr>
            <w:tcW w:w="2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124,477</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1,562,223</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1,474,273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131,420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1,605,693</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-4354195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-4062730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-3068320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-2776855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-1782445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-1490980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3" w:lineRule="exact"/>
        <w:rPr>
          <w:sz w:val="20"/>
          <w:szCs w:val="20"/>
          <w:color w:val="auto"/>
        </w:rPr>
      </w:pPr>
    </w:p>
    <w:p>
      <w:pPr>
        <w:sectPr>
          <w:pgSz w:w="11900" w:h="16838" w:orient="portrait"/>
          <w:cols w:equalWidth="0" w:num="2">
            <w:col w:w="4940" w:space="720"/>
            <w:col w:w="5580"/>
          </w:cols>
          <w:pgMar w:left="320" w:top="887"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2022, the Company purchased and acquired substantially all of the assets and assumed certain liabilities of HireUp Leadership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(HireUp) for a purchase price of $6.0 million in cash, subject to adjustment, and $0.8 million in shares (or 29,811 shares) of the Company's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was treated as a purchase of assets for income tax purposes.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ind w:right="20"/>
        <w:spacing w:after="0" w:line="277" w:lineRule="auto"/>
        <w:rPr>
          <w:sz w:val="20"/>
          <w:szCs w:val="20"/>
          <w:color w:val="auto"/>
        </w:rPr>
      </w:pPr>
      <w:r>
        <w:rPr>
          <w:rFonts w:ascii="Times New Roman" w:cs="Times New Roman" w:eastAsia="Times New Roman" w:hAnsi="Times New Roman"/>
          <w:sz w:val="17"/>
          <w:szCs w:val="17"/>
          <w:color w:val="auto"/>
        </w:rPr>
        <w:t>The sellers were eligible to receive up to an additional $8.0 million in earnout cash consideration based on HireUp's revenues and Adjusted EBITDA for each of the twelve-month periods ending on the first and second anniversaries of the first day after 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Company paid the remaining earnout liability of $1.7 million in the first quarter of 2024. See Note 10 - Fair Value Measurements.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Mint</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first quarter of 2024, the Company performed analyses using multiple updated forecasted scenarios and determined that the earnout for the second measurement period would only be partially achieved and, as a result, recognized a decrease in the fair value of the related liabilities. The remaining liability of $4.1 million is included in the current portion of earnout liability on the condensed consolidated balance sheets. See Note 10 - Fair Value Measurements.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(CCWSG)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(WSG) for a purchase price of $25.0 million in cash and $5.0 million in shares (or 307,730 shares) of the Company's common stock.</w:t>
      </w: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sellers were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In the third quarter of 2023, the Company determined that the contingent consideration earnout was achieved for the 2022 through 2023 period and, as a result, the Company made the final $7.5 million earnout payment.</w:t>
      </w: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COMPREHENSIVE INCOME (LOSS)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Total comprehensive income (loss) includes net income or loss and foreign currency translation adjustments, net of any related deferred taxes, and is included within the accompanying condensed consolidated statements of operations and comprehensive income (loss).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$1.5 million as of September 30, 2024 and December 31, 2023.</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income tax impact related to components of other comprehensive income (loss) for the three and nine months ended September 30, 2024 and 2023 is included in unrealized foreign currency translation loss, net of tax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0"/>
                <w:szCs w:val="20"/>
                <w:color w:val="auto"/>
              </w:rPr>
            </w:pPr>
          </w:p>
        </w:tc>
        <w:tc>
          <w:tcPr>
            <w:tcW w:w="2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6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3"/>
                <w:szCs w:val="23"/>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0"/>
        </w:trPr>
        <w:tc>
          <w:tcPr>
            <w:tcW w:w="63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9"/>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63,593</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35,386</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636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Weighted average common shares - Diluted</w:t>
            </w:r>
            <w:r>
              <w:rPr>
                <w:rFonts w:ascii="Times New Roman" w:cs="Times New Roman" w:eastAsia="Times New Roman" w:hAnsi="Times New Roman"/>
                <w:sz w:val="23"/>
                <w:szCs w:val="23"/>
                <w:color w:val="auto"/>
                <w:vertAlign w:val="superscript"/>
              </w:rPr>
              <w:t>a</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40" w:firstLine="8"/>
        <w:spacing w:after="0" w:line="282" w:lineRule="auto"/>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the effect of diluted shares was not included in the weighted average share calculation due to the Company's net operating loss position.</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income (loss) per share attributable to common stockholders in the future that were not included in the computation of diluted net income (loss) per share attributable to common stockholders because to do so would have been anti-dilutive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06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206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3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color w:val="auto"/>
              </w:rPr>
              <w:t>(amounts in thousands)</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00" w:type="dxa"/>
            <w:vAlign w:val="bottom"/>
            <w:gridSpan w:val="2"/>
            <w:shd w:val="clear" w:color="auto" w:fill="CCEEFF"/>
          </w:tcPr>
          <w:p>
            <w:pPr>
              <w:jc w:val="right"/>
              <w:ind w:right="555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had the following acquired intangible assets: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24,971</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of September 30, 2024, estimated future annual amortization expense was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performed a qualitative assessment of each of its reporting units and determined that it was not more likely than not that the fair value of its reporting units dropped below their carrying value. Although management believes that the Company’s current estimates and assumptions utilized in its qualitative testing are reasonable and supportable, there can be no assurance that the estimates and assumptions management used for purposes of its assessment as of September 30, 2024 will prove to be accurate predictions of future performance.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2024, goodwill by reporting segment was: $112.5 million for Nurse and Allied Staffing and $22.9 million for Physician Staffing, for a total of $135.4 million.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that the carrying amount may not be recoverable. As of September 30, 2024, the Company performed a qualitative assessment of its trade names and other intangible assets and determined it was not more likely than not that their carrying value may not be recoverable. During the nine months ended September 30, 2023, the Company wrote off an abandoned IT project, resulting in an impairment charge.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Senior Secured Asset-Based Loan, interest of 6.68% and 6.99% at September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0"/>
                <w:szCs w:val="20"/>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80" w:space="360"/>
            <w:col w:w="5000"/>
          </w:cols>
          <w:pgMar w:left="320" w:top="887" w:right="339" w:bottom="1440" w:gutter="0" w:footer="0" w:header="0"/>
        </w:sectPr>
      </w:pP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there was no debt outstanding on the condensed consolidated balance sheets. The Company has elected to present the debt issuance costs associated with its senior secured asset-based credit facility as an asset, included in other assets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w:t>
      </w:r>
    </w:p>
    <w:p>
      <w:pPr>
        <w:spacing w:after="0" w:line="189"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On November 18, 2021, the Company amended the Term Loan Agreement (Term Loan First Amendment), which provided the Company an incremental borrowing in an aggregate amount equal to $75.0 million. Additionally, the Term Loan First Amendment increased the aggregate amount of all increases (as defined in the Term Loan Agreement) to be no greater than $115.0 million.</w:t>
      </w:r>
    </w:p>
    <w:p>
      <w:pPr>
        <w:spacing w:after="0" w:line="2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April 14, 2023, the Company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Asset-Based Loan Agreement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the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On June 8, 2021, the Company amended the Loan Agreement (Third Amendment), which permitted the incurrence of indebtedness and grant of security as set forth in the Loan Agreement and in accordance with the Intercreditor Agreement (as defined in the Loan Agreement), and provides mechanics relating to a transition away from LIBOR as a benchmark interest rate to a replacement alternative benchmark rate or mechanism for loans made in U.S. dollars.</w:t>
      </w:r>
    </w:p>
    <w:p>
      <w:pPr>
        <w:spacing w:after="0" w:line="5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the Loan Agreement (Fourth Amendment), whereby the permitted indebtedness (as defined in the Loan Agreement), was increased to $175.0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ind w:right="4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SOFR or the Base Rate (as defined in the Loan Agreement), at the election of the borrowers, plus an applicable margin. The applicable margin increased 10 basis points due to the credit spread associated with the transition to SOFR.</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29, 2024, the Company amended the Loan Agreement (Seventh Amendment), which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are amortized ratably over the remaining term of the Loan Agreement.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ABL availability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At September 30, 2024, there were no borrowings drawn under the ABL, and borrowing base availability under the ABL was $150.2 million, with $135.2 million of availability net of $15.0 million of letters of credit outstanding related to workers' compensation and professional liability policies.</w:t>
      </w:r>
    </w:p>
    <w:p>
      <w:pPr>
        <w:spacing w:after="0" w:line="7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As of September 30, 2024,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applicable to the Company and its subsidiaries. For the three months ended September 30, 2024, the excess availability did not fall below the stated threshold and, as a result, there was no covenant compliance period. Obligations under the ABL are secured by substantially all of the assets of the borrowers and guarantors,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7" w:name="page18"/>
    <w:bookmarkEnd w:id="1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2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484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color w:val="auto"/>
              </w:rPr>
              <w:t>(amounts in thousands)</w:t>
            </w:r>
          </w:p>
        </w:tc>
        <w:tc>
          <w:tcPr>
            <w:tcW w:w="52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8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2,700</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2,060</w:t>
            </w:r>
          </w:p>
        </w:tc>
        <w:tc>
          <w:tcPr>
            <w:tcW w:w="21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8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2,348</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years</w:t>
            </w:r>
          </w:p>
        </w:tc>
        <w:tc>
          <w:tcPr>
            <w:tcW w:w="2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years</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r>
    </w:tbl>
    <w:p>
      <w:pPr>
        <w:spacing w:after="0" w:line="30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September 30,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40" w:right="1240"/>
        <w:spacing w:after="0" w:line="29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Right-of-use assets acquired under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2,536</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34"/>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1,375</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bl>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332</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4"/>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bl>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981</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1,109</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34"/>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765</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bl>
    <w:p>
      <w:pPr>
        <w:spacing w:after="0" w:line="200" w:lineRule="exact"/>
        <w:rPr>
          <w:sz w:val="20"/>
          <w:szCs w:val="20"/>
          <w:color w:val="auto"/>
        </w:rPr>
      </w:pPr>
    </w:p>
    <w:p>
      <w:pPr>
        <w:sectPr>
          <w:pgSz w:w="11900" w:h="16838" w:orient="portrait"/>
          <w:cols w:equalWidth="0" w:num="2">
            <w:col w:w="7160" w:space="120"/>
            <w:col w:w="3880"/>
          </w:cols>
          <w:pgMar w:left="320" w:top="887" w:right="419" w:bottom="1440" w:gutter="0" w:footer="0" w:header="0"/>
        </w:sectPr>
      </w:pPr>
    </w:p>
    <w:p>
      <w:pPr>
        <w:spacing w:after="0" w:line="10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and comprehensive income (loss), depending on the nature of the leased asset. Operating lease expense is reported net of sublease income, which is not material.</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did not have any material operating leases that had not yet commenced, and does not have any finance lease contracts.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type w:val="continuous"/>
        </w:sectPr>
      </w:pPr>
    </w:p>
    <w:bookmarkStart w:id="19" w:name="page20"/>
    <w:bookmarkEnd w:id="19"/>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primarily its: (i) deferred compensation asset included in other assets; and (ii) deferred compensation liability included in other liabilities on its condensed consolidated balance sheets.</w:t>
      </w:r>
    </w:p>
    <w:p>
      <w:pPr>
        <w:spacing w:after="0" w:line="187"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698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September 30, 2024</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3,759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2,889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material impairment charges during the three and nine months ended September 30,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w:t>
      </w:r>
    </w:p>
    <w:p>
      <w:pPr>
        <w:spacing w:after="0" w:line="2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financial instruments measured or recorded at fair value include earnout liabilities related to the (i) Mint and (ii) HireUp acquisitions, as discussed below.</w:t>
      </w:r>
    </w:p>
    <w:p>
      <w:pPr>
        <w:spacing w:after="0" w:line="189" w:lineRule="exact"/>
        <w:rPr>
          <w:sz w:val="20"/>
          <w:szCs w:val="20"/>
          <w:color w:val="auto"/>
        </w:rPr>
      </w:pPr>
    </w:p>
    <w:p>
      <w:pPr>
        <w:ind w:right="120" w:firstLine="8"/>
        <w:spacing w:after="0" w:line="247"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Mint acquisition are contingent upon meeting certain performance requirements based on 2022 through 2024 performance. On a quarterly basis, the Company performs an analysis using multiple forecasted scenarios to determine the fair value of the earnout liability. In the fourth quarter of 2023, the Company performed the earnout calculation for the first measurement period, resulting in an earnout of</w:t>
      </w:r>
    </w:p>
    <w:p>
      <w:pPr>
        <w:spacing w:after="0" w:line="1" w:lineRule="exact"/>
        <w:rPr>
          <w:rFonts w:ascii="Times New Roman" w:cs="Times New Roman" w:eastAsia="Times New Roman" w:hAnsi="Times New Roman"/>
          <w:sz w:val="18"/>
          <w:szCs w:val="18"/>
          <w:color w:val="auto"/>
        </w:rPr>
      </w:pPr>
    </w:p>
    <w:p>
      <w:pPr>
        <w:ind w:right="32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which was paid in the first quarter of 2024. During the first quarter of 2024, the Company determined that the earnout for the second measurement period would only be partially achieved and, as a result, recognized a decrease in the fair value of the related liabilities. The remaining liability of $4.1 million is included in the current portion of earnout liability on the condensed consolidated balance sheets. The carrying amount of the earnout liability approximates fair value. See Note 4 - Acquisitions.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9" w:right="399" w:bottom="1440" w:gutter="0" w:footer="0" w:header="0"/>
        </w:sectPr>
      </w:pPr>
    </w:p>
    <w:bookmarkStart w:id="20" w:name="page21"/>
    <w:bookmarkEnd w:id="20"/>
    <w:p>
      <w:pPr>
        <w:ind w:right="60" w:firstLine="8"/>
        <w:spacing w:after="0" w:line="246"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HireUp acquisition were contingent upon meeting certain performance requirements based on 2022 through 2024 performance. Quarterly throughout 2023 and in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remaining liability of $1.7 million was paid in the first quarter of 2024. See Note 4 - Acquisitions.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credit losses in Note 2 - Summary of Significant Accounting Policies. Overall, based on the large number of customers in differing geographic areas, primarily throughout the United States and its territories, the Company believes that the concentration of credit risk is limited.</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to be added to the prior</w:t>
      </w:r>
    </w:p>
    <w:p>
      <w:pPr>
        <w:spacing w:after="0" w:line="237" w:lineRule="auto"/>
        <w:rPr>
          <w:sz w:val="20"/>
          <w:szCs w:val="20"/>
          <w:color w:val="auto"/>
        </w:rPr>
      </w:pPr>
      <w:r>
        <w:rPr>
          <w:rFonts w:ascii="Times New Roman" w:cs="Times New Roman" w:eastAsia="Times New Roman" w:hAnsi="Times New Roman"/>
          <w:sz w:val="18"/>
          <w:szCs w:val="18"/>
          <w:color w:val="auto"/>
        </w:rPr>
        <w:t>authorized repurchase program, such that, effective for trades made after May 3, 2023, the aggregate amount available for stock repurchases was set at</w:t>
      </w:r>
    </w:p>
    <w:p>
      <w:pPr>
        <w:spacing w:after="0" w:line="234" w:lineRule="auto"/>
        <w:rPr>
          <w:sz w:val="20"/>
          <w:szCs w:val="20"/>
          <w:color w:val="auto"/>
        </w:rPr>
      </w:pPr>
      <w:r>
        <w:rPr>
          <w:rFonts w:ascii="Times New Roman" w:cs="Times New Roman" w:eastAsia="Times New Roman" w:hAnsi="Times New Roman"/>
          <w:sz w:val="18"/>
          <w:szCs w:val="18"/>
          <w:color w:val="auto"/>
        </w:rPr>
        <w:t>$100.0 million (the Repurchase Program). The shares can be repurchased from time-to-time in the open market or in privately negotiated transactions. The</w:t>
      </w:r>
    </w:p>
    <w:p>
      <w:pPr>
        <w:spacing w:after="0" w:line="235" w:lineRule="auto"/>
        <w:rPr>
          <w:sz w:val="20"/>
          <w:szCs w:val="20"/>
          <w:color w:val="auto"/>
        </w:rPr>
      </w:pPr>
      <w:r>
        <w:rPr>
          <w:rFonts w:ascii="Times New Roman" w:cs="Times New Roman" w:eastAsia="Times New Roman" w:hAnsi="Times New Roman"/>
          <w:sz w:val="18"/>
          <w:szCs w:val="18"/>
          <w:color w:val="auto"/>
        </w:rPr>
        <w:t>Repurchase Program does not obligate the Company to repurchase any particular number of shares of common stock and may be discontinued by the Board</w:t>
      </w:r>
    </w:p>
    <w:p>
      <w:pPr>
        <w:spacing w:after="0" w:line="235" w:lineRule="auto"/>
        <w:rPr>
          <w:sz w:val="20"/>
          <w:szCs w:val="20"/>
          <w:color w:val="auto"/>
        </w:rPr>
      </w:pPr>
      <w:r>
        <w:rPr>
          <w:rFonts w:ascii="Times New Roman" w:cs="Times New Roman" w:eastAsia="Times New Roman" w:hAnsi="Times New Roman"/>
          <w:sz w:val="18"/>
          <w:szCs w:val="18"/>
          <w:color w:val="auto"/>
        </w:rPr>
        <w:t>of Directors at any time. Decisions regarding the amount and the timing of repurchases under the Repurchase Program will be subject to the Company’s</w:t>
      </w:r>
    </w:p>
    <w:p>
      <w:pPr>
        <w:spacing w:after="0" w:line="235" w:lineRule="auto"/>
        <w:rPr>
          <w:sz w:val="20"/>
          <w:szCs w:val="20"/>
          <w:color w:val="auto"/>
        </w:rPr>
      </w:pPr>
      <w:r>
        <w:rPr>
          <w:rFonts w:ascii="Times New Roman" w:cs="Times New Roman" w:eastAsia="Times New Roman" w:hAnsi="Times New Roman"/>
          <w:sz w:val="18"/>
          <w:szCs w:val="18"/>
          <w:color w:val="auto"/>
        </w:rPr>
        <w:t>available liquidity and cash on hand, applicable legal requirements, the terms of the Company’s Loan Agreement, general market conditions, and other</w:t>
      </w:r>
    </w:p>
    <w:p>
      <w:pPr>
        <w:spacing w:after="0"/>
        <w:rPr>
          <w:sz w:val="20"/>
          <w:szCs w:val="20"/>
          <w:color w:val="auto"/>
        </w:rPr>
      </w:pPr>
      <w:r>
        <w:rPr>
          <w:rFonts w:ascii="Times New Roman" w:cs="Times New Roman" w:eastAsia="Times New Roman" w:hAnsi="Times New Roman"/>
          <w:sz w:val="18"/>
          <w:szCs w:val="18"/>
          <w:color w:val="auto"/>
        </w:rPr>
        <w:t>factors.</w:t>
      </w:r>
    </w:p>
    <w:p>
      <w:pPr>
        <w:spacing w:after="0" w:line="2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 Rule 10b5-1 Repurchase Plan to allow for share repurchases during the Company's blackout periods, effective through November 2, 2023. During the third quarter of 2023, the Company entered into a new Rule 10b5-1 Repurchase Plan to allow for share repurchases during the Company's blackout periods, beginning on January 2, 2024 and effective through November 7, 2024.</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repurchased a total of 816,879 shares of common stock for $11.9 million, at an average price of $14.57 per share. During the nine months ended September 30, 2024, the Company repurchased a total of 2,107,035 shares of common stock for an aggregate of $33.2 million, at an average price of $15.75 per share. During the three months ended September 30, 2023, the Company repurchased a total of 616,824 shares of common stock for $14.8 million, at an average price of $23.92 per share. During the nine months ended September 30, 2023, the Company repurchased a total of 2,038,691 shares of common stock for $51.2 million, at an average price of $25.12 per share.</w:t>
      </w:r>
    </w:p>
    <w:p>
      <w:pPr>
        <w:spacing w:after="0" w:line="2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$44.1 million remaining for share repurchase under the Repurchase Program, subject to certain conditions in the Company's Loan Agreement. As of September 30, 2024, the Company had 32,572,284 unrestricted shares of common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43"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color w:val="auto"/>
        </w:rPr>
        <w:t>On May 14, 2024, the Company's stockholders approved the Cross Country Healthcare, Inc. 2024 Omnibus Incentive Plan (2024 Plan). Pursuant to the 2024 Plan, awards may be granted to employees, non-employee directors, consultants, and key advisors of the Company and its subsidiaries, including stock options (including incentive stock options and nonqualified stock options), stock appreciation rights, stock awards, stock units, other stock-based awards, and cash awards. The 2024 Plan was adopted principally to serve as a successor plan to the Cross Country Healthcare, Inc. 2020 Omnibus Incentive Plan (2020 Plan) and to increase the number of 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2020 Plan and the 2024 Plan (Plans) for the nine months ended September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(62,157)</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550,907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Awards granted to non-employee directors under the Plans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Plans, the number of target shares that are issued for performance-based stock awards are determined based on the level of attainment of the targets. During the first quarter of 2024, the Company's Compensation Committee of the Board of Directors approved a 101% level of attainment for the 2021 performance-based share awards, resulting in the issuance of 145,908 performance shares that vested on March 31, 2024.</w:t>
      </w:r>
    </w:p>
    <w:p>
      <w:pPr>
        <w:spacing w:after="0" w:line="203"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2024, $0.9 million and $4.3 million, respectively, was included in selling, general and administrative expenses related to share-based payments, and a net of 1,163 and 294,414 shares, respectively, of common stock were issued upon the vesting of restricted and performance stock.</w:t>
      </w: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2023, $1.4 million and $5.4 million, respectively, was included in selling, general and administrative expenses related to share-based payments, and a net of 430 and 424,704 shares, respectively, of common stock were issued upon the vesting of restricted and performance stock.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segments offer services to its customers as described below:</w:t>
      </w:r>
    </w:p>
    <w:p>
      <w:pPr>
        <w:spacing w:after="0" w:line="250" w:lineRule="exact"/>
        <w:rPr>
          <w:sz w:val="20"/>
          <w:szCs w:val="20"/>
          <w:color w:val="auto"/>
        </w:rPr>
      </w:pPr>
    </w:p>
    <w:p>
      <w:pPr>
        <w:ind w:left="660" w:right="80" w:hanging="328"/>
        <w:spacing w:after="0" w:line="246" w:lineRule="auto"/>
        <w:tabs>
          <w:tab w:leader="none" w:pos="6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provides traditional staffing, recruiting, and value-added total talent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nurse and allied professionals, per diem, and healthcare leaders within nursing, allied, physician, human resources, and finance, MSP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 Its customers include: public and private acute care hospitals, non-acute care hospitals, government facilities, local healthcare plans, national healthcare plans, managed care providers, public schools, charter schools, academic medical centers, Programs of All-Inclusive Care for the Elderly (PACE) programs, outpatient clinics, ambulatory care facilities, physician practice groups, and many other healthcare providers throughout the United States.</w:t>
      </w:r>
    </w:p>
    <w:p>
      <w:pPr>
        <w:spacing w:after="0" w:line="218" w:lineRule="exact"/>
        <w:rPr>
          <w:rFonts w:ascii="Times New Roman" w:cs="Times New Roman" w:eastAsia="Times New Roman" w:hAnsi="Times New Roman"/>
          <w:sz w:val="18"/>
          <w:szCs w:val="18"/>
          <w:color w:val="auto"/>
        </w:rPr>
      </w:pPr>
    </w:p>
    <w:p>
      <w:pPr>
        <w:ind w:left="660" w:right="320" w:hanging="328"/>
        <w:spacing w:after="0" w:line="290" w:lineRule="auto"/>
        <w:tabs>
          <w:tab w:leader="none" w:pos="62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Physician Staffing </w:t>
      </w:r>
      <w:r>
        <w:rPr>
          <w:rFonts w:ascii="Times New Roman" w:cs="Times New Roman" w:eastAsia="Times New Roman" w:hAnsi="Times New Roman"/>
          <w:sz w:val="17"/>
          <w:szCs w:val="17"/>
          <w:color w:val="auto"/>
        </w:rPr>
        <w:t>– 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integration-related (benefits) costs, restructuring (benefits) costs, legal and other losses,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or among the operating segments.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(loss)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9"/>
                <w:szCs w:val="19"/>
                <w:color w:val="auto"/>
              </w:rPr>
            </w:pPr>
          </w:p>
        </w:tc>
        <w:tc>
          <w:tcPr>
            <w:tcW w:w="30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6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(amounts in thousands)</w:t>
            </w: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264,853</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396,595</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888,490</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1,474,273</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131,420</w:t>
            </w: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1,605,693</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162,876</w:t>
            </w:r>
          </w:p>
        </w:tc>
      </w:tr>
      <w:tr>
        <w:trPr>
          <w:trHeight w:val="230"/>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w:t>
            </w: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170,717</w:t>
            </w:r>
          </w:p>
        </w:tc>
      </w:tr>
      <w:tr>
        <w:trPr>
          <w:trHeight w:val="257"/>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53,959</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4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80" w:firstLine="8"/>
        <w:spacing w:after="0" w:line="250"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include acquisition and integration-related costs.</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that the outcome of any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20"/>
        <w:spacing w:after="0" w:line="282" w:lineRule="auto"/>
        <w:rPr>
          <w:sz w:val="20"/>
          <w:szCs w:val="20"/>
          <w:color w:val="auto"/>
        </w:rPr>
      </w:pPr>
      <w:r>
        <w:rPr>
          <w:rFonts w:ascii="Times New Roman" w:cs="Times New Roman" w:eastAsia="Times New Roman" w:hAnsi="Times New Roman"/>
          <w:sz w:val="18"/>
          <w:szCs w:val="18"/>
          <w:color w:val="auto"/>
        </w:rPr>
        <w:t>outstanding loss contingencies as of September 30, 2024 will not have a material adverse effect on its business, financial condition, results of operations,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income (loss)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historically calculated the provision for income taxes during interim reporting periods by applying an estimate of the Annual Effective Tax Rate (AETR) for the full fiscal year to ordinary income for the reporting period. For the three and nine months ended September 30, 2024, the Company used actual results to calculate the provision for income taxes. It determined that since small changes in estimated ordinary income would result in significant changes in the estimated AETR, the historical method would not provide a reliable estimate for the three- and nine-month periods ended September 30, 2024.</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24.6% and 13.5% for the three and nine months ended September 30, 2024, respectively, and 34.3% and 29.3% for the three and nine months ended September 30, 2023, respectively. In addition to using actual results, a book loss primarily driven by credit loss expense as discussed in Note 2 - Summary of Significant Accounting Policies, relative to nondeductible items, caused the year-to-date effective tax rates to be significantly different from the historical annual effective tax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had approximately $11.2 million of unrecognized tax benefits included in other non-current liabilities,</w:t>
      </w:r>
    </w:p>
    <w:p>
      <w:pPr>
        <w:spacing w:after="0" w:line="2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$10.5 million, net of deferred taxes, which would impact the effective tax rate if recognized. During the nine months ended September 30, 2024, the Company had net increases of $0.5 million to its current year unrecognized tax benefits related to federal and state tax provisions.</w:t>
      </w:r>
    </w:p>
    <w:p>
      <w:pPr>
        <w:spacing w:after="0" w:line="2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January 1, 2024, many jurisdictions implemented the Pillar Two rules issued by the Organization for Economic Co-operation and Development. In general, large multinational entity groups with consolidated revenue in excess of 750 million Euros in at least two of the preceding four years could be subject to the new rules in jurisdictions with an effective tax rate below fifteen percent. The Company currently does not operate in any jurisdictions that have implemented the Pillar Two rules, but jurisdictions may adopt retroactively to January 1, 2024. The Company does not expect the adoption of the Pillar Two rules by any jurisdiction in which it currently operates to have a material impact on its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years 2012 through 2023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a certain member of the Company's Board of Directors, who is a minority shareholder in the firm's parent company and is a member of the parent company's Board of Directors. Management believes that the terms of the arrangement are equivalent to those prevailing in an arm's-length transaction and have been approved by the Audit Committee of the Company's Board of Directors through the Company's related party transaction approval process. The digital marketing firm manages a limited number of digital publishers covering various Company brands for a monthly management fee. During the three and nine months ended September 30, 2024 and 2023, the Company incurred an immaterial amount in expenses and had an immaterial payable balance at September 30, 2024 and December 31, 2023.</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 provides services to entities that are affiliated with certain members of the Company’s Board of Directors. Management believes that the services were conducted on terms equivalent to those prevailing in an arm's-length transaction. Revenue related to these transactions was $2.7 million and $3.0 million for the three and nine months ended September 30, 2024, respectively, and an immaterial amount for the three and nine months ended September 30, 2023. Accounts receivable due from these entities was $0.7 million at September 30, 2024 and an immaterial amount at December 31, 2023.</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IMMATERIAL FINANCIAL RESTATEMENT TO PRIOR PERIOD FINANCIAL STATEMENTS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in Note 2 – Summary of Significant Accounting Policies, the Company identified an error in the consolidated financial statements of prior periods that it concluded was not material to the previously-issued financial statements. A summary of the revisions to the impacted financial statement line items in the previously-issued Consolidated Balance Sheet as of December 31, 2022 and 2023, the Consolidated Statement of Stockholders’ Equity for the years ended December 31, 2022 and 2023, and the Consolidated Statement of Operations and Comprehensive Income and Consolidated Statement of Cash Flows for the year ended December 31, 2022 included in the 2023 Form 10-K, are provided below.</w:t>
      </w:r>
    </w:p>
    <w:p>
      <w:pPr>
        <w:sectPr>
          <w:pgSz w:w="11900" w:h="16838" w:orient="portrait"/>
          <w:cols w:equalWidth="0" w:num="1">
            <w:col w:w="11220"/>
          </w:cols>
          <w:pgMar w:left="320" w:top="891" w:right="35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312"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w:t>
            </w:r>
          </w:p>
        </w:tc>
      </w:tr>
      <w:tr>
        <w:trPr>
          <w:trHeight w:val="223"/>
        </w:trPr>
        <w:tc>
          <w:tcPr>
            <w:tcW w:w="6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Revisions</w:t>
            </w:r>
          </w:p>
        </w:tc>
        <w:tc>
          <w:tcPr>
            <w:tcW w:w="220" w:type="dxa"/>
            <w:vAlign w:val="bottom"/>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372,352</w:t>
            </w: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r>
      <w:tr>
        <w:trPr>
          <w:trHeight w:val="22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416,875</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135,430</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54,468</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679,317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681,064</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6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92,822</w:t>
            </w:r>
          </w:p>
        </w:tc>
      </w:tr>
      <w:tr>
        <w:trPr>
          <w:trHeight w:val="23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52,297</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3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r>
      <w:tr>
        <w:trPr>
          <w:trHeight w:val="22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156,076</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213,413</w:t>
            </w:r>
          </w:p>
        </w:tc>
      </w:tr>
      <w:tr>
        <w:trPr>
          <w:trHeight w:val="216"/>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236,417</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232,615</w:t>
            </w:r>
          </w:p>
        </w:tc>
      </w:tr>
      <w:tr>
        <w:trPr>
          <w:trHeight w:val="223"/>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467,651</w:t>
            </w: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681,064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500" w:top="873" w:right="519"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873" w:right="519" w:bottom="987"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2022</w:t>
            </w:r>
          </w:p>
        </w:tc>
      </w:tr>
      <w:tr>
        <w:trPr>
          <w:trHeight w:val="223"/>
        </w:trPr>
        <w:tc>
          <w:tcPr>
            <w:tcW w:w="6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Revisions</w:t>
            </w:r>
          </w:p>
        </w:tc>
        <w:tc>
          <w:tcPr>
            <w:tcW w:w="220" w:type="dxa"/>
            <w:vAlign w:val="bottom"/>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641,611</w:t>
            </w: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r>
      <w:tr>
        <w:trPr>
          <w:trHeight w:val="22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677,395</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163,268</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44,723</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949,586</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6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192,996</w:t>
            </w:r>
          </w:p>
        </w:tc>
      </w:tr>
      <w:tr>
        <w:trPr>
          <w:trHeight w:val="23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72,605</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3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279,129</w:t>
            </w:r>
          </w:p>
        </w:tc>
      </w:tr>
      <w:tr>
        <w:trPr>
          <w:trHeight w:val="229"/>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148,735</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claims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490,620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498,109</w:t>
            </w:r>
          </w:p>
        </w:tc>
      </w:tr>
      <w:tr>
        <w:trPr>
          <w:trHeight w:val="216"/>
        </w:trPr>
        <w:tc>
          <w:tcPr>
            <w:tcW w:w="6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292,876</w:t>
            </w:r>
          </w:p>
        </w:tc>
      </w:tr>
      <w:tr>
        <w:trPr>
          <w:trHeight w:val="23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9"/>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159,984</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451,477</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949,586</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500" w:top="111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116" w:right="519" w:bottom="1440" w:gutter="0" w:footer="0" w:header="0"/>
          <w:type w:val="continuous"/>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r>
      <w:tr>
        <w:trPr>
          <w:trHeight w:val="223"/>
        </w:trPr>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Revisions</w:t>
            </w:r>
          </w:p>
        </w:tc>
        <w:tc>
          <w:tcPr>
            <w:tcW w:w="18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2,803,381</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2,178,923</w:t>
            </w:r>
          </w:p>
        </w:tc>
      </w:tr>
      <w:tr>
        <w:trPr>
          <w:trHeight w:val="230"/>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324,935</w:t>
            </w: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r>
      <w:tr>
        <w:trPr>
          <w:trHeight w:val="229"/>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r>
      <w:tr>
        <w:trPr>
          <w:trHeight w:val="230"/>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9"/>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r>
      <w:tr>
        <w:trPr>
          <w:trHeight w:val="223"/>
        </w:trPr>
        <w:tc>
          <w:tcPr>
            <w:tcW w:w="6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2,533,501</w:t>
            </w: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269,880</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30"/>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253,097</w:t>
            </w: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67,115</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37,012</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111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16" w:right="479" w:bottom="1440" w:gutter="0" w:footer="0" w:header="0"/>
          <w:type w:val="continuous"/>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8"/>
                <w:szCs w:val="18"/>
                <w:color w:val="auto"/>
              </w:rPr>
            </w:pPr>
          </w:p>
        </w:tc>
        <w:tc>
          <w:tcPr>
            <w:tcW w:w="110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3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5"/>
                <w:szCs w:val="15"/>
                <w:b w:val="1"/>
                <w:bCs w:val="1"/>
                <w:color w:val="auto"/>
              </w:rPr>
              <w:t>Deficit) Retained</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Pr>
          <w:p>
            <w:pPr>
              <w:spacing w:after="0"/>
              <w:rPr>
                <w:sz w:val="17"/>
                <w:szCs w:val="17"/>
                <w:color w:val="auto"/>
              </w:rPr>
            </w:pPr>
          </w:p>
        </w:tc>
        <w:tc>
          <w:tcPr>
            <w:tcW w:w="110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36,303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292,876</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165,726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457,219</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(4,905)</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6,579</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(57,654)</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5"/>
                <w:szCs w:val="15"/>
                <w:color w:val="auto"/>
              </w:rPr>
              <w:t>Foreign currency translation adjustment, net of</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72,631</w:t>
            </w:r>
          </w:p>
        </w:tc>
        <w:tc>
          <w:tcPr>
            <w:tcW w:w="0" w:type="dxa"/>
            <w:vAlign w:val="bottom"/>
          </w:tcPr>
          <w:p>
            <w:pPr>
              <w:spacing w:after="0"/>
              <w:rPr>
                <w:sz w:val="1"/>
                <w:szCs w:val="1"/>
                <w:color w:val="auto"/>
              </w:rPr>
            </w:pPr>
          </w:p>
        </w:tc>
      </w:tr>
      <w:tr>
        <w:trPr>
          <w:trHeight w:val="198"/>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34,385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236,417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238,357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473,393</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Revisions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(5,742)</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320" w:type="dxa"/>
            <w:vAlign w:val="bottom"/>
          </w:tcPr>
          <w:p>
            <w:pPr>
              <w:ind w:left="120"/>
              <w:spacing w:after="0" w:line="159" w:lineRule="exact"/>
              <w:rPr>
                <w:sz w:val="20"/>
                <w:szCs w:val="20"/>
                <w:color w:val="auto"/>
              </w:rPr>
            </w:pPr>
            <w:r>
              <w:rPr>
                <w:rFonts w:ascii="Times New Roman" w:cs="Times New Roman" w:eastAsia="Times New Roman" w:hAnsi="Times New Roman"/>
                <w:sz w:val="15"/>
                <w:szCs w:val="15"/>
                <w:color w:val="auto"/>
              </w:rPr>
              <w:t>Foreign currency translation adjustment, net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(5,742)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(5,742)</w:t>
            </w:r>
          </w:p>
        </w:tc>
        <w:tc>
          <w:tcPr>
            <w:tcW w:w="0" w:type="dxa"/>
            <w:vAlign w:val="bottom"/>
          </w:tcPr>
          <w:p>
            <w:pPr>
              <w:spacing w:after="0"/>
              <w:rPr>
                <w:sz w:val="1"/>
                <w:szCs w:val="1"/>
                <w:color w:val="auto"/>
              </w:rPr>
            </w:pPr>
          </w:p>
        </w:tc>
      </w:tr>
      <w:tr>
        <w:trPr>
          <w:trHeight w:val="18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Revised</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292,876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159,984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451,477</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(4,905)</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6,579</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(57,654)</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5"/>
                <w:szCs w:val="15"/>
                <w:color w:val="auto"/>
              </w:rPr>
              <w:t>Foreign currency translation adjustment, net of</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72,631</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236,417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232,615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467,651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00"/>
          </w:cols>
          <w:pgMar w:left="700" w:top="1116"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116" w:right="699" w:bottom="1440" w:gutter="0" w:footer="0" w:header="0"/>
          <w:type w:val="continuous"/>
        </w:sectPr>
      </w:pPr>
    </w:p>
    <w:bookmarkStart w:id="29" w:name="page30"/>
    <w:bookmarkEnd w:id="2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CROSS COUNTRY HEALTHCARE, INC. CONSOLIDATED STATEMENTS OF STOCKHOLDERS' EQUITY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02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29"/>
        </w:trPr>
        <w:tc>
          <w:tcPr>
            <w:tcW w:w="33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140" w:type="dxa"/>
            <w:vAlign w:val="bottom"/>
          </w:tcPr>
          <w:p>
            <w:pPr>
              <w:spacing w:after="0"/>
              <w:rPr>
                <w:sz w:val="11"/>
                <w:szCs w:val="11"/>
                <w:color w:val="auto"/>
              </w:rPr>
            </w:pPr>
          </w:p>
        </w:tc>
        <w:tc>
          <w:tcPr>
            <w:tcW w:w="1100" w:type="dxa"/>
            <w:vAlign w:val="bottom"/>
          </w:tcPr>
          <w:p>
            <w:pPr>
              <w:jc w:val="right"/>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332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Pr>
          <w:p>
            <w:pPr>
              <w:spacing w:after="0"/>
              <w:rPr>
                <w:sz w:val="18"/>
                <w:szCs w:val="18"/>
                <w:color w:val="auto"/>
              </w:rPr>
            </w:pPr>
          </w:p>
        </w:tc>
        <w:tc>
          <w:tcPr>
            <w:tcW w:w="110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87"/>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0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Balances at December 31, 2021</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37,024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321,552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297,528</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(5,267)</w:t>
            </w: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7,393</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(35,285)</w:t>
            </w:r>
          </w:p>
        </w:tc>
      </w:tr>
      <w:tr>
        <w:trPr>
          <w:trHeight w:val="148"/>
        </w:trPr>
        <w:tc>
          <w:tcPr>
            <w:tcW w:w="3320" w:type="dxa"/>
            <w:vAlign w:val="bottom"/>
          </w:tcPr>
          <w:p>
            <w:pPr>
              <w:ind w:left="12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 net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2"/>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7"/>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Acquisitions</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4,483</w:t>
            </w: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188,461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188,461</w:t>
            </w:r>
          </w:p>
        </w:tc>
      </w:tr>
      <w:tr>
        <w:trPr>
          <w:trHeight w:val="198"/>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36,303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292,876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165,726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457,219</w:t>
            </w:r>
          </w:p>
        </w:tc>
      </w:tr>
      <w:tr>
        <w:trPr>
          <w:trHeight w:val="182"/>
        </w:trPr>
        <w:tc>
          <w:tcPr>
            <w:tcW w:w="3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Revisions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(3,263)</w:t>
            </w: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51"/>
        </w:trPr>
        <w:tc>
          <w:tcPr>
            <w:tcW w:w="332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5"/>
                <w:szCs w:val="15"/>
                <w:color w:val="auto"/>
              </w:rPr>
              <w:t>Foreign currency translation adjustment, net of</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Acquisitions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(2,479)</w:t>
            </w:r>
          </w:p>
        </w:tc>
      </w:tr>
      <w:tr>
        <w:trPr>
          <w:trHeight w:val="194"/>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(5,742)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(5,742)</w:t>
            </w:r>
          </w:p>
        </w:tc>
      </w:tr>
      <w:tr>
        <w:trPr>
          <w:trHeight w:val="18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Revised</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Balances at December 31, 2021</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321,552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294,265</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(5,267)</w:t>
            </w: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7,393</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(35,285)</w:t>
            </w:r>
          </w:p>
        </w:tc>
      </w:tr>
      <w:tr>
        <w:trPr>
          <w:trHeight w:val="148"/>
        </w:trPr>
        <w:tc>
          <w:tcPr>
            <w:tcW w:w="3320" w:type="dxa"/>
            <w:vAlign w:val="bottom"/>
          </w:tcPr>
          <w:p>
            <w:pPr>
              <w:ind w:left="12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 net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2"/>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7"/>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Acquisitions</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4,483</w:t>
            </w:r>
          </w:p>
        </w:tc>
      </w:tr>
      <w:tr>
        <w:trPr>
          <w:trHeight w:val="200"/>
        </w:trPr>
        <w:tc>
          <w:tcPr>
            <w:tcW w:w="3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185,982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185,982</w:t>
            </w:r>
          </w:p>
        </w:tc>
      </w:tr>
      <w:tr>
        <w:trPr>
          <w:trHeight w:val="22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36,303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292,876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159,984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451,477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00"/>
          </w:cols>
          <w:pgMar w:left="700" w:top="113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130" w:right="69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9"/>
        </w:trPr>
        <w:tc>
          <w:tcPr>
            <w:tcW w:w="7940" w:type="dxa"/>
            <w:vAlign w:val="bottom"/>
            <w:gridSpan w:val="4"/>
          </w:tcPr>
          <w:p>
            <w:pPr>
              <w:jc w:val="center"/>
              <w:ind w:left="2899"/>
              <w:spacing w:after="0"/>
              <w:rPr>
                <w:sz w:val="20"/>
                <w:szCs w:val="20"/>
                <w:color w:val="auto"/>
              </w:rPr>
            </w:pPr>
            <w:r>
              <w:rPr>
                <w:rFonts w:ascii="Times New Roman" w:cs="Times New Roman" w:eastAsia="Times New Roman" w:hAnsi="Times New Roman"/>
                <w:sz w:val="16"/>
                <w:szCs w:val="16"/>
                <w:b w:val="1"/>
                <w:bCs w:val="1"/>
                <w:color w:val="auto"/>
              </w:rPr>
              <w:t>CROSS COUNTRY HEALTHCARE, INC.</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7940" w:type="dxa"/>
            <w:vAlign w:val="bottom"/>
            <w:gridSpan w:val="4"/>
          </w:tcPr>
          <w:p>
            <w:pPr>
              <w:jc w:val="center"/>
              <w:ind w:left="28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6400" w:type="dxa"/>
            <w:vAlign w:val="bottom"/>
          </w:tcPr>
          <w:p>
            <w:pPr>
              <w:jc w:val="center"/>
              <w:ind w:left="4459"/>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6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140" w:type="dxa"/>
            <w:vAlign w:val="bottom"/>
            <w:tcBorders>
              <w:bottom w:val="single" w:sz="8" w:color="auto"/>
            </w:tcBorders>
          </w:tcPr>
          <w:p>
            <w:pPr>
              <w:spacing w:after="0"/>
              <w:rPr>
                <w:sz w:val="20"/>
                <w:szCs w:val="20"/>
                <w:color w:val="auto"/>
              </w:rPr>
            </w:pPr>
          </w:p>
        </w:tc>
      </w:tr>
      <w:tr>
        <w:trPr>
          <w:trHeight w:val="211"/>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Revisions</w:t>
            </w:r>
          </w:p>
        </w:tc>
        <w:tc>
          <w:tcPr>
            <w:tcW w:w="30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As Revised</w:t>
            </w:r>
          </w:p>
        </w:tc>
      </w:tr>
      <w:tr>
        <w:trPr>
          <w:trHeight w:val="211"/>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188,461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185,982</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allowances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charges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costs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3"/>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(153,229)</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82,940</w:t>
            </w: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30"/>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134,050</w:t>
            </w:r>
          </w:p>
        </w:tc>
      </w:tr>
      <w:tr>
        <w:trPr>
          <w:trHeight w:val="237"/>
        </w:trPr>
        <w:tc>
          <w:tcPr>
            <w:tcW w:w="6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(35,182)</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settlements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(43,874)</w:t>
            </w:r>
          </w:p>
        </w:tc>
      </w:tr>
      <w:tr>
        <w:trPr>
          <w:trHeight w:val="237"/>
        </w:trPr>
        <w:tc>
          <w:tcPr>
            <w:tcW w:w="6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on term loan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(100,438)</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on note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Senior Secured Asset-Based revolving credit facility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1,700,030</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on Senior Secured Asset-Based revolving credit facility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(1,632,430)</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shares withheld for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(87,599)</w:t>
            </w:r>
          </w:p>
        </w:tc>
      </w:tr>
      <w:tr>
        <w:trPr>
          <w:trHeight w:val="237"/>
        </w:trPr>
        <w:tc>
          <w:tcPr>
            <w:tcW w:w="6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6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4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36" w:right="499" w:bottom="1440" w:gutter="0" w:footer="0" w:header="0"/>
        </w:sectPr>
      </w:pPr>
    </w:p>
    <w:bookmarkStart w:id="31" w:name="page32"/>
    <w:bookmarkEnd w:id="3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2023 (2023 Form 10-K) (including Part I, Item 1A. “Risk Factors”), our financial statements and the accompanying notes to our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WSG and Mint.</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vendor management systems (VMS), in-home care services, education health services, recruitment process outsourcing (RPO), project management, and other outsourcing and consultative services as described in Item 1. “Business” in our 2023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reportable segments offer services to its customers as described below:</w:t>
      </w:r>
    </w:p>
    <w:p>
      <w:pPr>
        <w:spacing w:after="0" w:line="250" w:lineRule="exact"/>
        <w:rPr>
          <w:sz w:val="20"/>
          <w:szCs w:val="20"/>
          <w:color w:val="auto"/>
        </w:rPr>
      </w:pPr>
    </w:p>
    <w:p>
      <w:pPr>
        <w:ind w:left="660" w:right="80" w:hanging="328"/>
        <w:spacing w:after="0" w:line="256" w:lineRule="auto"/>
        <w:tabs>
          <w:tab w:leader="none" w:pos="6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84% of total revenue in the third quarter of 2024. The Nurse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We provide flexible workforce solutions to our healthcare customers through diversified offerings designed to meet their unique needs, including MSP, RPO, and consulting services. We also offer our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w:t>
      </w:r>
    </w:p>
    <w:p>
      <w:pPr>
        <w:spacing w:after="0" w:line="143"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16% of total revenue in the third quarter of 2024. Physician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quarter ended September 30, 2024, consolidated revenue declined 28.8% year-over-year to $315.1 million, as travel nurse and allied has seen a decline in both billable days and average bill rates. The declines in travel staffing were partly offset by continued growth in several other lines of business, including Homecare Staffing which was up 13.1% over the prior year, as well as growth in our Physician Staffing segment which was up 10.0% over the prior year. Net income attributable to common stockholders in the current quarter was $2.6 million, as compared to $12.8 million for the same period in the prior year.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cash and cash equivalents totaled $64.0 million, down slightly from the prior quarter, as we continued to repurchase shares under our authorized repurchase plan throughout the quarter. Cash flow provided by operating activities for the nine months ended September 30, 2024 was $95.9 million, driven primarily by collections from clients driving down working capital. As of September 30, 2024, there were no borrowings drawn under the revolving senior-secured asset-based credit facility (ABL), and borrowing base availability was $150.2 million, with $135.2 million of availability net of $15.0 million of letters of credit.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178"/>
        </w:trPr>
        <w:tc>
          <w:tcPr>
            <w:tcW w:w="35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77"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7680" w:type="dxa"/>
            <w:vAlign w:val="bottom"/>
          </w:tcPr>
          <w:p>
            <w:pPr>
              <w:ind w:left="1540"/>
              <w:spacing w:after="0" w:line="181"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c>
          <w:tcPr>
            <w:tcW w:w="0" w:type="dxa"/>
            <w:vAlign w:val="bottom"/>
          </w:tcPr>
          <w:p>
            <w:pPr>
              <w:spacing w:after="0"/>
              <w:rPr>
                <w:sz w:val="1"/>
                <w:szCs w:val="1"/>
                <w:color w:val="auto"/>
              </w:rPr>
            </w:pPr>
          </w:p>
        </w:tc>
      </w:tr>
      <w:tr>
        <w:trPr>
          <w:trHeight w:val="225"/>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and comprehensive income (loss) data expressed as a percentage of revenue. Our historical results of operations are not necessarily indicative of future operating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8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20" w:type="dxa"/>
            <w:vAlign w:val="bottom"/>
          </w:tcPr>
          <w:p>
            <w:pPr>
              <w:spacing w:after="0"/>
              <w:rPr>
                <w:sz w:val="20"/>
                <w:szCs w:val="20"/>
                <w:color w:val="auto"/>
              </w:rPr>
            </w:pPr>
          </w:p>
        </w:tc>
        <w:tc>
          <w:tcPr>
            <w:tcW w:w="28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tcPr>
          <w:p>
            <w:pPr>
              <w:spacing w:after="0"/>
              <w:rPr>
                <w:sz w:val="19"/>
                <w:szCs w:val="19"/>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
        </w:trPr>
        <w:tc>
          <w:tcPr>
            <w:tcW w:w="5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September 30, 2024 and the Three Months Ended September 30, 2023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160" w:type="dxa"/>
            <w:vAlign w:val="bottom"/>
            <w:tcBorders>
              <w:bottom w:val="single" w:sz="8" w:color="auto"/>
            </w:tcBorders>
          </w:tcPr>
          <w:p>
            <w:pPr>
              <w:spacing w:after="0"/>
              <w:rPr>
                <w:sz w:val="20"/>
                <w:szCs w:val="20"/>
                <w:color w:val="auto"/>
              </w:rPr>
            </w:pPr>
          </w:p>
        </w:tc>
      </w:tr>
      <w:tr>
        <w:trPr>
          <w:trHeight w:val="174"/>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6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29"/>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color w:val="auto"/>
              </w:rPr>
              <w:t>(Amounts in thousands)</w:t>
            </w:r>
          </w:p>
        </w:tc>
        <w:tc>
          <w:tcPr>
            <w:tcW w:w="1160" w:type="dxa"/>
            <w:vAlign w:val="bottom"/>
          </w:tcPr>
          <w:p>
            <w:pPr>
              <w:spacing w:after="0"/>
              <w:rPr>
                <w:sz w:val="17"/>
                <w:szCs w:val="17"/>
                <w:color w:val="auto"/>
              </w:rPr>
            </w:pPr>
          </w:p>
        </w:tc>
      </w:tr>
      <w:tr>
        <w:trPr>
          <w:trHeight w:val="23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186.8 %</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1"/>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28.8% to $315.1 million for the three months ended September 30, 2024, as compared to $442.3 million for the three months ended September 30, 2023, due primarily to expected volume and bill rate declines in the Nurse and Allied Staffing segment partially offset by higher volume and an average daily revenue in the Physician Staffing segment.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Direct operating expenses consist primarily of field employee compensation and independent contractor expenses, housing expenses, travel expenses, and related insurance expenses. Direct operating expenses decreased $94.0 million, or 27.2%, to $251.0 million for the three months ended September 30, 2024, as compared to $344.9 million for the three months ended September 30, 2023, as a result of revenue decreases and the tightening of the bill/pay spreads. We operate in a highly competitive market for our services, and we have experienced margin compression in several of our core businesses. As a percentage of total revenue, direct operating expenses increased to 79.7%, as compared to 78.0% in the prior year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22.0% to $54.3 million for the three months ended September 30, 2024, as compared to $69.6 million for the three months ended September 30, 2023, primarily due to decreases in compensation and benefit expense through proactive cost management. As a percentage of total revenue, selling, general and administrative expenses increased to 17.2% for the three months ended September 30, 2024, as compared to 15.7% for the three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Credit loss expense for the three months ended September 30, 2024 was $1.5 million, as compared to $2.4 million for the three months ended September 30, 2023. As a percentage of revenue, credit loss expense was 0.5% for the three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both the three months ended September 30, 2024 and 2023 was $4.5 million. As a percentage of revenue, depreciation and amortization expense was 1.4% for the three months ended September 30, 2024 and 1.0% for the three months ended September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Restructuring costs for the three months ended September 30, 2024 were primarily comprised of employee termination costs and software license costs, while restructuring costs for the three months ended September 30, 2023 were primarily comprised of employee termination costs and ongoing lease exit costs. See Note 2 - Summary of Significant Accounting Policies to our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was $0.6 million for the three months ended September 30, 2024, as compared to $0.7 million for the three months ended September 30, 2023, due to lower average borrowings, partially offset by a higher effective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income of $1.1 million for the three months ended September 30, 2024 related to higher average cash on hand with higher available interest rates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Income tax expense totaled $0.8 million for the three months ended September 30, 2024, as compared to $6.7 million for the three months ended September 30, 2023. The decrease in income tax expense was related to a decrease in book income. The tax amounts for the three months ended September 30, 2024 and 2023 were impacted by federal and state taxes.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Nine Months Ended September 30, 2024 and the Nine Months Ended September 30,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360" w:type="dxa"/>
            <w:vAlign w:val="bottom"/>
            <w:tcBorders>
              <w:bottom w:val="single" w:sz="8" w:color="auto"/>
            </w:tcBorders>
          </w:tcPr>
          <w:p>
            <w:pPr>
              <w:spacing w:after="0"/>
              <w:rPr>
                <w:sz w:val="18"/>
                <w:szCs w:val="18"/>
                <w:color w:val="auto"/>
              </w:rPr>
            </w:pPr>
          </w:p>
        </w:tc>
      </w:tr>
      <w:tr>
        <w:trPr>
          <w:trHeight w:val="177"/>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(423,968)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575.2 %</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35.6% to $1.0 billion for the nine months ended September 30, 2024, as compared to $1.6 billion for the nine months ended September 30, 2023, due to expected volume and bill rate declines in the Nurse and Allied Staffing segment, partially offset by an increase in both volume and average bill rates in the Physician Staffing segment.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Direct operating expenses decreased $424.0 million, or 34.0%, to $821.8 million for the nine months ended September 30, 2024, as compared to $1.2 billion for the nine months ended September 30, 2023, as a result of revenue decreases and the tightening of bill/pay spreads, in addition to an increase in certain insurances. As a percentage of total revenue, direct operating expenses increased to 79.5%, as compared to 77.6% in the prior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23.6% to $177.8 million for the nine months ended September 30, 2024, as compared to $232.8 million for the nine months ended September 30, 2023, primarily due to decreases in compensation and benefit expense, as well as spend with third parties, through proactive cost management. As a percentage of total revenue, selling, general and administrative expenses increased to 17.2% for the nine months ended September 30, 2024, as compared to 14.5% for the nine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Credit loss expense for the nine months ended September 30, 2024 was $21.7 million, as compared to $10.4 million for the nine months ended September 30, 2023. The increase was driven by a bankruptcy filing by a single large customer. There is no significant impact on operations from this client as the majority of the business had been wound down in the prior year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As a percentage of revenue, credit loss expense was 2.1% for the nine months ended September 30, 2024, as compared to 0.6% for the nine months ended September 30,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nine months ended September 30, 2024 and 2023 was $13.9 million. As a percentage of revenue, depreciation and amortization expense was 1.3% for the nine months ended September 30, 2024 and 0.9% for the nine months ended September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Restructuring costs for the nine months ended September 30, 2024 were primarily comprised of employee termination costs, ongoing lease exit costs, and software license costs. Restructuring costs for the nine months ended September 30, 2023 were primarily comprised of employee termination costs, partially offset by an immaterial lease-related benefit. See Note 2 - Summary of Significant Accounting Policies to our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legal and other losses of $7.6 million, which included the settlement of a class action lawsuit, as well as costs related to an unrecoverable asset. Legal and other losses totaled $1.1 million for the nine months ended September 30, 2023 and related to the settlement of a wage and hour class action lawsuit and associated legal fees.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Non-cash impairment charges for the nine months ended September 30, 2024 related to real estate restructuring activities. Non-cash impairment charges for the nine months ended September 30, 2023 related to the write-off of an IT project and real estate restructuring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expense was $1.6 million for the nine months ended September 30, 2024, as compared to $7.5 million for the nine months ended September 30, 2023, due to lower average borrowings, partially offset by a higher effective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Loss on early extinguishment of debt for the nine months ended September 30, 2023 consisted of the write-off of debt issuance costs related to the repayment and termination of our term loan in the second quarter of 2023. There were no such charges for the nine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income of $1.5 million for the nine months ended September 30, 2024 related to higher average cash on hand with higher available interest rates during the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other income consisted primarily of a $0.9 million decrease of the remaining earnout liability related to the Mint acquisition. See Note 4 - Acquisitions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Income tax benefit totaled $1.7 million for the nine months ended September 30, 2024, as compared to expense of $26.3 million for the nine months ended September 30, 2023. The decrease in income tax expense was related to a decrease in book income primarily driven by credit loss expense as discussed in Note 2 - Summary of Significant Accounting Policies to our condensed consolidated financial statements. The tax amounts for the nine months ended September 30, 2024 and 2023 were impacted by federal and state taxes. See Note 14 - Income Taxes to our condensed consolidated financial statements.</w:t>
      </w:r>
    </w:p>
    <w:p>
      <w:pPr>
        <w:sectPr>
          <w:pgSz w:w="11900" w:h="16838" w:orient="portrait"/>
          <w:cols w:equalWidth="0" w:num="1">
            <w:col w:w="11220"/>
          </w:cols>
          <w:pgMar w:left="320" w:top="13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(loss) from operations for the periods indicated are as follows: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1"/>
                <w:szCs w:val="21"/>
                <w:color w:val="auto"/>
              </w:rPr>
            </w:pPr>
          </w:p>
        </w:tc>
        <w:tc>
          <w:tcPr>
            <w:tcW w:w="28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(amounts in thousands)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264,853</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396,595</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888,490</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1,474,273</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145,574</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131,420</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315,119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1,034,064</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1,605,693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162,876</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170,717</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53,959</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costs</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4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9,849</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11,251</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the MD&amp;A.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September 30, 2024 and Three Months Ended September 30,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Revenue decreased $131.7 million, or 33.2%, to $264.9 million for the three months ended September 30, 2024, as compared to $396.6 million for the three months ended September 30, 2023, driven primarily by a 22.2% decline in professionals on assignment and, to a lesser extent, a 14.6% decline in average bill rates. The decline in professionals on assignment is largely the result of lower demand, as many clients in the large acute-care space seek to reduce their spend on contingent labor following the pandemic. Also within the segment, Homecare Staffing experienced year-over-year revenue growth of 13.1% and sequential revenue growth of 4.0% in the third quarter of 2024, as that business continues to ramp new clients.</w:t>
      </w:r>
    </w:p>
    <w:p>
      <w:pPr>
        <w:spacing w:after="0" w:line="1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Contribution income decreased $19.9 million, or 50.9%, to $19.3 million for the three months ended September 30, 2024, as compared to $39.2 million for the three months ended September 30, 2023. As a percentage of segment revenue, contribution income margin was 7.3% for the three months ended September 30, 2024, as compared to 9.9% for the three months ended September 30, 2023.</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September 30, 2024 decreased 22.2% from the three months ended September 30, 2023, primarily due to headcount decline in travel nurse and allied, per diem, and education. The average revenue per FTE per day decreased 14.1%.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increased $4.6 million, or 10.0%, to $50.3 million for the three months ended September 30, 2024, as compared to $45.7 million for the three months ended September 30, 2023, primarily due to a 6.2% increase in billable days, as well as the impact from higher rates and favorable specialty mix.</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Contribution income was $4.6 million for the three months ended September 30, 2024, as compared to $2.6 million for the three months ended September 30, 2023. As a percentage of segment revenue, contribution income was 9.2% for the three months ended September 30, 2024, as compared to 5.6%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September 30, 2024 was 24,424, as compared with 23,004 in the prior year. Revenue per day filled was $2,058, as compared with $1,986 in the prior year, due to price increases.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decreased to $15.5 million for the three months ended September 30, 2024, from $16.4 million for the three months ended September 30, 2023, primarily due to decreases in compensation and benefit expense, and software and hardware expense. As a percentage of consolidated revenue, corporate overhead was 4.9% for the three months ended September 30, 2024 and 3.7% for the three months ended September 30,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Nine Months Ended September 30, 2024 and Nine Months Ended September 30, 2023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Revenue decreased $585.8 million, or 39.7%, to $888.5 million for the nine months ended September 30, 2024, as compared to $1.5 billion for the nine months ended September 30, 2023, driven primarily by a 25.3% decline in professionals on assignment and, to a lesser extent, a 19.9% normalization in bill rates.</w:t>
      </w:r>
    </w:p>
    <w:p>
      <w:pPr>
        <w:spacing w:after="0" w:line="16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Contribution income decreased $110.6 million, or 67.9%, to $52.3 million for the nine months ended September 30, 2024, as compared to $162.9 million for the nine months ended September 30, 2023. Contribution income for the nine months ended September 30, 2024 included $19.4 million of credit loss expense driven by a bankruptcy filing by a single large customer recognized during the second quarter of 2024. As a percentage of segment revenue, contribution income margin was 5.9% for the nine months ended September 30, 2024, as compared to 11.0% for the nine months ended September 30, 2023.</w:t>
      </w:r>
    </w:p>
    <w:p>
      <w:pPr>
        <w:spacing w:after="0" w:line="21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average number of FTEs on contract during the nine months ended September 30, 2024 decreased 25.3% from the nine months ended September 30, 2023, primarily due to declines in the number of professionals on travel or per diem assignments. The average revenue per FTE per day decreased 19.5%, driven by both a decline in average bill rates, especially for travel assignments, as well as the impact from mix.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Revenue increased $14.2 million, or 10.8%, to $145.6 million for the nine months ended September 30, 2024, as compared to $131.4 million for the nine months ended September 30, 2023, primarily due to a 5.1% increase in billable days, as well as an increase in average rates, due to higher rates in certain specialties, as well as an improved mix of higher bill rate specialties.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Contribution income was $11.8 million for the nine months ended September 30, 2024, as compared to $7.8 million for the nine months ended September 30, 2023. As a percentage of segment revenue, contribution income was 8.1% for the nine months ended September 30, 2024, as compared to 6.0% for the nine months ended September 30, 2023.</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days filled for the nine months ended September 30, 2024 was 72,461, as compared with 68,927 in the prior year. Revenue per day filled was $2,009 as compared with $1,907 in the prior year, due to price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overhead decreased to $51.3 million for the nine months ended September 30, 2024, from $54.0 million for the nine months ended September 30, 2023, primarily due to decreases in compensation and benefit expense, and professional fees, partially offset by increases in insurance and workers’ compensation. As a percentage of consolidated revenue, corporate overhead was 5.0% for the nine months ended September 30, 2024 and 3.4% for the nine months ended September 30, 2023.</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we reported $64.0 million in cash and cash equivalents, with no borrowings drawn under the ABL, and no off-balance sheet arrangements. Working capital decreased by $44.9 million to $215.9 million as of September 30, 2024, as compared to $260.8 million as of December 31, 2023, primarily due to a decrease in net receivables, partially offset by the timing of disbursements. As of September 30, 2024, our days’ sales outstanding, net of amounts owed to subcontractors, was 63 days, down 4 days year-over-year and up 7 days sequentially.</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cash needs from a combination of cash on hand, operating cash flows, and funds available through the ABL. See the debt discussion which follows.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repurchased a total of 2,107,035 shares of common stock for $33.2 million, at an average price of $15.75 per share, under its $100.0 million Board-authorized stock repurchase program (Repurchase Program). As of September 30, 2024, there was $44.1 million remaining for share repurchase under the Repurchase Program, subject to certain conditions in the Loan Agreement (as defined below).</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$140.5 million to $95.9 million for the nine months ended September 30, 2024, as compared to $236.4 million for the nine months ended September 30, 2023.</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$6.2 million for the nine months ended September 30, 2024, as compared to $10.9 million for the nine months ended September 30, 2023, primarily for capital expenditures in both years, and a small acquisition in the prior year.</w:t>
      </w:r>
    </w:p>
    <w:p>
      <w:pPr>
        <w:ind w:right="12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was $42.8 million, as compared to $214.8 million during the nine months ended September 30, 2023. During the nine months ended September 30, 2024, we used cash to pay $3.0 million for income taxes on share-based compensation, $33.2 million for share repurchases, and $6.6 million for contingent consideration. During the nine months ended September 30, 2023, we reported net repayments of $150.7 million on debt, and used cash to pay $4.9 million for income taxes on share-based compensation, $51.2 million for share repurchases, $7.5 million for contingent consideration, and an immaterial amount for other financing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Credit Agreement</w:t>
      </w:r>
    </w:p>
    <w:p>
      <w:pPr>
        <w:spacing w:after="0" w:line="3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8, 2021, we entered into the Term Loan Credit Agreement (Term Loan Agreement), which provided for a six-year second lien subordinated term loan in the amount of $100.0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more fully described in Note 8 - Debt to our condensed consolidated financial statements, on June 30, 2023, we repaid all outstanding obligations under the term loan, and terminated the Term Loan Agreement. As a result, debt issuance costs of $1.7 million were written off in the second quarter of 2023 and are included as loss on early extinguishment of debt in the condensed consolidated statements of operations and comprehensive income (loss). All subsidiary guarantees of the term loan were automatically released upon the termination of the Term Loan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Asset-Based Loan Agreement</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from $120.0 million to $130.0 million. All other terms, conditions, covenants, and pricing of the Loan Agreement remained the same. On March 8,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amended the Loan Agreement (Second Amendment), which increased the current aggregate committed size of the ABL from $130.0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 million, increased certain borrowing base sub-limits, and decreased both the cash dominion event and financial reporting triggers. On June 8,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amended the Loan Agreement (Third Amendment), which permitted the incurrence of indebtedness and grant of security as set forth in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in accordance with the Intercreditor Agreement, and provides mechanics relating to a transition away from LIBOR as a benchmark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to a replacement alternative benchmark rate or mechanism for loans made in U.S. dollars. On November 18, 2021, we amended the Loan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Amendment), whereby the permitted indebtedness (as defined in the Loan Agreement) was increased to $175.0 million. On March 21, 2022,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Loan Agreement (Fifth Amendment), which increased the current aggregate committed size of the ABL from $150.0 million to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extended the credit facility for an additional five years, increased certain borrowing base sub-limits, and provided the option for all or a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borrowings to bear interest at a rate based on SOFR or Base Rate (as defined in the Loan Agreement), at the election of the borrowers, plus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margin. On September 29, 2023, we amended the Loan Agreement (Sixth Amendment), which changed the minimum fixed charge coverage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from a maintenance covenant to a springing covenant based on excess availability. On July 29, 2024, we amended the Loan Agreement (Seventh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which allows for all share repurchases paid in cash prior to June 30, 2024 and thereafter to be excluded as restricted payments in the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 coverage ratio calculation if there is no revolving ABL balance.</w:t>
      </w:r>
    </w:p>
    <w:p>
      <w:pPr>
        <w:spacing w:after="0" w:line="9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of September 30, 2024,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$150.2 million as of September 30, 2024, with no borrowings drawn and $135.2 million of availability net of $15.0 million of letters of credit. For the three months ended September 30, 2024, the excess availability did not fall below the stated threshold and, as a result, there was no covenant compliance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3" w:name="page44"/>
    <w:bookmarkEnd w:id="4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Loan Agreement entered into on October 25, 2019. This agreement charges interest at a rate based on either SOFR or Base Rate (as defined in the Loan Agreement) plus an applicable margin. Our Term Loan Agreement, entered into on June 8, 2021, was repaid and terminated on June 30, 2023.</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1.0% change in interest rates would have resulted in interest expense fluctuating an immaterial amount for the nine months ended September 30, 2024 and 2023, respectively. See Note 8 - Debt to our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2023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were effective as of the end of the period covered by this quarterly report.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2023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5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third fiscal quarter ended September 30, 2024. See Note 11 - Stockholders’ Equity contained in “Notes to Condensed Consolidated Financial Statements” in Part I, Item 1 of this Quarterly Report on Form 10-Q for additional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 Dollar</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Average Price</w:t>
            </w:r>
          </w:p>
        </w:tc>
        <w:tc>
          <w:tcPr>
            <w:tcW w:w="1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Part of Publicly</w:t>
            </w:r>
          </w:p>
        </w:tc>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May Yet Be Purchased</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Programs (a)</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Programs (b)</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(dollar value in thousands, except per share data)</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 through July 31</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201,061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201,061</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through August 31</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293,371</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322,447</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$44,066</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31" w:lineRule="exact"/>
        <w:rPr>
          <w:sz w:val="20"/>
          <w:szCs w:val="20"/>
          <w:color w:val="auto"/>
        </w:rPr>
      </w:pPr>
    </w:p>
    <w:p>
      <w:pPr>
        <w:ind w:right="560" w:firstLine="8"/>
        <w:spacing w:after="0" w:line="250"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under the Repurchase Program. The Repurchase Program has no expiration date but may be terminated by the Board of Directors at any time. No shares were purchased other than through publicly announced programs during the periods shown.</w:t>
      </w:r>
    </w:p>
    <w:p>
      <w:pPr>
        <w:ind w:right="40" w:firstLine="8"/>
        <w:spacing w:after="0" w:line="255"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the Board of Directors has authorized an aggregate of $100.0 million in share repurchases under the Repurchase Program. Amounts shown in this column reflect amounts remaining under the Repurchase Program referenced in Note 11 - Stockholders’ Equity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directors and officers (as defined in Rule 16a-1(f) under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6" w:name="page47"/>
    <w:bookmarkEnd w:id="4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1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Amendment No. 7 to ABL Credit Agreement, dated as of July 29, 2024, by and among Cross Country Healthcare, Inc. and certain of</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its domestic subsidiaries as borrowers or guarantors, and Wells Fargo Bank, N.A., as administrative agent, collateral agent, and</w:t>
              </w:r>
            </w:hyperlink>
          </w:p>
        </w:tc>
        <w:tc>
          <w:tcPr>
            <w:tcW w:w="4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lender (Previously filed as an exhibit to the Company's Form 8-K dated July 29, 2024 and incorporated by reference herein.)</w:t>
              </w:r>
            </w:hyperlink>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 John</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 Martins, President, Chief Executive Officer, Director (Principal Executive Officer)</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William J. Burns, Executive Vice President, Chief Financial Officer (Principal Financial Officer)</w:t>
            </w:r>
          </w:p>
        </w:tc>
        <w:tc>
          <w:tcPr>
            <w:tcW w:w="2200" w:type="dxa"/>
            <w:vAlign w:val="bottom"/>
            <w:tcBorders>
              <w:top w:val="single" w:sz="8" w:color="0000FF"/>
            </w:tcBorders>
            <w:gridSpan w:val="3"/>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John A.</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Martins, President, Chief Executive Officer, Director (Principal Executive Officer)</w:t>
            </w: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William</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J. Burns, Executive Vice President, Chief Financial Officer (Principal Financial Officer)</w:t>
            </w:r>
          </w:p>
        </w:tc>
        <w:tc>
          <w:tcPr>
            <w:tcW w:w="60" w:type="dxa"/>
            <w:vAlign w:val="bottom"/>
            <w:gridSpan w:val="2"/>
          </w:tcPr>
          <w:p>
            <w:pPr>
              <w:spacing w:after="0"/>
              <w:rPr>
                <w:sz w:val="13"/>
                <w:szCs w:val="13"/>
                <w:color w:val="auto"/>
              </w:rPr>
            </w:pPr>
          </w:p>
        </w:tc>
      </w:tr>
      <w:tr>
        <w:trPr>
          <w:trHeight w:val="53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3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300" w:type="dxa"/>
            <w:vAlign w:val="bottom"/>
            <w:gridSpan w:val="9"/>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7" w:name="page48"/>
    <w:bookmarkEnd w:id="47"/>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320" w:top="887" w:right="5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September 30, 2024, (the "Periodic Report"), I, John A. Martins, President and Chief Executive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September 30, 2024, (the "Periodic Report"), I, William J. Burns, Executive Vice President and Chief Financial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86" Type="http://schemas.openxmlformats.org/officeDocument/2006/relationships/hyperlink" Target="https://www.sec.gov/Archives/edgar/data/1141103/000162828024033300/ccrn20240729-ablamendmen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2024-11-07T15:18:58Z</dcterms:created>
  <dcterms:modified xsi:type="dcterms:W3CDTF">2024-11-07T15:18:58Z</dcterms:modified>
</cp:coreProperties>
</file>