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4040" w:right="2520" w:hanging="1472"/>
        <w:spacing w:after="0" w:line="351" w:lineRule="auto"/>
        <w:tabs>
          <w:tab w:leader="none" w:pos="275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2018</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 Transition Report Pursuant to Section 13 or 15(d) of the Securities Exchange Act of 1934</w:t>
      </w:r>
    </w:p>
    <w:p>
      <w:pPr>
        <w:spacing w:after="0" w:line="5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 xml:space="preserve">For the Transition Period From </w:t>
      </w:r>
      <w:r>
        <w:rPr>
          <w:rFonts w:ascii="Arial" w:cs="Arial" w:eastAsia="Arial" w:hAnsi="Arial"/>
          <w:sz w:val="16"/>
          <w:szCs w:val="16"/>
          <w:color w:val="auto"/>
        </w:rPr>
        <w:t>_________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12065</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CROSS COUNTRY HEALTHCARE, INC.</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6" w:lineRule="exact"/>
        <w:rPr>
          <w:sz w:val="24"/>
          <w:szCs w:val="24"/>
          <w:color w:val="auto"/>
        </w:rPr>
      </w:pPr>
    </w:p>
    <w:tbl>
      <w:tblPr>
        <w:tblLayout w:type="fixed"/>
        <w:tblInd w:w="880" w:type="dxa"/>
        <w:tblCellMar>
          <w:top w:w="0" w:type="dxa"/>
          <w:left w:w="0" w:type="dxa"/>
          <w:bottom w:w="0" w:type="dxa"/>
          <w:right w:w="0" w:type="dxa"/>
        </w:tblCellMar>
      </w:tblPr>
      <w:tr>
        <w:trPr>
          <w:trHeight w:val="210"/>
        </w:trPr>
        <w:tc>
          <w:tcPr>
            <w:tcW w:w="2560" w:type="dxa"/>
            <w:vAlign w:val="bottom"/>
          </w:tcPr>
          <w:p>
            <w:pPr>
              <w:jc w:val="center"/>
              <w:ind w:right="459"/>
              <w:spacing w:after="0"/>
              <w:rPr>
                <w:sz w:val="20"/>
                <w:szCs w:val="20"/>
                <w:color w:val="auto"/>
              </w:rPr>
            </w:pPr>
            <w:r>
              <w:rPr>
                <w:rFonts w:ascii="Arial" w:cs="Arial" w:eastAsia="Arial" w:hAnsi="Arial"/>
                <w:sz w:val="16"/>
                <w:szCs w:val="16"/>
                <w:b w:val="1"/>
                <w:bCs w:val="1"/>
                <w:color w:val="auto"/>
                <w:w w:val="93"/>
              </w:rPr>
              <w:t>Delaware</w:t>
            </w:r>
          </w:p>
        </w:tc>
        <w:tc>
          <w:tcPr>
            <w:tcW w:w="46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0-33169</w:t>
            </w:r>
          </w:p>
        </w:tc>
        <w:tc>
          <w:tcPr>
            <w:tcW w:w="2160" w:type="dxa"/>
            <w:vAlign w:val="bottom"/>
          </w:tcPr>
          <w:p>
            <w:pPr>
              <w:jc w:val="center"/>
              <w:ind w:left="619"/>
              <w:spacing w:after="0"/>
              <w:rPr>
                <w:sz w:val="20"/>
                <w:szCs w:val="20"/>
                <w:color w:val="auto"/>
              </w:rPr>
            </w:pPr>
            <w:r>
              <w:rPr>
                <w:rFonts w:ascii="Arial" w:cs="Arial" w:eastAsia="Arial" w:hAnsi="Arial"/>
                <w:sz w:val="16"/>
                <w:szCs w:val="16"/>
                <w:b w:val="1"/>
                <w:bCs w:val="1"/>
                <w:color w:val="auto"/>
                <w:w w:val="91"/>
              </w:rPr>
              <w:t>13-4066229</w:t>
            </w:r>
          </w:p>
        </w:tc>
      </w:tr>
      <w:tr>
        <w:trPr>
          <w:trHeight w:val="253"/>
        </w:trPr>
        <w:tc>
          <w:tcPr>
            <w:tcW w:w="2560" w:type="dxa"/>
            <w:vAlign w:val="bottom"/>
          </w:tcPr>
          <w:p>
            <w:pPr>
              <w:jc w:val="center"/>
              <w:ind w:right="459"/>
              <w:spacing w:after="0"/>
              <w:rPr>
                <w:sz w:val="20"/>
                <w:szCs w:val="20"/>
                <w:color w:val="auto"/>
              </w:rPr>
            </w:pPr>
            <w:r>
              <w:rPr>
                <w:rFonts w:ascii="Arial" w:cs="Arial" w:eastAsia="Arial" w:hAnsi="Arial"/>
                <w:sz w:val="16"/>
                <w:szCs w:val="16"/>
                <w:i w:val="1"/>
                <w:iCs w:val="1"/>
                <w:color w:val="auto"/>
                <w:w w:val="94"/>
              </w:rPr>
              <w:t>(State or other jurisdiction of</w:t>
            </w: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0"/>
              </w:rPr>
              <w:t>Commission</w:t>
            </w:r>
          </w:p>
        </w:tc>
        <w:tc>
          <w:tcPr>
            <w:tcW w:w="2160" w:type="dxa"/>
            <w:vAlign w:val="bottom"/>
          </w:tcPr>
          <w:p>
            <w:pPr>
              <w:jc w:val="center"/>
              <w:ind w:left="599"/>
              <w:spacing w:after="0"/>
              <w:rPr>
                <w:sz w:val="20"/>
                <w:szCs w:val="20"/>
                <w:color w:val="auto"/>
              </w:rPr>
            </w:pPr>
            <w:r>
              <w:rPr>
                <w:rFonts w:ascii="Arial" w:cs="Arial" w:eastAsia="Arial" w:hAnsi="Arial"/>
                <w:sz w:val="16"/>
                <w:szCs w:val="16"/>
                <w:i w:val="1"/>
                <w:iCs w:val="1"/>
                <w:color w:val="auto"/>
                <w:w w:val="91"/>
              </w:rPr>
              <w:t>(I.R.S. Employer</w:t>
            </w:r>
          </w:p>
        </w:tc>
      </w:tr>
      <w:tr>
        <w:trPr>
          <w:trHeight w:val="206"/>
        </w:trPr>
        <w:tc>
          <w:tcPr>
            <w:tcW w:w="2560" w:type="dxa"/>
            <w:vAlign w:val="bottom"/>
          </w:tcPr>
          <w:p>
            <w:pPr>
              <w:jc w:val="center"/>
              <w:ind w:right="459"/>
              <w:spacing w:after="0"/>
              <w:rPr>
                <w:sz w:val="20"/>
                <w:szCs w:val="20"/>
                <w:color w:val="auto"/>
              </w:rPr>
            </w:pPr>
            <w:r>
              <w:rPr>
                <w:rFonts w:ascii="Arial" w:cs="Arial" w:eastAsia="Arial" w:hAnsi="Arial"/>
                <w:sz w:val="16"/>
                <w:szCs w:val="16"/>
                <w:i w:val="1"/>
                <w:iCs w:val="1"/>
                <w:color w:val="auto"/>
                <w:w w:val="96"/>
              </w:rPr>
              <w:t>Incorporation or organization)</w:t>
            </w: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5"/>
              </w:rPr>
              <w:t>file number</w:t>
            </w:r>
          </w:p>
        </w:tc>
        <w:tc>
          <w:tcPr>
            <w:tcW w:w="2160" w:type="dxa"/>
            <w:vAlign w:val="bottom"/>
          </w:tcPr>
          <w:p>
            <w:pPr>
              <w:jc w:val="center"/>
              <w:ind w:left="599"/>
              <w:spacing w:after="0"/>
              <w:rPr>
                <w:sz w:val="20"/>
                <w:szCs w:val="20"/>
                <w:color w:val="auto"/>
              </w:rPr>
            </w:pPr>
            <w:r>
              <w:rPr>
                <w:rFonts w:ascii="Arial" w:cs="Arial" w:eastAsia="Arial" w:hAnsi="Arial"/>
                <w:sz w:val="16"/>
                <w:szCs w:val="16"/>
                <w:i w:val="1"/>
                <w:iCs w:val="1"/>
                <w:color w:val="auto"/>
                <w:w w:val="94"/>
              </w:rPr>
              <w:t>Identification Number)</w:t>
            </w:r>
          </w:p>
        </w:tc>
      </w:tr>
      <w:tr>
        <w:trPr>
          <w:trHeight w:val="316"/>
        </w:trPr>
        <w:tc>
          <w:tcPr>
            <w:tcW w:w="2560" w:type="dxa"/>
            <w:vAlign w:val="bottom"/>
          </w:tcPr>
          <w:p>
            <w:pPr>
              <w:spacing w:after="0"/>
              <w:rPr>
                <w:sz w:val="24"/>
                <w:szCs w:val="24"/>
                <w:color w:val="auto"/>
              </w:rPr>
            </w:pPr>
          </w:p>
        </w:tc>
        <w:tc>
          <w:tcPr>
            <w:tcW w:w="46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5201 Congress Avenue, Suite 100B</w:t>
            </w:r>
          </w:p>
        </w:tc>
        <w:tc>
          <w:tcPr>
            <w:tcW w:w="2160" w:type="dxa"/>
            <w:vAlign w:val="bottom"/>
          </w:tcPr>
          <w:p>
            <w:pPr>
              <w:spacing w:after="0"/>
              <w:rPr>
                <w:sz w:val="24"/>
                <w:szCs w:val="24"/>
                <w:color w:val="auto"/>
              </w:rPr>
            </w:pPr>
          </w:p>
        </w:tc>
      </w:tr>
      <w:tr>
        <w:trPr>
          <w:trHeight w:val="193"/>
        </w:trPr>
        <w:tc>
          <w:tcPr>
            <w:tcW w:w="2560" w:type="dxa"/>
            <w:vAlign w:val="bottom"/>
          </w:tcPr>
          <w:p>
            <w:pPr>
              <w:spacing w:after="0"/>
              <w:rPr>
                <w:sz w:val="16"/>
                <w:szCs w:val="16"/>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Boca Raton, Florida 33487</w:t>
            </w:r>
          </w:p>
        </w:tc>
        <w:tc>
          <w:tcPr>
            <w:tcW w:w="2160" w:type="dxa"/>
            <w:vAlign w:val="bottom"/>
          </w:tcPr>
          <w:p>
            <w:pPr>
              <w:spacing w:after="0"/>
              <w:rPr>
                <w:sz w:val="16"/>
                <w:szCs w:val="16"/>
                <w:color w:val="auto"/>
              </w:rPr>
            </w:pPr>
          </w:p>
        </w:tc>
      </w:tr>
      <w:tr>
        <w:trPr>
          <w:trHeight w:val="206"/>
        </w:trPr>
        <w:tc>
          <w:tcPr>
            <w:tcW w:w="2560" w:type="dxa"/>
            <w:vAlign w:val="bottom"/>
          </w:tcPr>
          <w:p>
            <w:pPr>
              <w:spacing w:after="0"/>
              <w:rPr>
                <w:sz w:val="17"/>
                <w:szCs w:val="17"/>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2"/>
              </w:rPr>
              <w:t>(Address of principal executive offices)(Zip Code)</w:t>
            </w:r>
          </w:p>
        </w:tc>
        <w:tc>
          <w:tcPr>
            <w:tcW w:w="2160" w:type="dxa"/>
            <w:vAlign w:val="bottom"/>
          </w:tcPr>
          <w:p>
            <w:pPr>
              <w:spacing w:after="0"/>
              <w:rPr>
                <w:sz w:val="17"/>
                <w:szCs w:val="17"/>
                <w:color w:val="auto"/>
              </w:rPr>
            </w:pPr>
          </w:p>
        </w:tc>
      </w:tr>
      <w:tr>
        <w:trPr>
          <w:trHeight w:val="280"/>
        </w:trPr>
        <w:tc>
          <w:tcPr>
            <w:tcW w:w="2560" w:type="dxa"/>
            <w:vAlign w:val="bottom"/>
          </w:tcPr>
          <w:p>
            <w:pPr>
              <w:spacing w:after="0"/>
              <w:rPr>
                <w:sz w:val="24"/>
                <w:szCs w:val="24"/>
                <w:color w:val="auto"/>
              </w:rPr>
            </w:pPr>
          </w:p>
        </w:tc>
        <w:tc>
          <w:tcPr>
            <w:tcW w:w="46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(561) 998-2232</w:t>
            </w:r>
          </w:p>
        </w:tc>
        <w:tc>
          <w:tcPr>
            <w:tcW w:w="2160" w:type="dxa"/>
            <w:vAlign w:val="bottom"/>
          </w:tcPr>
          <w:p>
            <w:pPr>
              <w:spacing w:after="0"/>
              <w:rPr>
                <w:sz w:val="24"/>
                <w:szCs w:val="24"/>
                <w:color w:val="auto"/>
              </w:rPr>
            </w:pPr>
          </w:p>
        </w:tc>
      </w:tr>
      <w:tr>
        <w:trPr>
          <w:trHeight w:val="206"/>
        </w:trPr>
        <w:tc>
          <w:tcPr>
            <w:tcW w:w="2560" w:type="dxa"/>
            <w:vAlign w:val="bottom"/>
          </w:tcPr>
          <w:p>
            <w:pPr>
              <w:spacing w:after="0"/>
              <w:rPr>
                <w:sz w:val="17"/>
                <w:szCs w:val="17"/>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160" w:type="dxa"/>
            <w:vAlign w:val="bottom"/>
          </w:tcPr>
          <w:p>
            <w:pPr>
              <w:spacing w:after="0"/>
              <w:rPr>
                <w:sz w:val="17"/>
                <w:szCs w:val="17"/>
                <w:color w:val="auto"/>
              </w:rPr>
            </w:pPr>
          </w:p>
        </w:tc>
      </w:tr>
    </w:tbl>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6" w:lineRule="exact"/>
        <w:rPr>
          <w:sz w:val="24"/>
          <w:szCs w:val="24"/>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91" w:lineRule="exact"/>
        <w:rPr>
          <w:sz w:val="24"/>
          <w:szCs w:val="24"/>
          <w:color w:val="auto"/>
        </w:rPr>
      </w:pPr>
    </w:p>
    <w:p>
      <w:pPr>
        <w:ind w:right="7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4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o</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period for complying with any new or revised financial accounting standards provided pursuant to Section 13(a) of the Exchange Act. o</w:t>
      </w:r>
    </w:p>
    <w:p>
      <w:pPr>
        <w:spacing w:after="0" w:line="69" w:lineRule="exact"/>
        <w:rPr>
          <w:sz w:val="24"/>
          <w:szCs w:val="24"/>
          <w:color w:val="auto"/>
        </w:rPr>
      </w:pPr>
    </w:p>
    <w:p>
      <w:pPr>
        <w:ind w:right="3160"/>
        <w:spacing w:after="0" w:line="267" w:lineRule="exact"/>
        <w:rPr>
          <w:sz w:val="20"/>
          <w:szCs w:val="20"/>
          <w:color w:val="auto"/>
        </w:rPr>
      </w:pPr>
      <w:r>
        <w:rPr>
          <w:rFonts w:ascii="Arial" w:cs="Arial" w:eastAsia="Arial" w:hAnsi="Arial"/>
          <w:sz w:val="15"/>
          <w:szCs w:val="15"/>
          <w:color w:val="auto"/>
        </w:rPr>
        <w:t xml:space="preserve">Indicate by checkmark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registrant had outstanding 36,399,603 shares of Common Stock, par value $0.0001 per share, as of April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3"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2017,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2"/>
              </w:rPr>
              <w:t>March 31, 2018</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806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 OTHER INFORMATION</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32</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25,537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$3,640 in 2018 and $3,688 in 2017</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160,334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173,603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3,497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203,469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208,887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net of accumulated depreciation of $31,794 in 2018 and $30,678 in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117,589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117,589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59,185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60,976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Non-current 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19,427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19,228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467,687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Accounts payable and accrued expenses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50,597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31,586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34,271</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3,615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2,845</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94,588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92,314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92,259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Long-term accrued claims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Contingent consideration</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5,088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223,693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229,968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302,325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305,362</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(65,275)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(67,111)</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Cross Country Healthcare, Inc.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235,500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237,089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 in subsidiary</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630</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237,719</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459,794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467,687</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Direct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154,298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45,634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47,236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Acquisition-related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Restructuring costs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206,040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204,318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Loss on early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Consolidated 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(loss) attributable to 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(loss) per share attributable to common shareholders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(loss) per share attributable to common shareholders -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35,803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32,872</w:t>
            </w:r>
          </w:p>
        </w:tc>
      </w:tr>
      <w:tr>
        <w:trPr>
          <w:trHeight w:val="262"/>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Diluted</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36,480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9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0"/>
                <w:szCs w:val="20"/>
                <w:color w:val="auto"/>
              </w:rPr>
            </w:pPr>
          </w:p>
        </w:tc>
      </w:tr>
      <w:tr>
        <w:trPr>
          <w:trHeight w:val="270"/>
        </w:trPr>
        <w:tc>
          <w:tcPr>
            <w:tcW w:w="7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March 31,</w:t>
            </w:r>
          </w:p>
        </w:tc>
        <w:tc>
          <w:tcPr>
            <w:tcW w:w="62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 (loss)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(1,718)</w:t>
            </w:r>
          </w:p>
        </w:tc>
      </w:tr>
      <w:tr>
        <w:trPr>
          <w:trHeight w:val="297"/>
        </w:trPr>
        <w:tc>
          <w:tcPr>
            <w:tcW w:w="7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income tax:</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(loss) gain</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fair value of hedging transactions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(loss) income, before income taxes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Income tax benefit related to foreign currency translation adjustments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Income tax benefit related to change in fair value of hedging transactions</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(1,684)</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common shareholders</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(1,976)</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Consolidated 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Gain on derivative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4,969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non-cash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10,817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13,273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Acquisition-related settlements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payments on Term Loans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Convertible Note cash payment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Extinguishment fees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 and retirement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97"/>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25,537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20,630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(formerly InteliStaf of Oklahoma,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2018.</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2017 included in the Company’s Annual Report on Form 10-K as filed with the Securities and Exchange Commission. The December 31, 2017 condensed consolidated balance sheet included herein was derived from the December 31, 2017 audited consolidated balance sheet included in the Company’s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amounts have been reclassified to conform to the current year presentation on the condensed consolidated statements of cash flows.</w:t>
      </w:r>
    </w:p>
    <w:p>
      <w:pPr>
        <w:spacing w:after="0" w:line="244" w:lineRule="exact"/>
        <w:rPr>
          <w:sz w:val="20"/>
          <w:szCs w:val="20"/>
          <w:color w:val="auto"/>
        </w:rPr>
      </w:pPr>
    </w:p>
    <w:p>
      <w:pPr>
        <w:ind w:right="606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derivative liability;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We write-off specific accounts based on an ongoing review of collectability as well as our past experience with the customer. In addition, we maintain a sales allowance for customer disputes which may arise in the ordinary course of business, which is recorded as contra-revenue. Historically, losses on uncollectible accounts and sales allowances have not exceeded our allowances.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include on-going benefit costs for its employees and exit costs.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Reconciliations of the beginning and ending total restructuring liability balances are presented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4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Three Months Ended March 31, 2018</w:t>
            </w:r>
          </w:p>
        </w:tc>
      </w:tr>
      <w:tr>
        <w:trPr>
          <w:trHeight w:val="27"/>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b w:val="1"/>
                <w:bCs w:val="1"/>
                <w:color w:val="auto"/>
              </w:rPr>
              <w:t>On-Going Benefit Costs</w:t>
            </w:r>
          </w:p>
        </w:tc>
        <w:tc>
          <w:tcPr>
            <w:tcW w:w="800" w:type="dxa"/>
            <w:vAlign w:val="bottom"/>
          </w:tcPr>
          <w:p>
            <w:pPr>
              <w:spacing w:after="0"/>
              <w:rPr>
                <w:sz w:val="20"/>
                <w:szCs w:val="20"/>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w w:val="99"/>
              </w:rPr>
              <w:t>Exit Costs</w:t>
            </w:r>
          </w:p>
        </w:tc>
      </w:tr>
      <w:tr>
        <w:trPr>
          <w:trHeight w:val="27"/>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3"/>
          </w:tcPr>
          <w:p>
            <w:pPr>
              <w:jc w:val="right"/>
              <w:ind w:right="30"/>
              <w:spacing w:after="0"/>
              <w:rPr>
                <w:sz w:val="20"/>
                <w:szCs w:val="20"/>
                <w:color w:val="auto"/>
              </w:rPr>
            </w:pPr>
            <w:r>
              <w:rPr>
                <w:rFonts w:ascii="Arial" w:cs="Arial" w:eastAsia="Arial" w:hAnsi="Arial"/>
                <w:sz w:val="18"/>
                <w:szCs w:val="18"/>
                <w:color w:val="auto"/>
              </w:rPr>
              <w:t>(amounts in thousands)</w:t>
            </w:r>
          </w:p>
        </w:tc>
        <w:tc>
          <w:tcPr>
            <w:tcW w:w="18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Charged to restructuring costs</w:t>
            </w:r>
          </w:p>
        </w:tc>
        <w:tc>
          <w:tcPr>
            <w:tcW w:w="26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Payments</w:t>
            </w:r>
          </w:p>
        </w:tc>
        <w:tc>
          <w:tcPr>
            <w:tcW w:w="26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512</w:t>
            </w:r>
          </w:p>
        </w:tc>
        <w:tc>
          <w:tcPr>
            <w:tcW w:w="3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4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The Company is exposed to interest rate risk due to the outstanding senior secured term loan entered into on August 1, 2017 with a variable interest rate. As a result, it has entered into an interest rate swap agreement to effectively convert a portion of its variable interest payments to a fixed rate. The principal objective of the interest rate swap is to eliminate or reduce the variability of the cash flows in those interest payments associated with the Company’s long-term debt, thus reducing the impact of interest rate changes on future interest payment cash flows. The Company has determined that the interest rate swap qualifies as a cash flow hedge in accordance with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the critical terms of the hedging instrument and the hedged forecasted transaction are the same, the Company has concluded that changes in the cash flows attributable to the risk being hedged are expected to completely offset at inception and on an ongoing basis. Changes in the fair value of an interest rate swap agreement designated as a cash flow hedge are recorded as a component of accumulated other comprehensive income (loss), net of deferred taxes, within stockholders’ equity and are amortized to interest expense over the term of the related debt as the interest payments are made. As of March 31, 2018, the fair value of the interest rate swap agreement was not material. Future interest rate swap payments will be included in net cash provided by operating activities on the Company’s consolidated statement of cash flows.</w:t>
      </w:r>
    </w:p>
    <w:p>
      <w:pPr>
        <w:spacing w:after="0" w:line="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In conjunction with entering into the interest rate swap agreement, the Company early adopted ASU 2017-12, </w:t>
      </w:r>
      <w:r>
        <w:rPr>
          <w:rFonts w:ascii="Arial" w:cs="Arial" w:eastAsia="Arial" w:hAnsi="Arial"/>
          <w:sz w:val="16"/>
          <w:szCs w:val="16"/>
          <w:i w:val="1"/>
          <w:iCs w:val="1"/>
          <w:color w:val="auto"/>
        </w:rPr>
        <w:t>Derivative and Hedging (Topic 815)</w:t>
      </w:r>
      <w:r>
        <w:rPr>
          <w:rFonts w:ascii="Arial" w:cs="Arial" w:eastAsia="Arial" w:hAnsi="Arial"/>
          <w:sz w:val="16"/>
          <w:szCs w:val="16"/>
          <w:color w:val="auto"/>
        </w:rPr>
        <w:t xml:space="preserve"> to simplify the application of hedge accounting. See Note 9 - Derivative for full disclosures of the interest rate swap agreement entered into in the first quarter of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February 2018, the Financial Accounting Standards Board (FASB) issued Accounting Standards Update (ASU) No. 2018-02, </w:t>
      </w:r>
      <w:r>
        <w:rPr>
          <w:rFonts w:ascii="Arial" w:cs="Arial" w:eastAsia="Arial" w:hAnsi="Arial"/>
          <w:sz w:val="16"/>
          <w:szCs w:val="16"/>
          <w:i w:val="1"/>
          <w:iCs w:val="1"/>
          <w:color w:val="auto"/>
        </w:rPr>
        <w:t>Income Statement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Comprehensive Income (Topic 220): Reclassification of Certain Tax Effects from Accumulated Other Comprehensive Income, </w:t>
      </w:r>
      <w:r>
        <w:rPr>
          <w:rFonts w:ascii="Arial" w:cs="Arial" w:eastAsia="Arial" w:hAnsi="Arial"/>
          <w:sz w:val="16"/>
          <w:szCs w:val="16"/>
          <w:color w:val="auto"/>
        </w:rPr>
        <w:t>amended by ASU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 2018-05, </w:t>
      </w:r>
      <w:r>
        <w:rPr>
          <w:rFonts w:ascii="Arial" w:cs="Arial" w:eastAsia="Arial" w:hAnsi="Arial"/>
          <w:sz w:val="16"/>
          <w:szCs w:val="16"/>
          <w:i w:val="1"/>
          <w:iCs w:val="1"/>
          <w:color w:val="auto"/>
        </w:rPr>
        <w:t>Income Taxes (Topic 740): Amendments to SEC Paragraphs Pursuant to SEC Staff Accounting Bulletin No. 118.</w:t>
      </w:r>
      <w:r>
        <w:rPr>
          <w:rFonts w:ascii="Arial" w:cs="Arial" w:eastAsia="Arial" w:hAnsi="Arial"/>
          <w:sz w:val="16"/>
          <w:szCs w:val="16"/>
          <w:color w:val="auto"/>
        </w:rPr>
        <w:t xml:space="preserve"> The amendments allow a reclassification from accumulated other comprehensive income to retained earnings for stranded tax effects resulting from the Tax Cuts and Jobs Act (2017 Tax Act), and require certain disclosures about stranded tax effects. The guidance that requires that the effect of a change in tax laws or rates be included in income is not affected. The amendments would have been effective for the Company in the first quarter of 2019. Adoption of the standard was to be applied either in the period of adoption or retrospectively to each period in which the effect of the change in the United States federal corporate tax rate in the 2017 Tax Act is recognized. Early adoption was permitted. The Company adopted this standard in the first quarter of 2018, resulting in the reclassification of a $0.2 million benefit, the stranded tax effect, from retained earnings to accumulated other comprehensive income (loss).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the first quarter of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introduces a new five-step revenue recognition model in which an entity recognizes revenue when its customer obtains control of promised goods or services, in an amount that reflects the consideration to which the entity expects to be entitled in exchange for those goods or services. The new standard also requires additional disclosures about the nature, amount, timing and uncertainty of revenue and cash flows arising from customer contracts. See Note 3 - Revenue Recognition for additional accounting policy and related disclosures. The Company elected to adopt the standard using a modified retrospective method, which only impacts contracts not completed as of December 31, 2017.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9" w:name="page10"/>
    <w:bookmarkEnd w:id="9"/>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Revenue from the Company’s services is recognized when control of the promised services are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 which is consistent with revenue recognition under the prior guidance.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nature, amount, timing and uncertainty of revenue and cash flows from which the Company generates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Revenue from temporary staffing is recognized as control of the services are transferred over time, and is based on hours worked by the Company’s field staff. The Company recognizes the majority of its revenue at the contractual amount the Company has the right to invoice for services completed to date. Generally, billing to customers occurs weekly or bi-weekly aligned with the payment of services to the temporary staff with payment terms of 15 to 60 days. Accounts receivable includes estimated revenue for employees’ and independent contractors’ time worked but not yet invoiced. At March 31, 2018 and December 31, 2017, the Company's estimate of amounts that had been worked but had not been billed totaled $35.4 million and $41.8 million, respectively, and are included in accounts receivable on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 Revenue</w:t>
      </w:r>
    </w:p>
    <w:p>
      <w:pPr>
        <w:spacing w:after="0" w:line="18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which is less than 5% of its consolidated revenue for the three months ended March 31, 2018 and March 31, 2017.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w:t>
      </w:r>
    </w:p>
    <w:p>
      <w:pPr>
        <w:spacing w:after="0" w:line="15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For the Company’s RPO, other outsourcing, and retained search services revenue is generally recognized in the amount to which the entity has a right to invoice which corresponds directly with the value to the customer. The Company does not, in the ordinary course of business, offer warranties or refunds.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Versus Net Policies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revenue on a gross basis as a principal or on a net basis as an agent depending on the contracted arrangement,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Managed Service Programs</w:t>
      </w:r>
    </w:p>
    <w:p>
      <w:pPr>
        <w:spacing w:after="0" w:line="18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has certain contracts with acute care facilities to provide comprehensive services through its MSPs. Under these contract arrangements, the Company fulfills the customer’s order with either one of its healthcare professionals or a third-party's professionals (subcontractors). If its healthcare professional is used, the Company determined that it acts as a principal in the arrangement, as the Company is considered the employer of record. Accordingly, revenue is reported on a gross basis on the consolidated statements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subcontractor healthcare professional is used, the customer is invoiced for such services and a subcontractor liability is recorded in accrued expenses, but only the resulting administrative fee is recognized as revenue. The subcontractor is generally paid after the Company has received payment from its customer. The Company determined that it acts as an agent in these arrangements as the Company does not control the services before they are transferred. Accordingly, revenue is reported on a net basis on the consolidated statements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Staffing</w:t>
      </w:r>
    </w:p>
    <w:p>
      <w:pPr>
        <w:spacing w:after="0" w:line="1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Physician Staffing business enters into contracts with its healthcare customers to provide temporary staffing services. The Company uses independent contractors for these services. The Company determined that it acts as a principal in this arrangement and, therefore, revenue is reported on a gross basis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presents our revenues disaggregated by revenue source. Sales and usage-based taxes are excluded from revenue.</w:t>
      </w:r>
    </w:p>
    <w:p>
      <w:pPr>
        <w:spacing w:after="0" w:line="38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March 31, 2018</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Other Human</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Nurse</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And Allied</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Physician</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Management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 Segment</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(amounts in thousands)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Temporary Staffing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201,369</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3,623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8,919</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185,105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210,288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All contract fulfillment costs are expensed as incurred to direct operating expenses. With respect to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there were no contract assets or material contract liabilities as of March 31, 2018 and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 RN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July 1, 2017, the Company acquired all of the assets of Advantage RN, LLC and its subsidiaries (collectively, Advantage) for cash consideration of $86.6 million, net of cash acquired. The total purchase price of $88.0 million was subject to a net working capital reduction of $0.6 million at the closing and an additional $0.8 million was received during the third quarter of 2017 as the final adjustment for net working capital. Additionally, $0.6 million of the purchase price was deferred as of the closing and is due the seller within 20 months, less any Cobra and healthcare payments incurred by the Company on behalf of the seller. As of March 31, 2018, approximately $0.4 million has been paid for claims and the remaining $0.2 million liability is included in other current liabilities on the Company’s balance sheet.</w:t>
      </w:r>
    </w:p>
    <w:p>
      <w:pPr>
        <w:spacing w:after="0" w:line="19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with the escrow to cover post-close liabilities remaining unchanged.</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financed the purchase using $19.9 million in available cash and $66.9 million in borrowing under its Credit Facility, including a $40.0 million incremental term loan, which was subsequently refinanced on August 1, 2017. See Note 8 - Debt for further information. The transaction is treated as a purchase of assets for income tax purposes.</w:t>
      </w:r>
    </w:p>
    <w:p>
      <w:pPr>
        <w:spacing w:after="0" w:line="1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Advantage is primarily a travel nurse staffing company that deploys many of its nurses through MSPs and Vendor Management Systems, and Advantage maintains direct relationships with many hospitals throughout the United States. This was a strategic acquisition to help the Company fill its recent MSP contract wins, and for revenue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acquisition has been accounted for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using the acquisition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0" w:right="259" w:bottom="1440" w:gutter="0" w:footer="0" w:header="0"/>
        </w:sectPr>
      </w:pPr>
    </w:p>
    <w:bookmarkStart w:id="11" w:name="page12"/>
    <w:bookmarkEnd w:id="11"/>
    <w:p>
      <w:pPr>
        <w:ind w:right="120"/>
        <w:spacing w:after="0" w:line="264" w:lineRule="auto"/>
        <w:rPr>
          <w:sz w:val="20"/>
          <w:szCs w:val="20"/>
          <w:color w:val="auto"/>
        </w:rPr>
      </w:pPr>
      <w:r>
        <w:rPr>
          <w:rFonts w:ascii="Arial" w:cs="Arial" w:eastAsia="Arial" w:hAnsi="Arial"/>
          <w:sz w:val="18"/>
          <w:szCs w:val="18"/>
          <w:color w:val="auto"/>
        </w:rPr>
        <w:t>method of accounting. As such, the results of Advantage from July 1, 2017 are included in the Company's consolidated statement of operations. The acquisition results have been substantially aggregated with the Company's Nurse and Allied Staffing business segment and the associated goodwill related to the acquisition of Advantage is fully allocated to Nurse and Allied Staffing.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unaudited pro forma financial information approximates the consolidated results of operations of the Company as if the Advantage acquisition had occurred as of January 1, 2017,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adjustments include removing transaction-related expenses of approximately $0.2 million for the three months ended March 31, 2017.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 among other adjustments that could be made in the future but are not factually supportable on the date of the transaction.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tcPr>
          <w:p>
            <w:pPr>
              <w:jc w:val="center"/>
              <w:ind w:right="74"/>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8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0" w:type="dxa"/>
            <w:vAlign w:val="bottom"/>
          </w:tcPr>
          <w:p>
            <w:pPr>
              <w:jc w:val="center"/>
              <w:ind w:right="74"/>
              <w:spacing w:after="0"/>
              <w:rPr>
                <w:sz w:val="20"/>
                <w:szCs w:val="20"/>
                <w:color w:val="auto"/>
              </w:rPr>
            </w:pPr>
            <w:r>
              <w:rPr>
                <w:rFonts w:ascii="Arial" w:cs="Arial" w:eastAsia="Arial" w:hAnsi="Arial"/>
                <w:sz w:val="18"/>
                <w:szCs w:val="18"/>
                <w:b w:val="1"/>
                <w:bCs w:val="1"/>
                <w:color w:val="auto"/>
                <w:w w:val="93"/>
              </w:rPr>
              <w:t>March 31, 2017</w:t>
            </w:r>
          </w:p>
        </w:tc>
      </w:tr>
      <w:tr>
        <w:trPr>
          <w:trHeight w:val="27"/>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150"/>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jc w:val="center"/>
              <w:ind w:right="74"/>
              <w:spacing w:after="0" w:line="151" w:lineRule="exact"/>
              <w:rPr>
                <w:sz w:val="20"/>
                <w:szCs w:val="20"/>
                <w:color w:val="auto"/>
              </w:rPr>
            </w:pPr>
            <w:r>
              <w:rPr>
                <w:rFonts w:ascii="Arial" w:cs="Arial" w:eastAsia="Arial" w:hAnsi="Arial"/>
                <w:sz w:val="14"/>
                <w:szCs w:val="14"/>
                <w:color w:val="auto"/>
                <w:w w:val="91"/>
              </w:rPr>
              <w:t>(unaudited, amounts in thousands except per</w:t>
            </w:r>
          </w:p>
        </w:tc>
      </w:tr>
      <w:tr>
        <w:trPr>
          <w:trHeight w:val="188"/>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Pr>
          <w:p>
            <w:pPr>
              <w:jc w:val="center"/>
              <w:ind w:right="74"/>
              <w:spacing w:after="0"/>
              <w:rPr>
                <w:sz w:val="20"/>
                <w:szCs w:val="20"/>
                <w:color w:val="auto"/>
              </w:rPr>
            </w:pPr>
            <w:r>
              <w:rPr>
                <w:rFonts w:ascii="Arial" w:cs="Arial" w:eastAsia="Arial" w:hAnsi="Arial"/>
                <w:sz w:val="14"/>
                <w:szCs w:val="14"/>
                <w:color w:val="auto"/>
                <w:w w:val="90"/>
              </w:rPr>
              <w:t>share data)</w:t>
            </w: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233,573</w:t>
            </w:r>
          </w:p>
        </w:tc>
      </w:tr>
      <w:tr>
        <w:trPr>
          <w:trHeight w:val="324"/>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324"/>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attributable to common shareholders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324"/>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common share attributable to common shareholders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8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Resources Healthcare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December 1, 2016, the Company completed the acquisition of a recruitment process outsourcing business, US Resources Healthcare, LLC (USR). This acquisition expands the Company's workforce solutions offerings to deliver financial and operating efficiencies through labor optimization services while enhancing the quality of care.</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agreement specified that the sellers were eligible to receive additional purchase price consideration of $4.5 million, with a maximum of $1.0 million for 2017, $2.0 million for 2018, and $1.5 million for 2019, based on attainment of specific performance criteria achieved in each of those years. The earnout for 2017 was not achieved. As of March 31, 2018, the fair value of the remaining obligations was estimated at $0.2 million and is included in other current liabilities and contingent consideration on the condensed consolidated balance sheets. See Note 10 - 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Earnouts related to the attainment of specific performance criteria in 2016 and 2017 were not achieved. In connection with the Mediscan acquisition, the Company also assumed contingent purchase price liabilities for a previously acquired business that are payable annually based on specific performance criteria for the 2016 through 2019 years. As of March 31, 2018, payments related to the year 2018 are limited to $0.3 million and 2019 is uncapped. During the three months ended March 31, 2018, the Company paid $0.1 million related to the year 2017. As of March 31, 2018, the fair value of the remaining obligations was estimated at $5.3 million and is included in other current liabilities and contingent consideration on the condensed consolidated balance sheets. See Note 10 -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2" w:name="page13"/>
    <w:bookmarkEnd w:id="12"/>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Total comprehensive income (loss) includes net income or loss, foreign currency translation adjustments, and net change in derivative transactions, net of any related deferred taxes. Certain of the Company’s foreign subsidiaries use their respective local currency as their functional currency. In accordance with the </w:t>
      </w:r>
      <w:r>
        <w:rPr>
          <w:rFonts w:ascii="Arial" w:cs="Arial" w:eastAsia="Arial" w:hAnsi="Arial"/>
          <w:sz w:val="16"/>
          <w:szCs w:val="16"/>
          <w:i w:val="1"/>
          <w:iCs w:val="1"/>
          <w:color w:val="auto"/>
        </w:rPr>
        <w:t xml:space="preserve">Foreign Currency Matters </w:t>
      </w:r>
      <w:r>
        <w:rPr>
          <w:rFonts w:ascii="Arial" w:cs="Arial" w:eastAsia="Arial" w:hAnsi="Arial"/>
          <w:sz w:val="16"/>
          <w:szCs w:val="16"/>
          <w:color w:val="auto"/>
        </w:rPr>
        <w:t>Topic of the FASB ASC, assets and liabilities of these operations are translated at the exchange rates in effect on the 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approximately $1.4 million at March 31, 2018 and $1.2 million at December 31, 2017. The cumulative impact of net changes in derivative instruments included in other comprehensive loss in the condensed consolidated balance sheets was approximately $0.2 million at March 31, 2018. See Note 9 - Derivative.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was no income tax impact related to foreign currency translation adjustments for the three month period ended March 31, 2017.</w:t>
      </w:r>
    </w:p>
    <w:p>
      <w:pPr>
        <w:spacing w:after="0" w:line="22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6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tcPr>
          <w:p>
            <w:pPr>
              <w:spacing w:after="0"/>
              <w:rPr>
                <w:sz w:val="20"/>
                <w:szCs w:val="20"/>
                <w:color w:val="auto"/>
              </w:rPr>
            </w:pPr>
          </w:p>
        </w:tc>
      </w:tr>
      <w:tr>
        <w:trPr>
          <w:trHeight w:val="270"/>
        </w:trPr>
        <w:tc>
          <w:tcPr>
            <w:tcW w:w="7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6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3"/>
              </w:rPr>
              <w:t>March 31,</w:t>
            </w:r>
          </w:p>
        </w:tc>
        <w:tc>
          <w:tcPr>
            <w:tcW w:w="700" w:type="dxa"/>
            <w:vAlign w:val="bottom"/>
          </w:tcPr>
          <w:p>
            <w:pPr>
              <w:spacing w:after="0"/>
              <w:rPr>
                <w:sz w:val="23"/>
                <w:szCs w:val="23"/>
                <w:color w:val="auto"/>
              </w:rPr>
            </w:pPr>
          </w:p>
        </w:tc>
      </w:tr>
      <w:tr>
        <w:trPr>
          <w:trHeight w:val="27"/>
        </w:trPr>
        <w:tc>
          <w:tcPr>
            <w:tcW w:w="7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3520" w:type="dxa"/>
            <w:vAlign w:val="bottom"/>
            <w:gridSpan w:val="4"/>
          </w:tcPr>
          <w:p>
            <w:pPr>
              <w:jc w:val="center"/>
              <w:ind w:left="653"/>
              <w:spacing w:after="0"/>
              <w:rPr>
                <w:sz w:val="20"/>
                <w:szCs w:val="20"/>
                <w:color w:val="auto"/>
              </w:rPr>
            </w:pPr>
            <w:r>
              <w:rPr>
                <w:rFonts w:ascii="Arial" w:cs="Arial" w:eastAsia="Arial" w:hAnsi="Arial"/>
                <w:sz w:val="14"/>
                <w:szCs w:val="14"/>
                <w:color w:val="auto"/>
                <w:w w:val="90"/>
              </w:rPr>
              <w:t>(amounts in thousands, except per share data)</w:t>
            </w:r>
          </w:p>
        </w:tc>
        <w:tc>
          <w:tcPr>
            <w:tcW w:w="70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1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Net income (loss) attributable to common shareholders - Basic</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on Convertible Notes</w:t>
            </w:r>
          </w:p>
        </w:tc>
        <w:tc>
          <w:tcPr>
            <w:tcW w:w="1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12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7"/>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Net income (loss) attributable to common shareholders - Diluted</w:t>
            </w: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Denominator:</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Weighted average common shares - Basic</w:t>
            </w:r>
          </w:p>
        </w:tc>
        <w:tc>
          <w:tcPr>
            <w:tcW w:w="1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35,803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32,872</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Effective of diluted shares:</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60"/>
              <w:spacing w:after="0"/>
              <w:rPr>
                <w:sz w:val="20"/>
                <w:szCs w:val="20"/>
                <w:color w:val="auto"/>
              </w:rPr>
            </w:pPr>
            <w:r>
              <w:rPr>
                <w:rFonts w:ascii="Arial" w:cs="Arial" w:eastAsia="Arial" w:hAnsi="Arial"/>
                <w:sz w:val="18"/>
                <w:szCs w:val="18"/>
                <w:color w:val="auto"/>
              </w:rPr>
              <w:t>Share-based awards</w:t>
            </w:r>
          </w:p>
        </w:tc>
        <w:tc>
          <w:tcPr>
            <w:tcW w:w="1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Convertible Notes</w:t>
            </w:r>
          </w:p>
        </w:tc>
        <w:tc>
          <w:tcPr>
            <w:tcW w:w="1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r>
      <w:tr>
        <w:trPr>
          <w:trHeight w:val="29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12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36,087</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36,480</w:t>
            </w:r>
          </w:p>
        </w:tc>
      </w:tr>
      <w:tr>
        <w:trPr>
          <w:trHeight w:val="311"/>
        </w:trPr>
        <w:tc>
          <w:tcPr>
            <w:tcW w:w="7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30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attributable to common shareholders - Basic</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311"/>
        </w:trPr>
        <w:tc>
          <w:tcPr>
            <w:tcW w:w="7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7200" w:type="dxa"/>
            <w:vAlign w:val="bottom"/>
          </w:tcPr>
          <w:p>
            <w:pPr>
              <w:ind w:left="40"/>
              <w:spacing w:after="0"/>
              <w:rPr>
                <w:sz w:val="20"/>
                <w:szCs w:val="20"/>
                <w:color w:val="auto"/>
              </w:rPr>
            </w:pPr>
            <w:r>
              <w:rPr>
                <w:rFonts w:ascii="Arial" w:cs="Arial" w:eastAsia="Arial" w:hAnsi="Arial"/>
                <w:sz w:val="18"/>
                <w:szCs w:val="18"/>
                <w:color w:val="auto"/>
              </w:rPr>
              <w:t>Net income (loss) per share attributable to common shareholders - Diluted</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0"/>
        </w:trPr>
        <w:tc>
          <w:tcPr>
            <w:tcW w:w="7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quarter ended March 31, 2017, no tax benefits were assumed in the weighted average share calculation due to the Company's net operating loss position.</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Convertible Notes were repaid in full on March 17, 2017. Applying the if-converted method, 2,934,271 shares (the weighted average shares outstanding through March 17, 2017) were included in diluted weighted average shares for the three months ended March 31, 2017 because their effect was dilutive.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780" w:type="dxa"/>
            <w:vAlign w:val="bottom"/>
            <w:gridSpan w:val="10"/>
          </w:tcPr>
          <w:p>
            <w:pPr>
              <w:jc w:val="center"/>
              <w:ind w:right="830"/>
              <w:spacing w:after="0"/>
              <w:rPr>
                <w:sz w:val="20"/>
                <w:szCs w:val="20"/>
                <w:color w:val="auto"/>
              </w:rPr>
            </w:pPr>
            <w:r>
              <w:rPr>
                <w:rFonts w:ascii="Arial" w:cs="Arial" w:eastAsia="Arial" w:hAnsi="Arial"/>
                <w:sz w:val="18"/>
                <w:szCs w:val="18"/>
                <w:b w:val="1"/>
                <w:bCs w:val="1"/>
                <w:color w:val="auto"/>
              </w:rPr>
              <w:t>7.  GOODWILL, TRADE NAMES, AND OTHER INTANGIBLE ASSETS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gridSpan w:val="8"/>
          </w:tcPr>
          <w:p>
            <w:pPr>
              <w:spacing w:after="0"/>
              <w:rPr>
                <w:sz w:val="20"/>
                <w:szCs w:val="20"/>
                <w:color w:val="auto"/>
              </w:rPr>
            </w:pPr>
            <w:r>
              <w:rPr>
                <w:rFonts w:ascii="Arial" w:cs="Arial" w:eastAsia="Arial" w:hAnsi="Arial"/>
                <w:sz w:val="18"/>
                <w:szCs w:val="18"/>
                <w:color w:val="auto"/>
              </w:rPr>
              <w:t>The Company had the following acquired intangible 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 2018</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42,909</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19,461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23,448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42,909</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18,702</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55,524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26,734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25,912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7,716</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878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110,068</w:t>
            </w:r>
          </w:p>
        </w:tc>
        <w:tc>
          <w:tcPr>
            <w:tcW w:w="2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50,883</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59,185</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110,068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49,092</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60,976</w:t>
            </w:r>
          </w:p>
        </w:tc>
        <w:tc>
          <w:tcPr>
            <w:tcW w:w="2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0"/>
              </w:rPr>
              <w:t>Intangible assets not subject to</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85,887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w w:val="91"/>
              </w:rPr>
              <w:t>As of March 31, 2018, estimated annual amortization expense is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3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Years Ending December 31: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right"/>
              <w:ind w:right="190"/>
              <w:spacing w:after="0"/>
              <w:rPr>
                <w:sz w:val="20"/>
                <w:szCs w:val="20"/>
                <w:color w:val="auto"/>
              </w:rPr>
            </w:pPr>
            <w:r>
              <w:rPr>
                <w:rFonts w:ascii="Arial" w:cs="Arial" w:eastAsia="Arial" w:hAnsi="Arial"/>
                <w:sz w:val="16"/>
                <w:szCs w:val="16"/>
                <w:color w:val="auto"/>
              </w:rPr>
              <w:t>(amounts 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3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6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59,185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March 31, 2018, the Company performed a qualitative assessment of each of its reporting units and determined it was less-likely-than-not that the fair value of its reporting units dropped below their carrying value. As a result, management concluded that no impairment testing was warranted as of March 31, 2018. Although management believes that the Company's current estimates and assumptions are reasonable and supportable, there can be no assurance that the estimates and assumptions made for purposes of the impairment testing will prove to be accurate predictions of future performance. As of March 31, 2018 and December 31, 2017, goodwill by reporting segment was: $88.2 million for Nurse and Allied Staffing, $20.0 million for Physician Staffing, and $9.4 million for Other Human Capital Management Services, totaling $117.6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600"/>
              <w:spacing w:after="0"/>
              <w:rPr>
                <w:sz w:val="20"/>
                <w:szCs w:val="20"/>
                <w:color w:val="auto"/>
              </w:rPr>
            </w:pPr>
            <w:r>
              <w:rPr>
                <w:rFonts w:ascii="Arial" w:cs="Arial" w:eastAsia="Arial" w:hAnsi="Arial"/>
                <w:sz w:val="18"/>
                <w:szCs w:val="18"/>
                <w:b w:val="1"/>
                <w:bCs w:val="1"/>
                <w:color w:val="auto"/>
              </w:rPr>
              <w:t>March 31, 2018</w:t>
            </w:r>
          </w:p>
        </w:tc>
        <w:tc>
          <w:tcPr>
            <w:tcW w:w="320" w:type="dxa"/>
            <w:vAlign w:val="bottom"/>
          </w:tcPr>
          <w:p>
            <w:pPr>
              <w:spacing w:after="0"/>
              <w:rPr>
                <w:sz w:val="24"/>
                <w:szCs w:val="24"/>
                <w:color w:val="auto"/>
              </w:rPr>
            </w:pPr>
          </w:p>
        </w:tc>
        <w:tc>
          <w:tcPr>
            <w:tcW w:w="252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Debt Issuance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1"/>
              <w:spacing w:after="0"/>
              <w:rPr>
                <w:sz w:val="20"/>
                <w:szCs w:val="20"/>
                <w:color w:val="auto"/>
              </w:rPr>
            </w:pPr>
            <w:r>
              <w:rPr>
                <w:rFonts w:ascii="Arial" w:cs="Arial" w:eastAsia="Arial" w:hAnsi="Arial"/>
                <w:sz w:val="16"/>
                <w:szCs w:val="16"/>
                <w:b w:val="1"/>
                <w:bCs w:val="1"/>
                <w:color w:val="auto"/>
                <w:w w:val="90"/>
              </w:rPr>
              <w:t>Debt Issuance</w:t>
            </w: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Costs</w:t>
            </w:r>
          </w:p>
        </w:tc>
        <w:tc>
          <w:tcPr>
            <w:tcW w:w="3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6"/>
                <w:szCs w:val="16"/>
                <w:b w:val="1"/>
                <w:bCs w:val="1"/>
                <w:color w:val="auto"/>
              </w:rPr>
              <w:t>Costs</w:t>
            </w: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Term Loan, interest 3.91% and 3.61% at March 31, 2018 and December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2017, respectively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93,125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93,125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0"/>
        </w:trPr>
        <w:tc>
          <w:tcPr>
            <w:tcW w:w="55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9"/>
        </w:trPr>
        <w:tc>
          <w:tcPr>
            <w:tcW w:w="7000" w:type="dxa"/>
            <w:vAlign w:val="bottom"/>
            <w:gridSpan w:val="4"/>
          </w:tcPr>
          <w:p>
            <w:pPr>
              <w:spacing w:after="0"/>
              <w:rPr>
                <w:sz w:val="20"/>
                <w:szCs w:val="20"/>
                <w:color w:val="auto"/>
              </w:rPr>
            </w:pPr>
            <w:r>
              <w:rPr>
                <w:rFonts w:ascii="Arial" w:cs="Arial" w:eastAsia="Arial" w:hAnsi="Arial"/>
                <w:sz w:val="18"/>
                <w:szCs w:val="18"/>
                <w:color w:val="auto"/>
                <w:w w:val="97"/>
              </w:rPr>
              <w:t>As of March 31, 2018, the aggregate scheduled maturities of the term loan are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731"/>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217"/>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411"/>
              <w:spacing w:after="0"/>
              <w:rPr>
                <w:sz w:val="20"/>
                <w:szCs w:val="20"/>
                <w:color w:val="auto"/>
              </w:rPr>
            </w:pPr>
            <w:r>
              <w:rPr>
                <w:rFonts w:ascii="Arial" w:cs="Arial" w:eastAsia="Arial" w:hAnsi="Arial"/>
                <w:sz w:val="16"/>
                <w:szCs w:val="16"/>
                <w:color w:val="auto"/>
              </w:rPr>
              <w:t>(amounts in thousands)</w:t>
            </w: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5,625</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8,125</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67,500</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98,750</w:t>
            </w: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Facility</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an Amended and Restated Credit Agreement entered into August 1, 2017 (Amended and Restated Credit Agreement) with a maturity date of July 31, 2022, including a term loan of $100.0 million (Amended Term Loan) and a $115.0 million revolving credit facility (Amended Revolving Credit Facility) (together with the Amended Term Loan, the Amended Credit Facilities). The Amended Revolving Credit Facility includes a subfacility for swingline loans up to an amount not to exceed $15.0 million, and a $35.0 million sublimit for the issuance of standby letters of credit.</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Amended and Restated Credit Agreement includes an accordion feature permitting the Company, subject to certain conditions, to increase the aggregate amount of the commitments under the Amended Revolving Credit Facility or establish one or more additional term loans in an aggregate amount not to exceed $50.0 million with optional additional commitments from existing lenders or new commitments from additional lenders.</w:t>
      </w:r>
    </w:p>
    <w:p>
      <w:pPr>
        <w:spacing w:after="0" w:line="16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Borrowings under the Amended Term Loan are payable in quarterly installments, which commenced January 2, 2018, in an aggregate per annum amount equal to 5% for the first four installments, 7.5% for the next eight installments, and 10% for the remaining installments; provided that, to the extent not previously paid, the aggregate unpaid principal balance would be due and payable on the maturity date.</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Subject to the Amended and Restated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38"/>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400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Eurodollar Loans, LIBOR</w:t>
            </w:r>
          </w:p>
        </w:tc>
        <w:tc>
          <w:tcPr>
            <w:tcW w:w="216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Index Rate Loans and</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Consolidated Net Leverage Ratio</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Letter of Credit Fee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Rate Loans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69"/>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4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Less than 1.50:1.00</w:t>
            </w:r>
          </w:p>
        </w:tc>
        <w:tc>
          <w:tcPr>
            <w:tcW w:w="2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22"/>
        </w:trPr>
        <w:tc>
          <w:tcPr>
            <w:tcW w:w="940" w:type="dxa"/>
            <w:vAlign w:val="bottom"/>
            <w:tcBorders>
              <w:top w:val="single" w:sz="8" w:color="auto"/>
              <w:left w:val="single" w:sz="8" w:color="auto"/>
              <w:right w:val="single" w:sz="8" w:color="auto"/>
            </w:tcBorders>
          </w:tcPr>
          <w:p>
            <w:pPr>
              <w:spacing w:after="0"/>
              <w:rPr>
                <w:sz w:val="19"/>
                <w:szCs w:val="19"/>
                <w:color w:val="auto"/>
              </w:rPr>
            </w:pP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1.50:1.00</w:t>
            </w:r>
          </w:p>
        </w:tc>
        <w:tc>
          <w:tcPr>
            <w:tcW w:w="218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2.00:1.00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shd w:val="clear" w:color="auto" w:fill="CCEEFF"/>
          </w:tcPr>
          <w:p>
            <w:pPr>
              <w:spacing w:after="0"/>
              <w:rPr>
                <w:sz w:val="19"/>
                <w:szCs w:val="19"/>
                <w:color w:val="auto"/>
              </w:rPr>
            </w:pPr>
          </w:p>
        </w:tc>
        <w:tc>
          <w:tcPr>
            <w:tcW w:w="4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Greater than or equal to 2.00:1.00</w:t>
            </w:r>
          </w:p>
        </w:tc>
        <w:tc>
          <w:tcPr>
            <w:tcW w:w="2180" w:type="dxa"/>
            <w:vAlign w:val="bottom"/>
            <w:tcBorders>
              <w:right w:val="single" w:sz="8" w:color="auto"/>
            </w:tcBorders>
            <w:shd w:val="clear" w:color="auto" w:fill="CCEEFF"/>
          </w:tcPr>
          <w:p>
            <w:pPr>
              <w:spacing w:after="0"/>
              <w:rPr>
                <w:sz w:val="19"/>
                <w:szCs w:val="19"/>
                <w:color w:val="auto"/>
              </w:rPr>
            </w:pPr>
          </w:p>
        </w:tc>
        <w:tc>
          <w:tcPr>
            <w:tcW w:w="2160" w:type="dxa"/>
            <w:vAlign w:val="bottom"/>
            <w:tcBorders>
              <w:right w:val="single" w:sz="8" w:color="auto"/>
            </w:tcBorders>
            <w:shd w:val="clear" w:color="auto" w:fill="CCEEFF"/>
          </w:tcPr>
          <w:p>
            <w:pPr>
              <w:spacing w:after="0"/>
              <w:rPr>
                <w:sz w:val="19"/>
                <w:szCs w:val="19"/>
                <w:color w:val="auto"/>
              </w:rPr>
            </w:pPr>
          </w:p>
        </w:tc>
        <w:tc>
          <w:tcPr>
            <w:tcW w:w="2160" w:type="dxa"/>
            <w:vAlign w:val="bottom"/>
            <w:tcBorders>
              <w:right w:val="single" w:sz="8" w:color="auto"/>
            </w:tcBorders>
            <w:shd w:val="clear" w:color="auto" w:fill="CCEEFF"/>
          </w:tcPr>
          <w:p>
            <w:pPr>
              <w:spacing w:after="0"/>
              <w:rPr>
                <w:sz w:val="19"/>
                <w:szCs w:val="19"/>
                <w:color w:val="auto"/>
              </w:rPr>
            </w:pPr>
          </w:p>
        </w:tc>
      </w:tr>
      <w:tr>
        <w:trPr>
          <w:trHeight w:val="262"/>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4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but less than 2.50:1.00</w:t>
            </w:r>
          </w:p>
        </w:tc>
        <w:tc>
          <w:tcPr>
            <w:tcW w:w="2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2.25%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0.30%</w:t>
            </w:r>
          </w:p>
        </w:tc>
      </w:tr>
      <w:tr>
        <w:trPr>
          <w:trHeight w:val="222"/>
        </w:trPr>
        <w:tc>
          <w:tcPr>
            <w:tcW w:w="940" w:type="dxa"/>
            <w:vAlign w:val="bottom"/>
            <w:tcBorders>
              <w:top w:val="single" w:sz="8" w:color="auto"/>
              <w:left w:val="single" w:sz="8" w:color="auto"/>
              <w:right w:val="single" w:sz="8" w:color="auto"/>
            </w:tcBorders>
          </w:tcPr>
          <w:p>
            <w:pPr>
              <w:spacing w:after="0"/>
              <w:rPr>
                <w:sz w:val="19"/>
                <w:szCs w:val="19"/>
                <w:color w:val="auto"/>
              </w:rPr>
            </w:pP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2.50:1.00</w:t>
            </w:r>
          </w:p>
        </w:tc>
        <w:tc>
          <w:tcPr>
            <w:tcW w:w="218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44"/>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V</w:t>
            </w:r>
          </w:p>
        </w:tc>
        <w:tc>
          <w:tcPr>
            <w:tcW w:w="4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Greater than or equal to 3.00:1.00</w:t>
            </w:r>
          </w:p>
        </w:tc>
        <w:tc>
          <w:tcPr>
            <w:tcW w:w="2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0.40%</w:t>
            </w:r>
          </w:p>
        </w:tc>
      </w:tr>
      <w:tr>
        <w:trPr>
          <w:trHeight w:val="20"/>
        </w:trPr>
        <w:tc>
          <w:tcPr>
            <w:tcW w:w="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0" w:type="dxa"/>
            <w:vAlign w:val="bottom"/>
            <w:tcBorders>
              <w:right w:val="single" w:sz="8" w:color="auto"/>
            </w:tcBorders>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As of March 31, 2018, the Amended Term Loan and Amended Revolving Credit Facility bore interest at a rate equal to One Month LIBOR plus 2.25%. The interest rate is subject to an increase of 2.00% if an event of default exists under the Amended and Restated Credit Agreement. The Company is required to pay a commitment fee on the average daily unused portion of the Amended Revolving Credit Facility, based on the Applicable Margin which is 0.30% as of March 31, 2018. During the three months ended March 31, 2018, the Company entered into an interest rate swap to reduce its exposure to fluctuations in the interest rates associated with its debt. See Note 9 - Derivative.</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is ultimately unable to secure such financing arrangement. The Company is required to prepay the Amended Credit Facilities under certain circumstances including from net cash proceeds from asset sales or dispositions in excess of certain thresholds, as well as from net cash proceeds from the issuance of certain debt by the Company.</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Amended and Restated Credit Agreement contains customary representations, warranties, and affirmative covenants. The Amended and Restated Credit Agreement also contains customary negative covenants, subject to some exceptions, on (i) indebtedness and preferred equity, (ii) liens, (iii) fundamental changes, (iv) investments, (v) restricted payments, and (vi) sale of assets and certain other restrictive agreements. The Amended and Restated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9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Amended and Restated Credit Agreement also includes two financial covenants: (i) limiting a maximum Consolidated Total Leverage ratio (as defined therein) to be no greater than 3.50:1.00 for the fiscal quarters ending through June 30, 2018, 3.25:1.00 for the fiscal quarters ending September 30, 2018 through June 30, 2019, and 3.00:1.00 for each fiscal quarter ending thereafter and as adjusted pursuant to a Qualified Permitted Acquisition (as defined therein); and (ii) requiring a minimum Consolidated Fixed Charge Coverage ratio (as defined therein) as of the end of each fiscal quarter of 1.50:1.00. As of March 31, 2018, the Company was in compliance with the financial covenants and other covenants contained in the Amended and Restated Credit Agreement.</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obligations under the Amended and Restated Credit Agreement are guaranteed by all of the Company’s domestic wholly-owned subsidiaries and are secured by a first-priority security interest in the Collateral (as defined therein).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the Company had $21.6 million letters of credit outstanding and $93.4 million available under the Amended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letters of credit relate to the Company’s workers’ compensation and professional liability insurance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and certain of its domestic subsidiaries had a Convertible Note Purchase Agreement (the Note Purchase Agreement), with certain note holders (collectively, the Noteholders) for an aggregate of $25.0 million of Convertible Notes. Subject to certain exceptions, the Company was not permitted to redeem the Convertible Notes until June 30, 2017. On March 17, 2017, the Company paid in full the Convertible Notes. In connection with the repayment, the Company issued to the Noteholders an aggregate of 3,175,584 shares of Common Stock, par value $0.0001, and cash in the aggregate amount of $5.6 million (of which $5.0 million is included in repayment of debt and $0.6 million is presented as extinguishment fees, both</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498" w:right="219" w:bottom="1440" w:gutter="0" w:footer="0" w:header="0"/>
        </w:sectPr>
      </w:pPr>
    </w:p>
    <w:bookmarkStart w:id="16" w:name="page17"/>
    <w:bookmarkEnd w:id="16"/>
    <w:p>
      <w:pPr>
        <w:ind w:right="40"/>
        <w:spacing w:after="0" w:line="297" w:lineRule="auto"/>
        <w:rPr>
          <w:sz w:val="20"/>
          <w:szCs w:val="20"/>
          <w:color w:val="auto"/>
        </w:rPr>
      </w:pPr>
      <w:r>
        <w:rPr>
          <w:rFonts w:ascii="Arial" w:cs="Arial" w:eastAsia="Arial" w:hAnsi="Arial"/>
          <w:sz w:val="16"/>
          <w:szCs w:val="16"/>
          <w:color w:val="auto"/>
        </w:rPr>
        <w:t>within financing activities on the condensed consolidated statements of cash flows). Upon derecognition of the net carrying amounts of the Convertible Notes (the remaining $20.0 million after the $5.0 million cash payment) and derivative liability ($26.0 million), the Company recognized a non-cash charge of $5.0 million as loss on early extinguishment and a non-cash addition to additional paid-in capital of $46.0 million for the fair value of the shares, which is not presented on the condensed consolidated statements of cash flows. The loss on early extinguishment of debt in the three months ended March 31, 2017 includes the write-off of unamortized loan fees and remaining interest due through the Forced Conversion date (defined below) of June 30, 2017.</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Convertible Notes were convertible at the option of the holders thereof at any time into shares of the Common Stock at a conversion price of $7.10 per share, or 3,521,126 shares of Common Stock. After three years from the issuance date, the Company had the right to force a conversion of the Convertible Notes if the volume-weighted average price (VWAP) per share of its Common Stock exceeded 125% of the then conversion price for 20 days of a 30 day trading period (Forced Conversion date).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Convertible Notes bore interest at a rate of 8.00% per annum, payable in quarterly cash installments. The Convertible Notes would have matured on June 30, 2020, unless earlier repurchased, redeemed or converted.</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DERIVATIVE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March 2018, the Company entered into an interest rate swap, with an effective date of April 2, 2018 and termination date of August 1, 2022. No initial investments were made to enter into the agreement. The interest rate swap agreement requires the Company to pay a fixed rate to the respective counterparty of 2.627% per annum on an amortizing notional amount beginning at $48.8 million (corresponding with its term loan payment schedule), and to receive from the respective counterparty, interest payments based on the applicable notional amounts and 1 month USD LIBOR, with no exchanges of notional amounts. The interest rate swap effectively fixes the interest rate on 50% of the amortizing balance of the Company’s term debt, exclusive of the credit spread on the debt.</w:t>
      </w:r>
    </w:p>
    <w:p>
      <w:pPr>
        <w:spacing w:after="0" w:line="10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financial assets/liabilities required to be measured on a recurring basis were its: deferred compensation liability included in other long-term liabilities, interest rate swap agreements included in other current liabilities, and contingent consideration liabilities.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liabilities. The Company’s deferred compensation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measured using publicly available indices that define the liability amounts, as per the plan documents.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 agreement</w:t>
      </w:r>
      <w:r>
        <w:rPr>
          <w:rFonts w:ascii="Arial" w:cs="Arial" w:eastAsia="Arial" w:hAnsi="Arial"/>
          <w:sz w:val="16"/>
          <w:szCs w:val="16"/>
          <w:color w:val="auto"/>
        </w:rPr>
        <w:t>—The Company utilized Level 2 inputs to value its interest rate swap agreement. See Note 8 - Debt and Note 9 - Derivative.</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Contingent consideration liabilities</w:t>
      </w:r>
      <w:r>
        <w:rPr>
          <w:rFonts w:ascii="Arial" w:cs="Arial" w:eastAsia="Arial" w:hAnsi="Arial"/>
          <w:sz w:val="18"/>
          <w:szCs w:val="18"/>
          <w:color w:val="auto"/>
        </w:rPr>
        <w:t>—Potential earnout payments related to the acquisition of Mediscan and USR are contingent upon meeting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requirements through 2019. The long-term portion of these liabilities is included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spacing w:after="0" w:line="272" w:lineRule="auto"/>
        <w:rPr>
          <w:sz w:val="20"/>
          <w:szCs w:val="20"/>
          <w:color w:val="auto"/>
        </w:rPr>
      </w:pPr>
      <w:r>
        <w:rPr>
          <w:rFonts w:ascii="Arial" w:cs="Arial" w:eastAsia="Arial" w:hAnsi="Arial"/>
          <w:sz w:val="17"/>
          <w:szCs w:val="17"/>
          <w:color w:val="auto"/>
        </w:rPr>
        <w:t>in contingent consideration,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The Mediscan contingent consideration liability has been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The USR contingent consideration is recorded as a liability and measured at fair value using a discounted cash flow model utilizing significant unobservable inputs, including the probability of achieving each of the potential milestones and an estimated discount rate commensurate with the risks of the expected cash flows attributable to the milestones. See Note 4 - Acquisitions.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condensed consolidated statements of operations. Significant increases (decreases) in the volatility or in any of the probabilities of success, or decreases (increases) in the discount rate would result in a significantly higher (lower) fair value, respectively, and commensurate changes to these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Fair Value Measurements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4"/>
                <w:szCs w:val="24"/>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shd w:val="clear" w:color="auto" w:fill="CCEEFF"/>
              </w:rPr>
              <w:t>Financial Liabilities:</w:t>
            </w:r>
          </w:p>
        </w:tc>
        <w:tc>
          <w:tcPr>
            <w:tcW w:w="214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gridSpan w:val="4"/>
            <w:shd w:val="clear" w:color="auto" w:fill="CCEEFF"/>
          </w:tcPr>
          <w:p>
            <w:pPr>
              <w:ind w:left="1300"/>
              <w:spacing w:after="0"/>
              <w:rPr>
                <w:sz w:val="20"/>
                <w:szCs w:val="20"/>
                <w:color w:val="auto"/>
              </w:rPr>
            </w:pPr>
            <w:r>
              <w:rPr>
                <w:rFonts w:ascii="Arial" w:cs="Arial" w:eastAsia="Arial" w:hAnsi="Arial"/>
                <w:sz w:val="16"/>
                <w:szCs w:val="16"/>
                <w:color w:val="auto"/>
                <w:w w:val="89"/>
                <w:shd w:val="clear" w:color="auto" w:fill="CCEEFF"/>
              </w:rPr>
              <w:t>(amounts in thousands)</w:t>
            </w: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1)</w:t>
            </w:r>
          </w:p>
        </w:tc>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Deferred compensation</w:t>
            </w:r>
          </w:p>
        </w:tc>
        <w:tc>
          <w:tcPr>
            <w:tcW w:w="3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(Level 2)</w:t>
            </w:r>
          </w:p>
        </w:tc>
        <w:tc>
          <w:tcPr>
            <w:tcW w:w="2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60" w:type="dxa"/>
            <w:vAlign w:val="bottom"/>
            <w:gridSpan w:val="3"/>
            <w:vMerge w:val="continue"/>
          </w:tcPr>
          <w:p>
            <w:pPr>
              <w:spacing w:after="0"/>
              <w:rPr>
                <w:sz w:val="18"/>
                <w:szCs w:val="18"/>
                <w:color w:val="auto"/>
              </w:rPr>
            </w:pP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86"/>
                <w:shd w:val="clear" w:color="auto" w:fill="CCEEFF"/>
              </w:rPr>
              <w:t>Interest rate swaps</w:t>
            </w:r>
          </w:p>
        </w:tc>
        <w:tc>
          <w:tcPr>
            <w:tcW w:w="2140" w:type="dxa"/>
            <w:vAlign w:val="bottom"/>
            <w:tcBorders>
              <w:bottom w:val="single" w:sz="8" w:color="CCEEFF"/>
            </w:tcBorders>
            <w:shd w:val="clear" w:color="auto" w:fill="CCEEFF"/>
          </w:tcPr>
          <w:p>
            <w:pPr>
              <w:spacing w:after="0"/>
              <w:rPr>
                <w:sz w:val="23"/>
                <w:szCs w:val="23"/>
                <w:color w:val="auto"/>
              </w:rPr>
            </w:pPr>
          </w:p>
        </w:tc>
        <w:tc>
          <w:tcPr>
            <w:tcW w:w="3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(Level 3)</w:t>
            </w:r>
          </w:p>
        </w:tc>
        <w:tc>
          <w:tcPr>
            <w:tcW w:w="2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60" w:type="dxa"/>
            <w:vAlign w:val="bottom"/>
            <w:gridSpan w:val="3"/>
            <w:vMerge w:val="continue"/>
          </w:tcPr>
          <w:p>
            <w:pPr>
              <w:spacing w:after="0"/>
              <w:rPr>
                <w:sz w:val="18"/>
                <w:szCs w:val="18"/>
                <w:color w:val="auto"/>
              </w:rPr>
            </w:pP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Contingent consideration liabilities</w:t>
            </w:r>
          </w:p>
        </w:tc>
        <w:tc>
          <w:tcPr>
            <w:tcW w:w="3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5,480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Mediscan acquisition on October 30, 2015 and the USR acquisition on December 1, 2016 included contingent consideration liabilities. Valuation adjustments and accretion expense is included as acquisition-related contingent consideration on the condensed consolidated statements of operations. See Note 4 - Acquisitions. The opening balances reconciled to the closing balances for fair value measurements of these liabilities categorized within Level 3 of the fair value hierarchy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271"/>
              <w:spacing w:after="0"/>
              <w:rPr>
                <w:sz w:val="20"/>
                <w:szCs w:val="20"/>
                <w:color w:val="auto"/>
              </w:rPr>
            </w:pPr>
            <w:r>
              <w:rPr>
                <w:rFonts w:ascii="Arial" w:cs="Arial" w:eastAsia="Arial" w:hAnsi="Arial"/>
                <w:sz w:val="18"/>
                <w:szCs w:val="18"/>
                <w:b w:val="1"/>
                <w:bCs w:val="1"/>
                <w:color w:val="auto"/>
                <w:w w:val="90"/>
              </w:rPr>
              <w:t>Contingent Consideration</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40" w:type="dxa"/>
            <w:vAlign w:val="bottom"/>
          </w:tcPr>
          <w:p>
            <w:pPr>
              <w:jc w:val="center"/>
              <w:ind w:right="251"/>
              <w:spacing w:after="0"/>
              <w:rPr>
                <w:sz w:val="20"/>
                <w:szCs w:val="20"/>
                <w:color w:val="auto"/>
              </w:rPr>
            </w:pPr>
            <w:r>
              <w:rPr>
                <w:rFonts w:ascii="Arial" w:cs="Arial" w:eastAsia="Arial" w:hAnsi="Arial"/>
                <w:sz w:val="18"/>
                <w:szCs w:val="18"/>
                <w:b w:val="1"/>
                <w:bCs w:val="1"/>
                <w:color w:val="auto"/>
                <w:w w:val="93"/>
              </w:rPr>
              <w:t>Liabilities</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ind w:right="251"/>
              <w:spacing w:after="0"/>
              <w:rPr>
                <w:sz w:val="20"/>
                <w:szCs w:val="20"/>
                <w:color w:val="auto"/>
              </w:rPr>
            </w:pPr>
            <w:r>
              <w:rPr>
                <w:rFonts w:ascii="Arial" w:cs="Arial" w:eastAsia="Arial" w:hAnsi="Arial"/>
                <w:sz w:val="16"/>
                <w:szCs w:val="16"/>
                <w:color w:val="auto"/>
                <w:w w:val="89"/>
              </w:rPr>
              <w:t>(amounts in thousands)</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December 31, 2017</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Payments/Settlements</w:t>
            </w:r>
          </w:p>
        </w:tc>
        <w:tc>
          <w:tcPr>
            <w:tcW w:w="34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Accretion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March 31, 2018</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5,480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During an evaluation of goodwill, trade names, and other intangible assets during the fourth quarter of 2017, the carrying value of goodwill and trade names in the Physician Staffing reporting unit exceeded their fair values. As a result, the Company recorded impairment charges that incorporates fair value measurements based on Level 3 inputs. For the three months ended March 31, 2018, no impairment charges were recognized.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 2018</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December 31, 2017</w:t>
            </w:r>
          </w:p>
        </w:tc>
        <w:tc>
          <w:tcPr>
            <w:tcW w:w="10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9"/>
                <w:szCs w:val="19"/>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Carrying</w:t>
            </w:r>
          </w:p>
        </w:tc>
        <w:tc>
          <w:tcPr>
            <w:tcW w:w="640" w:type="dxa"/>
            <w:vAlign w:val="bottom"/>
          </w:tcPr>
          <w:p>
            <w:pPr>
              <w:spacing w:after="0"/>
              <w:rPr>
                <w:sz w:val="19"/>
                <w:szCs w:val="19"/>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color w:val="auto"/>
                <w:w w:val="96"/>
              </w:rPr>
              <w:t>Fair</w:t>
            </w:r>
          </w:p>
        </w:tc>
      </w:tr>
      <w:tr>
        <w:trPr>
          <w:trHeight w:val="230"/>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Amount</w:t>
            </w:r>
          </w:p>
        </w:tc>
        <w:tc>
          <w:tcPr>
            <w:tcW w:w="580" w:type="dxa"/>
            <w:vAlign w:val="bottom"/>
          </w:tcPr>
          <w:p>
            <w:pPr>
              <w:spacing w:after="0"/>
              <w:rPr>
                <w:sz w:val="20"/>
                <w:szCs w:val="20"/>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Value</w:t>
            </w:r>
          </w:p>
        </w:tc>
        <w:tc>
          <w:tcPr>
            <w:tcW w:w="320" w:type="dxa"/>
            <w:vAlign w:val="bottom"/>
          </w:tcPr>
          <w:p>
            <w:pPr>
              <w:spacing w:after="0"/>
              <w:rPr>
                <w:sz w:val="20"/>
                <w:szCs w:val="20"/>
                <w:color w:val="auto"/>
              </w:rPr>
            </w:pPr>
          </w:p>
        </w:tc>
        <w:tc>
          <w:tcPr>
            <w:tcW w:w="160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Amount</w:t>
            </w:r>
          </w:p>
        </w:tc>
        <w:tc>
          <w:tcPr>
            <w:tcW w:w="640" w:type="dxa"/>
            <w:vAlign w:val="bottom"/>
          </w:tcPr>
          <w:p>
            <w:pPr>
              <w:spacing w:after="0"/>
              <w:rPr>
                <w:sz w:val="20"/>
                <w:szCs w:val="20"/>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color w:val="auto"/>
                <w:w w:val="91"/>
              </w:rPr>
              <w:t>Value</w:t>
            </w: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shd w:val="clear" w:color="auto" w:fill="CCEEFF"/>
              </w:rPr>
              <w:t>Financial Liabilities:</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4"/>
            <w:shd w:val="clear" w:color="auto" w:fill="CCEEFF"/>
          </w:tcPr>
          <w:p>
            <w:pPr>
              <w:ind w:left="500"/>
              <w:spacing w:after="0"/>
              <w:rPr>
                <w:sz w:val="20"/>
                <w:szCs w:val="20"/>
                <w:color w:val="auto"/>
              </w:rPr>
            </w:pPr>
            <w:r>
              <w:rPr>
                <w:rFonts w:ascii="Arial" w:cs="Arial" w:eastAsia="Arial" w:hAnsi="Arial"/>
                <w:sz w:val="16"/>
                <w:szCs w:val="16"/>
                <w:color w:val="auto"/>
                <w:w w:val="88"/>
                <w:shd w:val="clear" w:color="auto" w:fill="CCEEFF"/>
              </w:rPr>
              <w:t>(amounts in thousands)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Term Loan, net</w:t>
            </w:r>
          </w:p>
        </w:tc>
        <w:tc>
          <w:tcPr>
            <w:tcW w:w="2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97,939</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99,000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99,134</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has invested its excess cash in highly-rated overnight funds and other highly-rated liquid accounts. The Company is exposed to credit risk associated with these investments, as the cash balances typically exceed the current Federal Deposit Insurance Corporation (FDIC) limit of $250,000.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7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440" w:firstLine="8"/>
        <w:spacing w:after="0" w:line="503" w:lineRule="auto"/>
        <w:tabs>
          <w:tab w:leader="none" w:pos="64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2018, the Company repurchased and retired 242,400 shares of its Common Stock for $2.9 million, at an average market price of</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$11.88 per share, under an authorized share repurchase program. During the three months ended March 31, 2017, the Company did not repurchase any shares of its Common Stock.</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March 31, 2018, the Company may repurchase an additional 700,043 remaining shares of Common Stock under the current authorized share repurchase program, subject to certain conditions in the Company's Amended and Restated Credit Agreement. The Company may repurchase up to an aggregate amount not to exceed $5.0 million in any fiscal year, or an unlimited amount if the Company meets certain conditions as described in its Amended and Restated Credit Agreement. At March 31, 2018, the Company had 35,705,789 shares of Common Stock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March 17, 2017, the Company paid in full its Convertible Notes. In connection with the repayment, the Company issued 3,175,584 shares to the noteholders. See Note 8 -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Restricted stock awards granted under the Company’s 2014 Omnibus Incentive Plan, Amended and Restated effective May 23, 2017 (2017 Plan),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2017 Plan, the number of target shares that are issued for performance-based stock awards are determined based on the level of attainment of the targets.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awards and performance stock awards activity issued under the 2017 Plan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5"/>
          </w:tcPr>
          <w:p>
            <w:pPr>
              <w:ind w:left="620"/>
              <w:spacing w:after="0"/>
              <w:rPr>
                <w:sz w:val="20"/>
                <w:szCs w:val="20"/>
                <w:color w:val="auto"/>
              </w:rPr>
            </w:pPr>
            <w:r>
              <w:rPr>
                <w:rFonts w:ascii="Arial" w:cs="Arial" w:eastAsia="Arial" w:hAnsi="Arial"/>
                <w:sz w:val="18"/>
                <w:szCs w:val="18"/>
                <w:b w:val="1"/>
                <w:bCs w:val="1"/>
                <w:color w:val="auto"/>
              </w:rPr>
              <w:t>Restricted Stock Awards</w:t>
            </w:r>
          </w:p>
        </w:tc>
        <w:tc>
          <w:tcPr>
            <w:tcW w:w="30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4"/>
              </w:rPr>
              <w:t>Number of Target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515,601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257,575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308,476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238,328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11.11</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(157,598)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(36,525)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(26,956)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13.55</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March 31,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629,954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468,947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March 31, 2018, $0.5 million was included in selling, general and administrative expenses related to share-based payments, and a net of 101,834 shares of Common Stock were issued upon the vesting of restricted stock.</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March 31, 2017, $0.7 million was included in selling, general and administrative expenses related to share-based payments, and a net of 74,878 shares of Common Stock were issued upon the vesting of restricted stock.</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2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workforce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Unites States. Substantially all of the results of the Advantage acquisition have been aggregated with the Company's Nurse and Allied Staffing business segment. See Note 4 - Acquisitions.</w:t>
      </w:r>
    </w:p>
    <w:p>
      <w:pPr>
        <w:spacing w:after="0" w:line="193" w:lineRule="exact"/>
        <w:rPr>
          <w:rFonts w:ascii="Arial" w:cs="Arial" w:eastAsia="Arial" w:hAnsi="Arial"/>
          <w:sz w:val="18"/>
          <w:szCs w:val="18"/>
          <w:color w:val="auto"/>
        </w:rPr>
      </w:pPr>
    </w:p>
    <w:p>
      <w:pPr>
        <w:ind w:left="660" w:right="8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46"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includes retained and contingent search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healthcare executives, and other healthcare professionals within the United States.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evaluates performance of each segment primarily based on revenue and contribution income. The Company defines contribution income as income or loss from operations before depreciation and amortization,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20" w:name="page21"/>
    <w:bookmarkEnd w:id="20"/>
    <w:p>
      <w:pPr>
        <w:ind w:right="480"/>
        <w:spacing w:after="0" w:line="255" w:lineRule="auto"/>
        <w:rPr>
          <w:sz w:val="20"/>
          <w:szCs w:val="20"/>
          <w:color w:val="auto"/>
        </w:rPr>
      </w:pPr>
      <w:r>
        <w:rPr>
          <w:rFonts w:ascii="Arial" w:cs="Arial" w:eastAsia="Arial" w:hAnsi="Arial"/>
          <w:sz w:val="18"/>
          <w:szCs w:val="18"/>
          <w:color w:val="auto"/>
        </w:rPr>
        <w:t xml:space="preserve">related contingent consideration, acquisition and integration costs, restructuring costs,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8"/>
          <w:szCs w:val="18"/>
          <w:i w:val="1"/>
          <w:iCs w:val="1"/>
          <w:color w:val="auto"/>
        </w:rPr>
        <w:t xml:space="preserve">Segment Reporting </w:t>
      </w:r>
      <w:r>
        <w:rPr>
          <w:rFonts w:ascii="Arial" w:cs="Arial" w:eastAsia="Arial" w:hAnsi="Arial"/>
          <w:sz w:val="18"/>
          <w:szCs w:val="18"/>
          <w:color w:val="auto"/>
        </w:rPr>
        <w:t>Topic of the FASB ASC. The Company’s management does not evaluate, manage, or measure performance of segments using asset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7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100" w:type="dxa"/>
            <w:vAlign w:val="bottom"/>
          </w:tcPr>
          <w:p>
            <w:pPr>
              <w:spacing w:after="0"/>
              <w:rPr>
                <w:sz w:val="23"/>
                <w:szCs w:val="23"/>
                <w:color w:val="auto"/>
              </w:rPr>
            </w:pPr>
          </w:p>
        </w:tc>
      </w:tr>
      <w:tr>
        <w:trPr>
          <w:trHeight w:val="27"/>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gridSpan w:val="3"/>
          </w:tcPr>
          <w:p>
            <w:pPr>
              <w:jc w:val="center"/>
              <w:ind w:left="630"/>
              <w:spacing w:after="0"/>
              <w:rPr>
                <w:sz w:val="20"/>
                <w:szCs w:val="20"/>
                <w:color w:val="auto"/>
              </w:rPr>
            </w:pPr>
            <w:r>
              <w:rPr>
                <w:rFonts w:ascii="Arial" w:cs="Arial" w:eastAsia="Arial" w:hAnsi="Arial"/>
                <w:sz w:val="16"/>
                <w:szCs w:val="16"/>
                <w:color w:val="auto"/>
                <w:w w:val="90"/>
              </w:rPr>
              <w:t>(amounts in thousands)</w:t>
            </w:r>
          </w:p>
        </w:tc>
        <w:tc>
          <w:tcPr>
            <w:tcW w:w="11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185,105</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183,108</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3,001</w:t>
            </w: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210,288</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207,573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16,760</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15,622</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16,002</w:t>
            </w:r>
          </w:p>
        </w:tc>
      </w:tr>
      <w:tr>
        <w:trPr>
          <w:trHeight w:val="297"/>
        </w:trPr>
        <w:tc>
          <w:tcPr>
            <w:tcW w:w="7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10,286</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2,909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2,191</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3,255</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560" w:firstLine="8"/>
        <w:spacing w:after="0" w:line="503" w:lineRule="auto"/>
        <w:tabs>
          <w:tab w:leader="none" w:pos="40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Contingencies: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Non-income tax expense is included in selling, general and administrative expenses on its condensed consolidated statements of operations and the liability is reflected in sales tax payable within other current liabilities as of March 31, 2018 and December 31, 2017, on its condensed consolidated balance sheets.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For the three month period ended March 31, 2018, the Company calculated its effective tax rate estimating its annual effective tax rate as opposed to the quarter ended March 31, 2017, whereby the Company calculated its effective tax rate based on year-to-date results in accordance with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FASB ASC. The Company’s effective tax rate for the three months ended March 31, 2018 and 2017 was 37.7% and negative 27.1%, respectively, including the impact of discrete items. Excluding discrete items, the Company’s effective tax rate for the three months ended March 31, 2018 and 2017 was 35.3% and negative 53.8%, respectively. The effective tax rate for the first quarter of 2018 was primarily impacted by the non-deductibility of certain per diem expenses, the officers' compensation limitation, and state taxes. The effective tax rate for the first quarter of 2017 was primarily impacted by the amortization of indefinite-lived intangible assets for tax purposes and international and state taxes.</w:t>
      </w:r>
    </w:p>
    <w:p>
      <w:pPr>
        <w:spacing w:after="0" w:line="17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fourth quarter of 2017, the Company concluded that it was more likely than not that a benefit from a substantial portion of its United States federal and state deferred tax assets would be realized and released the majority of its valuation allowance. The Company will continue to assess the realizability of its deferred tax assets and, as of March 31, 2018, has maintained a $1.1 million valuation allowance against certain state net operating losses.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Securities and Exchange Commission (SEC) staff issued Staff Accounting Bulletin (SAB) No. 118 (SAB 118), which provides guidance on accounting for the tax effects of the 2017 Tax Act. SAB 118 provides a measurement period that should not extend beyond one year from the enactment date for companies to complete the accounting required under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In accordance with SAB 118, a company must reflect the income tax effects of those aspects of the 2017 Tax Act for which the accounting under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is complete. To the extent that a company's accounting for certain income tax effects is incomplete but it is able to determine a reasonable estimate, it must record a provisional estimate in its financial statements. The ultimate impact of the 2017 Tax Act in our financial statements is provisional with regard to certain foreign tax provisions and may differ from our estimates due to changes in the interpretations and assumptions made by us as well as additional regulatory guidance that may be issued.</w:t>
      </w:r>
    </w:p>
    <w:p>
      <w:pPr>
        <w:spacing w:after="0" w:line="16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As of March 31, 2018, the Company had approximately $0.6 million of unrecognized tax benefits included in other current liabilities and other long-term liabilities ($4.3 million, net of deferred taxes, which would affect the effective tax rate if recognized). During the three months ended March 31, 2018, the Company had gross increases of $0.3 million to its current year unrecognized tax benefits related to federal and state tax provisions.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years of 2008 and 2010 through 2017 remain open to examination by certain taxing jurisdictions to which the Company is subject to tax, other than certain states in which the statute of limitations has been extended.</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provided services to customers affiliated with certain members of the Company’s Board of Directors. Management believes services with related parties were conducted on terms equivalent to those prevailing in an arm's-length transaction. Revenue related to these transactions was less than $0.1 million and approximately $1.7 million for the three months ended March 31, 2018 and March 31, 2017, respectively. Accounts receivable due from these hospitals at March 31, 2018 and December 31, 2017 were less than $0.1 million and approximately $0.4 million, respectively.</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acquisition of MSN, the Company acquired a 68% ownership interest in Cross Country Talent Acquisition Group, LLC (formerly InteliStaf of Oklahoma, LLC), a joint venture between the Company and a hospital system. The Company generated revenue providing staffing services to the hospital system of $4.4 million and $4.2 million for the three months ended March 31, 2018 and March 31, 2017, respectively. At March 31, 2018 and December 31, 2017, the Company had a receivable balance of $0.6 million and $0.8 million, respectively, and a payable balance of $0.3 million.</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$0.1 million in rent expense for these premises for the three months ended March 31, 2018 and March 31, 2017,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2" w:name="page23"/>
    <w:bookmarkEnd w:id="22"/>
    <w:p>
      <w:pPr>
        <w:spacing w:after="0"/>
        <w:tabs>
          <w:tab w:leader="none" w:pos="400" w:val="left"/>
        </w:tabs>
        <w:rPr>
          <w:sz w:val="20"/>
          <w:szCs w:val="20"/>
          <w:color w:val="auto"/>
        </w:rPr>
      </w:pPr>
      <w:r>
        <w:rPr>
          <w:rFonts w:ascii="Arial" w:cs="Arial" w:eastAsia="Arial" w:hAnsi="Arial"/>
          <w:sz w:val="18"/>
          <w:szCs w:val="18"/>
          <w:b w:val="1"/>
          <w:bCs w:val="1"/>
          <w:color w:val="auto"/>
        </w:rPr>
        <w:t>16.</w:t>
        <w:tab/>
        <w:t>RECENT ACCOUNTING PRONOUNCEMENTS</w:t>
      </w:r>
    </w:p>
    <w:p>
      <w:pPr>
        <w:spacing w:after="0" w:line="22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The amendments in Part I of this Update change the classification analysis of certain equity-linked financial instruments (or embedded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When determining whether certain financial instruments should be classified as liabilities or equity instruments, a down round feature no longer precludes equity classification when assessing whether the instrument is indexed</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to an entity’s own stock. The amendments in Part II of this Update recharacterize the indefinite deferral of certain provisions of Topic 480 that now are presented as pending content in the Codification, to a scope exception. Those amendments do not have an accounting effect. For public business entities, the amendments in Part I of this Update are effective for fiscal years, and interim periods within those fiscal years, beginning after December 15, 2018, and should be applied retrospectively to outstanding financial instruments with a down round feature by means of either a cumulative-effect adjustment or for each prior reporting period presented. Early adoption is permitted for all entities, including adoption in an interim period. The Company expects to adopt this standard in its first quarter of 2019, and does not expect this guidance to have a material impact on its consolidated financial statements.</w:t>
      </w:r>
    </w:p>
    <w:p>
      <w:pPr>
        <w:spacing w:after="0" w:line="1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require, among other items, lessees to recognize most leases as assets and liabilities on the balance sheet. Qualitative and quantitative disclosures will be enhanced to better understand the amount, timing and uncertainty of cash flows arising from leases. ASU 2016-02 is effective for fiscal years beginning after December 15, 2018, and interim periods within those fiscal years, with early adoption permitted. Entities are required to use a modified retrospective approach for leases that exist or are entered into after the beginning of the earliest comparative period in the financial statements. Full retrospective application is prohibited. The Company has implemented a lease management software application tool and is currently assessing the impact the that the adoption of ASU 2016-02 will have on its consolidated financial statements. The Company expects the valuation of right of use assets and lease liabilities, previously described to be operating leases, to be the present value of the forecasted future lease commitments.</w:t>
      </w:r>
    </w:p>
    <w:p>
      <w:pPr>
        <w:spacing w:after="0" w:line="3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the Company.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provide healthcare staffing, recruiting and workforce solutions to our customers through a network of 74 office locations throughout the United States. Our services include placing clinicians on travel and per diem assignments, local short-term contracts, and permanent positions. In addition, we offer flexible workforce management solutions to our customers including: managed service programs (MSP), education healthcare, recruitment process outsourcing (RPO), and other outsourcing and value-added services as described in Item 1. Business in our Annual Report on Form 10-K for the year ended December 31, 2017. In addition, we provide both retained and contingent placement services for healthcare executives, physicians, and other healthcare professionals.</w:t>
      </w:r>
    </w:p>
    <w:p>
      <w:pPr>
        <w:spacing w:after="0" w:line="15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We manage and segment our business based on the nature of the services we offer to our customers. As a result,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we report three business segments – Nurse and Allied Staffing, Physician Staffing, and Other Human Capital Management Services.</w:t>
      </w:r>
    </w:p>
    <w:p>
      <w:pPr>
        <w:spacing w:after="0" w:line="124" w:lineRule="exact"/>
        <w:rPr>
          <w:sz w:val="20"/>
          <w:szCs w:val="20"/>
          <w:color w:val="auto"/>
        </w:rPr>
      </w:pPr>
    </w:p>
    <w:p>
      <w:pPr>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represented approximately 88% of our total revenue in the first quarter of 2018. Nurse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Allied Staffing provides traditional staffing, recruiting, and value-added workforce solutions including: temporary and permanent placement of travel and local branch-based nurse and allied professionals, MSP services, education healthcare services, and outsourcing services. Substantially all of the results of the acquisition of Advantage have been aggregated with our Nurse and Allied Staffing business segment. See Note 4 - Acquisitions to our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3" w:name="page24"/>
    <w:bookmarkEnd w:id="23"/>
    <w:p>
      <w:pPr>
        <w:ind w:left="660" w:right="14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Physician Staffing </w:t>
      </w:r>
      <w:r>
        <w:rPr>
          <w:rFonts w:ascii="Arial" w:cs="Arial" w:eastAsia="Arial" w:hAnsi="Arial"/>
          <w:sz w:val="17"/>
          <w:szCs w:val="17"/>
          <w:color w:val="auto"/>
        </w:rPr>
        <w:t>– Physician Staffing represented approximately 10% of our total revenue in the first quarter of 2018. Physician Staffing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physicians in many specialties, as well as certified registered nurse anesthetists, nurse practitioners, and physician assistants under our Medical Doctor Associates (MDA) brand as independent contractors on temporary assignments throughout the United States.</w:t>
      </w:r>
    </w:p>
    <w:p>
      <w:pPr>
        <w:spacing w:after="0" w:line="165"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(OHCMS) represented approximately 2%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first quarter of 2018. OHCMS is comprised of retained and contingent search services for physicians, healthcare executives, and other healthcare professionals within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31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For the quarter ended March 31, 2018, revenue from services grew 1% year-over-year to $210.3 million, with growth in all three of our reporting segments. The increase was primarily due to the Advantage acquisition, offset by declines in our legacy travel nurse operations resulting from fewer overall placements and lower renewal rates, as well as a lower percentage of billable hours for premium rate business. The number of travel nurse placements was impacted by a lower base due to the severe weather in the second half of 2017, and a lower renewal rate at certain large customers at the end of 2017. However, renewal rates reverted back to a more normal level in the first quarter of 2018. The slight increase in our Physician Staffing segment is due to growth in advanced practices, which includes certified registered nurse anesthetists, nurse practitioners, and physician assistants. Also, our physician and executive search business had strong revenue growth over the prior year. The ramp up of MSPs previously secured in 2017, and a couple of new wins in the first quarter of 2018, are expected to have a positive impact on revenue in the second half of 2018. We continue to manage our selling, general and administrative expenses as we remain committed to improving operating leverage and overall profitability. As part of our cost saving initiatives, we incurred $0.4 million in restructuring charges during the first quarter of 2018. Net income attributable to common shareholders was $1.6 million, or $0.05 per diluted share.</w:t>
      </w:r>
    </w:p>
    <w:p>
      <w:pPr>
        <w:spacing w:after="0" w:line="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For the three months ended March 31, 2018, we generated cash flow from operating activities of $13.3 million. In addition, in the first quarter of 2018, we repurchased and retired 242,400 shares of Common Stock for $2.9 million, at an average market price of $11.88 per share, pursuant to the current authorized share repurchase program. See Note 11 - Stockholders' Equity to our condensed consolidated financial statements. As of March 31, 2018, we had $32.6 million of cash and cash equivalents and $98.8 million outstanding on our Term Loan, at par. There were no borrowings drawn on our $115.0 million revolving credit facility, with $21.6 million of letters of credit outstanding, leaving $93.4 million available for borrowings under the revolving credit facility. During the first quarter of 2018, we entered into a fixed interest rate swap, executed on 50% of the outstanding notional amount of our Amended Term Loan. See Note 8 - Debt and Note 9 - Derivative to our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Results from Operations, Segments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gross profit margins, operating expenses, and contribution income. In addition, we monitor cash flow as well as operating and leverage ratios to help us assess our liquidity needs.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Staffing revenue per FTE by the number of days worked in the respective periods.</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placement of nurses.</w:t>
            </w:r>
          </w:p>
        </w:tc>
      </w:tr>
      <w:tr>
        <w:trPr>
          <w:trHeight w:val="256"/>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rPr>
              <w:t>Days filled is calculated by dividing the total hours invoiced during the period,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including an estimate for the impact of accrued revenue, by 8 hours. Prior periods</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have been recalculated to include the impact of the accrued revenue.</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Revenue per day filled is calculated by dividing revenue as reported by days filled for</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0"/>
              </w:rPr>
              <w:t>the period presented. Prior periods have been recalculated to include the impact of the</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accrued revenue and days.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34290</wp:posOffset>
            </wp:positionV>
            <wp:extent cx="23583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ind w:left="8420"/>
              <w:spacing w:after="0"/>
              <w:rPr>
                <w:sz w:val="20"/>
                <w:szCs w:val="20"/>
                <w:color w:val="auto"/>
              </w:rPr>
            </w:pPr>
            <w:r>
              <w:rPr>
                <w:rFonts w:ascii="Arial" w:cs="Arial" w:eastAsia="Arial" w:hAnsi="Arial"/>
                <w:sz w:val="18"/>
                <w:szCs w:val="18"/>
                <w:b w:val="1"/>
                <w:bCs w:val="1"/>
                <w:color w:val="auto"/>
                <w:w w:val="94"/>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Direct operating expenses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Bad debt expense</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Restructuring costs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Loss on early extinguishment of debt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color w:val="auto"/>
              </w:rPr>
              <w:t>Consolidated net income (loss)</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770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shareholders</w:t>
            </w:r>
          </w:p>
        </w:tc>
        <w:tc>
          <w:tcPr>
            <w:tcW w:w="1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5620"/>
              <w:spacing w:after="0"/>
              <w:rPr>
                <w:sz w:val="20"/>
                <w:szCs w:val="20"/>
                <w:color w:val="auto"/>
              </w:rPr>
            </w:pPr>
            <w:r>
              <w:rPr>
                <w:rFonts w:ascii="Arial" w:cs="Arial" w:eastAsia="Arial" w:hAnsi="Arial"/>
                <w:sz w:val="18"/>
                <w:szCs w:val="18"/>
                <w:color w:val="auto"/>
              </w:rPr>
              <w:t>22</w:t>
            </w: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7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Comparison of Results for the Three Months Ended March 31, 2018 compared to the Three Months Ended March 31,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3"/>
              </w:rPr>
              <w:t>Three Months Ended March 31,</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(Amounts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154,298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Consolidated net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3,652</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181.7 %</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Revenue from services increased 1.3%, to $210.3 million for the three months ended March 31, 2018, as compared to $207.6 million for the three months ended March 31, 2017, due primarily to the impact of the acquisition of Advantage, offset by volume declines in our legacy travel nurse operations. Excluding the impact of Advantage, revenue decreased $17.3 million or 8.4%. See further discussion in Segment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w:t>
      </w:r>
    </w:p>
    <w:p>
      <w:pPr>
        <w:spacing w:after="0" w:line="2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housing expenses, travel expenses, and related insurance expenses. Direct operating expenses increased $2.2 million or 1.4%, to $156.5 million for the three months ended March 31, 2018, as compared to $154.3 million for the three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As a percentage of total revenue, direct operating expenses increased to 74.4% compared to 74.3% in the prior 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general and administrative expenses decreased 3.4%, to $45.6 million for the three months ended March 31, 2018, as compared to $47.2 million for the three months ended March 31, 2017, despite the added expenses from the acquisition of Advantage. As a percentage of total revenue, selling, general and administrative expenses decreased to 21.7% for the three months ended March 31, 2018 as compared to 22.8% for the three months ended March 31, 2017, reflecting the cost savings initiatives completed over the last several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and amortization expense increased to $2.9 million for the three months ended March 31, 2018 from $2.2 million for the three months ended March 31, 2017, primarily due to the additional amortization of other intangible assets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8" w:right="239" w:bottom="1440" w:gutter="0" w:footer="0" w:header="0"/>
        </w:sectPr>
      </w:pPr>
    </w:p>
    <w:bookmarkStart w:id="26" w:name="page27"/>
    <w:bookmarkEnd w:id="26"/>
    <w:p>
      <w:pPr>
        <w:ind w:right="320"/>
        <w:spacing w:after="0" w:line="277" w:lineRule="auto"/>
        <w:rPr>
          <w:sz w:val="20"/>
          <w:szCs w:val="20"/>
          <w:color w:val="auto"/>
        </w:rPr>
      </w:pPr>
      <w:r>
        <w:rPr>
          <w:rFonts w:ascii="Arial" w:cs="Arial" w:eastAsia="Arial" w:hAnsi="Arial"/>
          <w:sz w:val="18"/>
          <w:szCs w:val="18"/>
          <w:color w:val="auto"/>
        </w:rPr>
        <w:t>Advantage. As a percentage of revenue, depreciation and amortization expense was 1.4% and 1.0% for the three months ended March 31,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Acquisition-related contingent consideration, comprised of accretion on our contingent consideration liabilities for our Mediscan and USR acquisitions, totaled $0.2 million and $0.3 million for the three months ended March 31, 2018 and March 31, 2017, respectively. See Note 10 - Fair Value Measurements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Acquisition and integration costs during the three months ended March 31, 2018 were $0.1 million and primarily related to integration-related costs for the Advantage acquisition. There were no such costs for the three months ended March 31, 2017. See Note 4 - Acquisitions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Restructuring costs totaled $0.4 million during the three months ended March 31, 2018 and related to severance costs incurred in connection with our cost savings initiatives. There were no such severance costs for the three months ended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Interest expense was $1.3 million for the three months ended March 31, 2018, compared to $1.2 million for the three months ended March 31, 2017, primarily due to higher average borrowings partially offset by a lower effective interest rate. The effective interest rate on our borrowings decreased to 4.4% for the three month period ended March 31, 2018 compared to 7.1% for the three months ended March 31, 2017, primarily due to the payoff of our $25.0 million, 8% fixed rate Convertible Notes on March 17, 2017. See Note 8 -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incurred a gain on derivative liability of $1.6 million for the three months ended March 31, 2017 related to the change in the fair value of embedded features of our Convertible Notes from the end of the prior quarter through the payoff date, primarily resulting from a decrease in our share price. There were no such charges incurred for the three months ended March 31, 2018. See Note 8 - Debt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ind w:right="2220"/>
        <w:spacing w:after="0" w:line="277" w:lineRule="auto"/>
        <w:rPr>
          <w:sz w:val="20"/>
          <w:szCs w:val="20"/>
          <w:color w:val="auto"/>
        </w:rPr>
      </w:pPr>
      <w:r>
        <w:rPr>
          <w:rFonts w:ascii="Arial" w:cs="Arial" w:eastAsia="Arial" w:hAnsi="Arial"/>
          <w:sz w:val="18"/>
          <w:szCs w:val="18"/>
          <w:color w:val="auto"/>
        </w:rPr>
        <w:t>Loss on early extinguishment of debt relates to the early repayment of our Convertible Notes and was $5.0 million for the three months ended March 31, 2017. See Note 8 -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Income tax expense totaled $1.2 million for the three months ended March 31, 2018, compared to $0.4 million for the three months ended March 31, 2017. The effective tax rate for the first quarter of 2018 was primarily impacted by the non-deductibility of certain per diem expenses, the officers’ compensation limitation, and state taxes. The effective tax rate for the first quarter of 2017 was primarily impacted by the amortization of indefinite-lived intangible assets for tax purposes, international and state taxes.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Segment Results</w:t>
            </w:r>
          </w:p>
        </w:tc>
        <w:tc>
          <w:tcPr>
            <w:tcW w:w="374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380" w:type="dxa"/>
            <w:vAlign w:val="bottom"/>
            <w:gridSpan w:val="13"/>
          </w:tcPr>
          <w:p>
            <w:pPr>
              <w:spacing w:after="0"/>
              <w:rPr>
                <w:sz w:val="20"/>
                <w:szCs w:val="20"/>
                <w:color w:val="auto"/>
              </w:rPr>
            </w:pPr>
            <w:r>
              <w:rPr>
                <w:rFonts w:ascii="Arial" w:cs="Arial" w:eastAsia="Arial" w:hAnsi="Arial"/>
                <w:sz w:val="18"/>
                <w:szCs w:val="18"/>
                <w:color w:val="auto"/>
                <w:w w:val="96"/>
              </w:rPr>
              <w:t>Information on operating segments and a reconciliation to income from operations for the periods indicated are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8"/>
          </w:tcPr>
          <w:p>
            <w:pPr>
              <w:jc w:val="center"/>
              <w:ind w:right="5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6"/>
          </w:tcPr>
          <w:p>
            <w:pPr>
              <w:jc w:val="center"/>
              <w:ind w:left="612"/>
              <w:spacing w:after="0"/>
              <w:rPr>
                <w:sz w:val="20"/>
                <w:szCs w:val="20"/>
                <w:color w:val="auto"/>
              </w:rPr>
            </w:pPr>
            <w:r>
              <w:rPr>
                <w:rFonts w:ascii="Arial" w:cs="Arial" w:eastAsia="Arial" w:hAnsi="Arial"/>
                <w:sz w:val="18"/>
                <w:szCs w:val="18"/>
                <w:b w:val="1"/>
                <w:bCs w:val="1"/>
                <w:color w:val="auto"/>
                <w:w w:val="93"/>
              </w:rPr>
              <w:t>March 31,</w:t>
            </w: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472"/>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633"/>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8"/>
          </w:tcPr>
          <w:p>
            <w:pPr>
              <w:jc w:val="center"/>
              <w:ind w:right="560"/>
              <w:spacing w:after="0"/>
              <w:rPr>
                <w:sz w:val="20"/>
                <w:szCs w:val="20"/>
                <w:color w:val="auto"/>
              </w:rPr>
            </w:pPr>
            <w:r>
              <w:rPr>
                <w:rFonts w:ascii="Arial" w:cs="Arial" w:eastAsia="Arial" w:hAnsi="Arial"/>
                <w:sz w:val="16"/>
                <w:szCs w:val="16"/>
                <w:color w:val="auto"/>
                <w:w w:val="89"/>
              </w:rPr>
              <w:t>(amounts in thousands)</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Nurse and Allied Staffing</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185,105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Other Human Capital Management Services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210,288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207,573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Nurse and Allied Staffing</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16,760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Other Human Capital Management Services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Unallocated corporate overhead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Acquisition-related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Acquisition and integration costs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49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Restructuring costs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gridSpan w:val="5"/>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gridSpan w:val="8"/>
            <w:vMerge w:val="restart"/>
          </w:tcPr>
          <w:p>
            <w:pPr>
              <w:spacing w:after="0"/>
              <w:rPr>
                <w:sz w:val="20"/>
                <w:szCs w:val="20"/>
                <w:color w:val="auto"/>
              </w:rPr>
            </w:pPr>
            <w:r>
              <w:rPr>
                <w:rFonts w:ascii="Arial" w:cs="Arial" w:eastAsia="Arial" w:hAnsi="Arial"/>
                <w:sz w:val="18"/>
                <w:szCs w:val="18"/>
                <w:color w:val="auto"/>
                <w:w w:val="94"/>
              </w:rPr>
              <w:t>Certain statistical data for our business segments for the periods indicated are as follows:</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00" w:type="dxa"/>
            <w:vAlign w:val="bottom"/>
            <w:gridSpan w:val="8"/>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6"/>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20"/>
                <w:szCs w:val="20"/>
                <w:color w:val="auto"/>
              </w:rPr>
            </w:pPr>
          </w:p>
        </w:tc>
        <w:tc>
          <w:tcPr>
            <w:tcW w:w="14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7"/>
              </w:rPr>
              <w:t>March 31,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16"/>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31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60" w:type="dxa"/>
            <w:vAlign w:val="bottom"/>
            <w:gridSpan w:val="4"/>
          </w:tcPr>
          <w:p>
            <w:pPr>
              <w:spacing w:after="0"/>
              <w:rPr>
                <w:sz w:val="20"/>
                <w:szCs w:val="20"/>
                <w:color w:val="auto"/>
              </w:rPr>
            </w:pPr>
            <w:r>
              <w:rPr>
                <w:rFonts w:ascii="Arial" w:cs="Arial" w:eastAsia="Arial" w:hAnsi="Arial"/>
                <w:sz w:val="16"/>
                <w:szCs w:val="16"/>
                <w:color w:val="auto"/>
              </w:rPr>
              <w:t>FTEs</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7,466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6"/>
                <w:szCs w:val="16"/>
                <w:color w:val="auto"/>
              </w:rPr>
              <w:t>7,204</w:t>
            </w:r>
          </w:p>
        </w:tc>
        <w:tc>
          <w:tcPr>
            <w:tcW w:w="200" w:type="dxa"/>
            <w:vAlign w:val="bottom"/>
          </w:tcPr>
          <w:p>
            <w:pPr>
              <w:spacing w:after="0"/>
              <w:rPr>
                <w:sz w:val="20"/>
                <w:szCs w:val="20"/>
                <w:color w:val="auto"/>
              </w:rPr>
            </w:pPr>
          </w:p>
        </w:tc>
        <w:tc>
          <w:tcPr>
            <w:tcW w:w="1360" w:type="dxa"/>
            <w:vAlign w:val="bottom"/>
            <w:gridSpan w:val="4"/>
          </w:tcPr>
          <w:p>
            <w:pPr>
              <w:jc w:val="right"/>
              <w:ind w:right="10"/>
              <w:spacing w:after="0"/>
              <w:rPr>
                <w:sz w:val="20"/>
                <w:szCs w:val="20"/>
                <w:color w:val="auto"/>
              </w:rPr>
            </w:pPr>
            <w:r>
              <w:rPr>
                <w:rFonts w:ascii="Arial" w:cs="Arial" w:eastAsia="Arial" w:hAnsi="Arial"/>
                <w:sz w:val="16"/>
                <w:szCs w:val="16"/>
                <w:color w:val="auto"/>
              </w:rPr>
              <w:t>262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9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282</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9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14,250</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6"/>
                <w:szCs w:val="16"/>
                <w:color w:val="auto"/>
              </w:rPr>
              <w:t>14,052</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gridSpan w:val="4"/>
          </w:tcPr>
          <w:p>
            <w:pPr>
              <w:jc w:val="right"/>
              <w:ind w:right="10"/>
              <w:spacing w:after="0"/>
              <w:rPr>
                <w:sz w:val="20"/>
                <w:szCs w:val="20"/>
                <w:color w:val="auto"/>
              </w:rPr>
            </w:pPr>
            <w:r>
              <w:rPr>
                <w:rFonts w:ascii="Arial" w:cs="Arial" w:eastAsia="Arial" w:hAnsi="Arial"/>
                <w:sz w:val="16"/>
                <w:szCs w:val="16"/>
                <w:color w:val="auto"/>
              </w:rPr>
              <w:t>198</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right w:val="single" w:sz="8" w:color="CCEEFF"/>
            </w:tcBorders>
          </w:tcPr>
          <w:p>
            <w:pPr>
              <w:spacing w:after="0"/>
              <w:rPr>
                <w:sz w:val="20"/>
                <w:szCs w:val="20"/>
                <w:color w:val="auto"/>
              </w:rPr>
            </w:pPr>
          </w:p>
        </w:tc>
        <w:tc>
          <w:tcPr>
            <w:tcW w:w="49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1,527</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1"/>
              </w:rPr>
              <w:t>(14)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Borders>
              <w:right w:val="single" w:sz="8" w:color="CCEEFF"/>
            </w:tcBorders>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0" w:firstLine="8"/>
        <w:spacing w:after="0" w:line="52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definition of Business Measurement under the Operating Metrics section of our Management's Discussion and Analysis. See Note 12 - Segment Data.</w:t>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67"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Segment Comparison - Three Months Ended March 31, 2018 compared to the Three Months Ended March 31, 2017</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 from Nurse and Allied Staffing increased $2.0 million, or 1.1%, to $185.1 million for the three months ended March 31, 2018, compared to $183.1 million for the three months ended March 31, 2017, predominantly due to the Advantage acquisition. Excluding the Advantage acquisition, revenue decreased $18.1 million, or 9.9%, primarily driven by volume. As noted in the Summary of Operations, the number of travel nurse placements was impacted by a lower base due to the severe weather late in 2017 and a lower renewal rate at certain large customers at the end of 2017.</w:t>
      </w:r>
    </w:p>
    <w:p>
      <w:pPr>
        <w:spacing w:after="0" w:line="17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Contribution income from Nurse and Allied Staffing increased $1.2 million or 7.3%, to $16.8 million for the three months ended March 31, 2018, compared to $15.6 million for the three months ended March 31, 2017, due to improved operating leverage. As a percentage of segment revenue, contribution income was 9.1% for the three months ended March 31, 2018, compared to 8.5% for the three months ended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average number of Nurse and Allied Staffing FTEs on contract during the three months ended March 31, 2018 increased 3.6% from the three months ended March 31, 2017, primarily due to the added FTEs from the Advantage acquisition and an increase in volume in education healthcare staffing, partially offset by the declines in travel nurse staffing. The average Nurse and Allied Staffing revenue per FTE per day decreased 2.5%, reflecting a change in mix of business, including a lower percentage of billable hours for premium rate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Revenue from Physician Staffing increased $0.1 million, an increase of less than 1.0%, to $21.6 million for the three months ended March 31, 2018, compared to $21.5 million for the three months ended March 31, 2017, primarily due to a higher number of days filled, partly offset by the mix of business.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Contribution income from Physician Staffing increased $0.7 million, or 82.9%, to $1.5 million for the three months ended March 31, 2018, compared to $0.8 million for the three months ended March 31, 2017, primarily due to gross margin expansion and cost savings initiatives, which led to higher operating leverage in the business. As a percentage of segment revenue, contribution income was 7.0% for the three months ended March 31, 2018, compared to 3.8% for the three months ended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days filled were 14,250 as compared with 14,052 in the prior year. Revenue per day filled was $1,513 as compared with $1,527 in the prior year, down 1% due to a shift in mix between advanced practice and physician staffing.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from OHCMS increased $0.6 million, or 20.7%, to $3.6 million for the three months ended March 31, 2018, compared to $3.0 million for the three months ended March 31, 2017, primarily due to growth in both executive and physician searches.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Segment contribution income for the three months ended March 31, 2018 increased to $0.3 million from a loss of $0.4 million for the three months ended March 31, 2017, reflecting improved operating leverage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$10.7 million for the three months ended March 31, 2018, compared to $10.3 million for the three months ended March 31, 2017. As a percentage of consolidated revenue, unallocated corporate overhead was 5.1% for the three months ended March 31, 2018 and 5.0% for the three months ended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2018, we had $32.6 million in cash and cash equivalents and $98.8 million of Term Loan outstanding, at par. Working capital increased to</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$115.8 million as of March 31, 2018 from $114.3 million as of December 31, 2017. Our net days' sales outstanding (DSO), which excludes amounts owed to subcontractors, decreased 3 days to 55 days as of March 31, 2018, compared to 58 days as of December 31, 2017.</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Amended and Restated Credit Agreement. See debt discussion which follows. In the second quarter of 2018, we are planning to launch a new initiative to replace our legacy system which supports the travel nurse staffing operations. The total cost of the initiative is expected to be approximately $10 million to $12 million with expected completion in late 2019. We expect the majority of the costs for the initiative to be capitalized. Operating cash flows and cash on hand, along with amounts available under our revolving credit facility, should be sufficient to meet these needs during the next twelve months.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provided by operating activities was $13.3 million in the three months ended March 31, 2018, compared to $1.4 million in the three months ended March 31, 2017, primarily due to higher collections and the timing of payments in the three months ended March 31, 2018.</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used in investing activities was $1.0 million in the three months ended March 31, 2018, compared to $1.1 million in the three months ended March 31, 2017, primarily for capital expenditures in both periods.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cash used in financing activities during the three months ended March 31, 2018 was $5.1 million, compared to $7.6 million during the three months ended March 31, 2017. During the three months ended March 31, 2018, we used cash to repurchase $2.9 million in shares of Common Stock, repay $1.2 million on our Term Loan, pay $0.6 million for shares withheld for taxes, $0.3 million for noncontrolling shareholder payments, and $0.1 million for contingent consideration. During the three months ended March 31, 2017, we repaid our Convertible Notes with a partial cash payment of $5.0 million and paid $0.6 million in related extinguishment fees. We also reduced the principal amount of our term debt by $1.0 million. In addition, we used cash to pay $0.7 million for shares withheld for taxes, $0.2 million for noncontrolling shareholder payments, and $0.1 million for capital lease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more fully described in Note 8 - Debt to our condensed consolidated financial statements, our Amended and Restated Credit Agreement, entered into on August 1, 2017, provides us with a $215.0 million committed facility, including a term loan of $100.0 million (Amended Term Loan) and a $115.0 million revolving credit facility (Amended Revolving Credit Facility) (together with the Amended Term Loan, the Amended Credit Facilities). As of March 31, 2018, the Applicable Margin, as defined in the Amended and Restated Credit Agreement, is 2.25% for Eurodollar Loans and LIBOR Index Rate Loans and 1.25% for Base Rate Loans. As of March 31, 2018, we had $98.8 million remaining on the Amended Term Loan and $21.6 million in letters of credit outstanding, leaving $93.4 million available under the Amended Revolving Credit Facility. We believe this provides us with the ability to continue to execute our strategy to grow the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17, 2017, we paid in full our fixed rate 8% Convertible Notes. The Convertible Notes, had an aggregate principal amount of $25.0 million, and were convertible into shares of our Common Stock, at a conversion price of $7.10 per share. As a result of the early repayment, we recognized $5.0 million as loss on early extinguishment of debt.</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inception of the Convertible Notes, and at the time of the payoff, the conversion price of $7.10 was below the market price. The initial agreement allowed us to force conversion of the Notes only after three years, beginning July 1, 2017, and if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30" w:name="page31"/>
    <w:bookmarkEnd w:id="30"/>
    <w:p>
      <w:pPr>
        <w:ind w:right="60"/>
        <w:spacing w:after="0" w:line="264" w:lineRule="auto"/>
        <w:rPr>
          <w:sz w:val="20"/>
          <w:szCs w:val="20"/>
          <w:color w:val="auto"/>
        </w:rPr>
      </w:pPr>
      <w:r>
        <w:rPr>
          <w:rFonts w:ascii="Arial" w:cs="Arial" w:eastAsia="Arial" w:hAnsi="Arial"/>
          <w:sz w:val="18"/>
          <w:szCs w:val="18"/>
          <w:color w:val="auto"/>
        </w:rPr>
        <w:t>VWAP exceeded 125% of the Conversion Price for 20 days of a 30 day trading period (the threshold was $8.88, which we were well above). As such, we and the Noteholders agreed to an early settlement at fair value based on the stock price. In connection with the repayment, we issued to the Noteholders an aggregate of 3,175,584 shares of Common Stock and cash in the aggregate amount of $5.6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8 - Debt to our condensed consolidated financial statement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March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400" w:type="dxa"/>
            <w:vAlign w:val="bottom"/>
          </w:tcPr>
          <w:p>
            <w:pPr>
              <w:ind w:left="114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8"/>
          </w:tcPr>
          <w:p>
            <w:pPr>
              <w:ind w:left="8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Operating lease obligations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6,055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w:t>
            </w: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652"/>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our Amended Term Loan, we are required to comply with certain financial covenants. Our inability to comply with the required covenants or other provisions could result in default under our amended credit facilities. In the event of any such default and our inability to obtain a waiver of the default, all amounts outstanding under the Amended Credit Facilities could be declared immediately due and payable. As of March 31, 2018, we are in compliance with the financial covenants and other covenants contained in the Credit Agreement.</w:t>
      </w:r>
    </w:p>
    <w:p>
      <w:pPr>
        <w:ind w:left="66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calculated using the April 2, 2018 applicable LIBOR and margin rate totaling 4.1% on 50% of the Term Loan balance, and a fixed interest rate of 4.9% on the other 50% of the Term Loan balance, taking into account the interest rate swap. See Note 9 - Derivative.</w:t>
      </w:r>
    </w:p>
    <w:p>
      <w:pPr>
        <w:spacing w:after="0" w:line="1" w:lineRule="exact"/>
        <w:rPr>
          <w:rFonts w:ascii="Arial" w:cs="Arial" w:eastAsia="Arial" w:hAnsi="Arial"/>
          <w:sz w:val="18"/>
          <w:szCs w:val="18"/>
          <w:color w:val="auto"/>
        </w:rPr>
      </w:pPr>
    </w:p>
    <w:p>
      <w:pPr>
        <w:ind w:left="660" w:right="4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contingent consideration represents the estimated payments due to the sellers related to the Mediscan and USR acquisitions, including accretion. See Note 4 - Acquisitions to our condensed consolidated financial statements. While it is not certain if, or when, the remaining contingent payments will be made, we have included the payments in the table based on our best estimates of the amounts and dates when the contingencies may be resolved.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13 - Commitments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Annual Report on Form 10-K for the year ended December 31, 2017, filed with the SEC, other than the adoption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 discussed in Note 2 - Summary of Significant Accounting Policies to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exposed to interest rate changes, primarily as a result of our revolving loan and term loans under our Credit Agreement, which bears interest based on floating rates. Refer to Liquidity and Capital Resources - Credit Agreement included in Item 2. Management’s Discussion and Analysis above for further discussion about our Credit Agreement and related interest rate swap effective beginning in the second quarter of 2018. For every 1% change in interest rates on variable rate debt would have resulted in interest expense fluctuating approximately $1.0 million in the first quarter of 2018 and $0.4 million in the first quarter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364" w:right="3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364" w:right="2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380"/>
        <w:spacing w:after="0" w:line="277" w:lineRule="auto"/>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2017.</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February 2008, our Board of Directors authorized its most recent stock repurchase program whereby we may purchase up to an additional 1.5 million shares of our common stock, subject to the terms of our current credit agreement. The shares may be repurchased from time-to-time in the open market and the repurchase program may be discontinued at any time at our discretion.</w:t>
      </w:r>
    </w:p>
    <w:p>
      <w:pPr>
        <w:spacing w:after="0" w:line="10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three months ended March 31, 2018, we purchased, under this program, a total of 242,400 shares at an average price of $11.88 per share. A summary of the repurchase activity for the period covered by this report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of Shares that</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 Purchased</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Total 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Average Price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Shares Purchased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Paid per Share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942,443</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February 1 - February 28,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color w:val="auto"/>
              </w:rPr>
              <w:t>942,443</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242,400</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2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242,400</w:t>
            </w:r>
          </w:p>
        </w:tc>
        <w:tc>
          <w:tcPr>
            <w:tcW w:w="2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700,043</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January 1 - March 31,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242,400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242,400</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color w:val="auto"/>
              </w:rPr>
              <w:t>700,043</w:t>
            </w: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May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SVP &amp; Chief Financial Officer (Principal Accounting and Financial</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580" w:right="3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20" w:type="dxa"/>
            <w:vAlign w:val="bottom"/>
            <w:gridSpan w:val="5"/>
          </w:tcPr>
          <w:p>
            <w:pPr>
              <w:jc w:val="center"/>
              <w:ind w:right="458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Code of Ethics, revised February 2, 2016</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FF"/>
                <w:w w:val="97"/>
              </w:rPr>
            </w:pPr>
            <w:hyperlink w:anchor="page45">
              <w:r>
                <w:rPr>
                  <w:rFonts w:ascii="Arial" w:cs="Arial" w:eastAsia="Arial" w:hAnsi="Arial"/>
                  <w:sz w:val="18"/>
                  <w:szCs w:val="18"/>
                  <w:color w:val="0000FF"/>
                  <w:w w:val="97"/>
                </w:rPr>
                <w:t>Certification pursuant to Rule 13a-14(a) and Rule 15d-14 (a) by William J. Grubbs, President, Chief Executive Officer, Director</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(Principal Executive Officer)</w:t>
              </w:r>
            </w:hyperlink>
          </w:p>
        </w:tc>
        <w:tc>
          <w:tcPr>
            <w:tcW w:w="7120" w:type="dxa"/>
            <w:vAlign w:val="bottom"/>
            <w:tcBorders>
              <w:top w:val="single" w:sz="8" w:color="0000FF"/>
            </w:tcBorders>
            <w:gridSpan w:val="5"/>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pursuant to Rule 13a-14(a) and Rule 15d-14 (a) by Christopher R. Pizzi, SVP &amp; Chief Financial Officer (Principal</w:t>
              </w:r>
            </w:hyperlink>
          </w:p>
        </w:tc>
        <w:tc>
          <w:tcPr>
            <w:tcW w:w="58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Accounting and Financial Officer)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Certification pursuant to 18 U.S.C. Section 1350 by William J. Grubbs, President, Chief Executive Officer, Director (Principal</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Executive Officer)</w:t>
              </w:r>
            </w:hyperlink>
          </w:p>
        </w:tc>
        <w:tc>
          <w:tcPr>
            <w:tcW w:w="68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18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pursuant to 18 U.S.C. Section 1350 by Christopher R. Pizzi, SVP &amp; Chief Financial Officer (Principal Accounting and</w:t>
              </w:r>
            </w:hyperlink>
          </w:p>
        </w:tc>
        <w:tc>
          <w:tcPr>
            <w:tcW w:w="2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Financial Officer)</w:t>
              </w:r>
            </w:hyperlink>
          </w:p>
        </w:tc>
        <w:tc>
          <w:tcPr>
            <w:tcW w:w="8440" w:type="dxa"/>
            <w:vAlign w:val="bottom"/>
            <w:gridSpan w:val="8"/>
          </w:tcPr>
          <w:p>
            <w:pPr>
              <w:spacing w:after="0"/>
              <w:rPr>
                <w:sz w:val="17"/>
                <w:szCs w:val="17"/>
                <w:color w:val="auto"/>
              </w:rPr>
            </w:pPr>
          </w:p>
        </w:tc>
      </w:tr>
      <w:tr>
        <w:trPr>
          <w:trHeight w:val="41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gridSpan w:val="6"/>
          </w:tcPr>
          <w:p>
            <w:pPr>
              <w:jc w:val="right"/>
              <w:ind w:right="48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31"/>
          <w:szCs w:val="31"/>
          <w:b w:val="1"/>
          <w:bCs w:val="1"/>
          <w:color w:val="33598A"/>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089015" cy="523240"/>
                    </a:xfrm>
                    <a:prstGeom prst="rect">
                      <a:avLst/>
                    </a:prstGeom>
                    <a:noFill/>
                  </pic:spPr>
                </pic:pic>
              </a:graphicData>
            </a:graphic>
          </wp:anchor>
        </w:drawing>
        <w:t xml:space="preserve">Business Ethics Policy </w:t>
      </w:r>
      <w:r>
        <w:rPr>
          <w:rFonts w:ascii="Arial" w:cs="Arial" w:eastAsia="Arial" w:hAnsi="Arial"/>
          <w:sz w:val="21"/>
          <w:szCs w:val="21"/>
          <w:b w:val="1"/>
          <w:bCs w:val="1"/>
          <w:color w:val="33598A"/>
        </w:rPr>
        <w:t>Exhibit 14.1</w:t>
      </w: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33598A"/>
        </w:rPr>
        <w:t>Purpose</w:t>
      </w:r>
    </w:p>
    <w:p>
      <w:pPr>
        <w:spacing w:after="0" w:line="320"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It is Cross Country Healthcare, Inc.’s (the “Company” or “CCH”) policy that all business, including that of its subsidiaries, is to be conducted in strict accordance with the law and in keeping with the highest level of business ethics.</w:t>
      </w:r>
    </w:p>
    <w:p>
      <w:pPr>
        <w:spacing w:after="0" w:line="69"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Without limiting the scope of this general precept, your attention is specifically directed to the following policies on Conflicts of Interest and Improper Payments and Accounting Records.</w:t>
      </w:r>
    </w:p>
    <w:p>
      <w:pPr>
        <w:spacing w:after="0" w:line="216" w:lineRule="exact"/>
        <w:rPr>
          <w:sz w:val="20"/>
          <w:szCs w:val="20"/>
          <w:color w:val="auto"/>
        </w:rPr>
      </w:pPr>
    </w:p>
    <w:p>
      <w:pPr>
        <w:spacing w:after="0"/>
        <w:rPr>
          <w:sz w:val="20"/>
          <w:szCs w:val="20"/>
          <w:color w:val="auto"/>
        </w:rPr>
      </w:pPr>
      <w:r>
        <w:rPr>
          <w:rFonts w:ascii="Arial" w:cs="Arial" w:eastAsia="Arial" w:hAnsi="Arial"/>
          <w:sz w:val="31"/>
          <w:szCs w:val="31"/>
          <w:b w:val="1"/>
          <w:bCs w:val="1"/>
          <w:color w:val="33598A"/>
        </w:rPr>
        <w:t>A. Conflicts of Interest</w:t>
      </w:r>
    </w:p>
    <w:p>
      <w:pPr>
        <w:spacing w:after="0" w:line="252"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color w:val="auto"/>
        </w:rPr>
        <w:t>Under established principles of law and Company policy, every director, officer and employee of the Company and its subsidiaries has a duty of undivided loyalty to the Company. Accordingly, personnel, if confronted with a choice between the interests of the Company and personal economic interests or obligations or duties to others, must act in the interests of the Company.</w:t>
      </w:r>
    </w:p>
    <w:p>
      <w:pPr>
        <w:spacing w:after="0" w:line="76"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While it is not possible to describe all situations that may involve potential or actual conflicts of interest, the following are examples of activities that should generally be avoided:</w:t>
      </w:r>
    </w:p>
    <w:p>
      <w:pPr>
        <w:spacing w:after="0" w:line="109" w:lineRule="exact"/>
        <w:rPr>
          <w:sz w:val="20"/>
          <w:szCs w:val="20"/>
          <w:color w:val="auto"/>
        </w:rPr>
      </w:pPr>
    </w:p>
    <w:p>
      <w:pPr>
        <w:ind w:left="620" w:right="60" w:hanging="327"/>
        <w:spacing w:after="0" w:line="28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compensation, gifts, entertainment, discounts, services, loans or anything of value from suppliers, customers or other persons with whom the Company and its subsidiaries do business or any competitor of the Company or its subsidiaries (other than the receipt of minor gifts, entertainment, discounts, services or things of value not exceeding $200 in value in any one year from any one firm or person); provided, however, that this shall only apply to directors as it relates to the Company’s business.</w:t>
      </w:r>
    </w:p>
    <w:p>
      <w:pPr>
        <w:spacing w:after="0" w:line="2" w:lineRule="exact"/>
        <w:rPr>
          <w:rFonts w:ascii="Arial" w:cs="Arial" w:eastAsia="Arial" w:hAnsi="Arial"/>
          <w:sz w:val="18"/>
          <w:szCs w:val="18"/>
          <w:color w:val="auto"/>
        </w:rPr>
      </w:pPr>
    </w:p>
    <w:p>
      <w:pPr>
        <w:ind w:left="620" w:right="260" w:hanging="327"/>
        <w:spacing w:after="0" w:line="27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Retention of a stock or other financial interest in any firm described above. This would not usually apply to the investment in securities of a publicly held corporation listed on a national securities exchange or traded in the over-the-counter market, unless the investor's judgment in transactions involving Cross Country and its subsidiaries might be affected by reason of the size of the investment, the amount of business done with the Company and its subsidiaries or other factors. As a general rule, a 2% or less aggregate interest by a person, members of his/her family and associated individuals or companies would present no problem.</w:t>
      </w:r>
    </w:p>
    <w:p>
      <w:pPr>
        <w:spacing w:after="0" w:line="2" w:lineRule="exact"/>
        <w:rPr>
          <w:rFonts w:ascii="Arial" w:cs="Arial" w:eastAsia="Arial" w:hAnsi="Arial"/>
          <w:sz w:val="18"/>
          <w:szCs w:val="18"/>
          <w:color w:val="auto"/>
        </w:rPr>
      </w:pPr>
    </w:p>
    <w:p>
      <w:pPr>
        <w:ind w:left="620" w:right="120" w:hanging="327"/>
        <w:spacing w:after="0" w:line="289"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Acting as a director, officer, consultant, agent, employee, independent contractor or in some other capacity for a person or firm described above. In addition, certain statutes and regulations prohibit or restrict individuals from holding interlocking directorships and offices in certain situations. All directors and officers of the Company are required to inform the Chief Executive Officer prior to accepting any directorship or office with another corporation to ensure compliance with any such statutory requirements.</w:t>
      </w:r>
    </w:p>
    <w:p>
      <w:pPr>
        <w:spacing w:after="0" w:line="2" w:lineRule="exact"/>
        <w:rPr>
          <w:rFonts w:ascii="Arial" w:cs="Arial" w:eastAsia="Arial" w:hAnsi="Arial"/>
          <w:sz w:val="18"/>
          <w:szCs w:val="18"/>
          <w:color w:val="auto"/>
        </w:rPr>
      </w:pPr>
    </w:p>
    <w:p>
      <w:pPr>
        <w:ind w:left="620" w:right="620" w:hanging="327"/>
        <w:spacing w:after="0" w:line="260"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Existence of an interest in any transaction involving the Company or its subsidiaries where such interest does or may affect the objective and impartial representation of the Company.</w:t>
      </w:r>
    </w:p>
    <w:p>
      <w:pPr>
        <w:spacing w:after="0" w:line="1" w:lineRule="exact"/>
        <w:rPr>
          <w:rFonts w:ascii="Arial" w:cs="Arial" w:eastAsia="Arial" w:hAnsi="Arial"/>
          <w:sz w:val="20"/>
          <w:szCs w:val="20"/>
          <w:color w:val="auto"/>
        </w:rPr>
      </w:pPr>
    </w:p>
    <w:p>
      <w:pPr>
        <w:ind w:left="620" w:hanging="327"/>
        <w:spacing w:after="0"/>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Disclosure or other misuse of confidential information concerning Cross Country and its subsidiaries.</w:t>
      </w:r>
    </w:p>
    <w:p>
      <w:pPr>
        <w:spacing w:after="0" w:line="40" w:lineRule="exact"/>
        <w:rPr>
          <w:rFonts w:ascii="Arial" w:cs="Arial" w:eastAsia="Arial" w:hAnsi="Arial"/>
          <w:sz w:val="20"/>
          <w:szCs w:val="20"/>
          <w:color w:val="auto"/>
        </w:rPr>
      </w:pPr>
    </w:p>
    <w:p>
      <w:pPr>
        <w:ind w:left="620" w:hanging="327"/>
        <w:spacing w:after="0" w:line="267"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Speculation or dealing in goods, commodities or products purchased, sold or otherwise dealt in or required or utilized by the Company and its subsidiaries.</w:t>
      </w:r>
    </w:p>
    <w:p>
      <w:pPr>
        <w:spacing w:after="0" w:line="1" w:lineRule="exact"/>
        <w:rPr>
          <w:rFonts w:ascii="Arial" w:cs="Arial" w:eastAsia="Arial" w:hAnsi="Arial"/>
          <w:sz w:val="20"/>
          <w:szCs w:val="20"/>
          <w:color w:val="auto"/>
        </w:rPr>
      </w:pPr>
    </w:p>
    <w:p>
      <w:pPr>
        <w:ind w:left="620" w:right="40" w:hanging="327"/>
        <w:spacing w:after="0" w:line="259"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Appropriation to oneself of a business opportunity in which the Company or a subsidiary might reasonably be expected to be interested, without first making available the opportunity to the Company or subsidiary. For instance, a person might learn of a business, an invention or other property that is for sale and which the Company or a subsidiary might be interested in acquiring. A person who fails to disclose this knowledge to the Company and acquires the property may be legally accountable to the Company for any profits that might be realized.</w:t>
      </w:r>
    </w:p>
    <w:p>
      <w:pPr>
        <w:sectPr>
          <w:pgSz w:w="11900" w:h="16838" w:orient="portrait"/>
          <w:cols w:equalWidth="0" w:num="1">
            <w:col w:w="11280"/>
          </w:cols>
          <w:pgMar w:left="360" w:top="1243" w:right="259" w:bottom="1440" w:gutter="0" w:footer="0" w:header="0"/>
        </w:sectPr>
      </w:pPr>
    </w:p>
    <w:bookmarkStart w:id="37" w:name="page38"/>
    <w:bookmarkEnd w:id="37"/>
    <w:p>
      <w:pPr>
        <w:ind w:left="4"/>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089015" cy="523240"/>
                    </a:xfrm>
                    <a:prstGeom prst="rect">
                      <a:avLst/>
                    </a:prstGeom>
                    <a:noFill/>
                  </pic:spPr>
                </pic:pic>
              </a:graphicData>
            </a:graphic>
          </wp:anchor>
        </w:drawing>
        <w:t>Interests, relationships or activities of the type described above which are held or taken by (a) family members, or</w:t>
      </w:r>
    </w:p>
    <w:p>
      <w:pPr>
        <w:spacing w:after="0" w:line="16" w:lineRule="exact"/>
        <w:rPr>
          <w:sz w:val="20"/>
          <w:szCs w:val="20"/>
          <w:color w:val="auto"/>
        </w:rPr>
      </w:pPr>
    </w:p>
    <w:p>
      <w:pPr>
        <w:ind w:left="4" w:right="80" w:hanging="4"/>
        <w:spacing w:after="0" w:line="359" w:lineRule="auto"/>
        <w:tabs>
          <w:tab w:leader="none" w:pos="2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trust or estate in which either the employee or family members have a substantial interest, or (c) any partnership, corporation or other firm of which the employee is a partner, director or officer or in which either the employee or family members have a substantial interest.</w:t>
      </w:r>
    </w:p>
    <w:p>
      <w:pPr>
        <w:spacing w:after="0" w:line="1" w:lineRule="exact"/>
        <w:rPr>
          <w:sz w:val="20"/>
          <w:szCs w:val="20"/>
          <w:color w:val="auto"/>
        </w:rPr>
      </w:pPr>
    </w:p>
    <w:p>
      <w:pPr>
        <w:ind w:left="4"/>
        <w:spacing w:after="0" w:line="258" w:lineRule="auto"/>
        <w:rPr>
          <w:sz w:val="20"/>
          <w:szCs w:val="20"/>
          <w:color w:val="auto"/>
        </w:rPr>
      </w:pPr>
      <w:r>
        <w:rPr>
          <w:rFonts w:ascii="Arial" w:cs="Arial" w:eastAsia="Arial" w:hAnsi="Arial"/>
          <w:sz w:val="19"/>
          <w:szCs w:val="19"/>
          <w:color w:val="auto"/>
        </w:rPr>
        <w:t>It is not the Company’s desire to discourage or limit the freedom of Company personnel to engage in and maintain those outside activities and interests that do not interfere with the performance of their duties. It is only when there is a possible conflict of interest that the Company is concerned. Where a conflict or potential conflict does develop, the person should disclose promptly and fully to the Company (see paragraph D for reporting requirements) all pertinent facts so that the Company can assess the situation and take appropriate action, which may include disqualifying the person from participating in a particular transaction, requiring the person to terminate the outside interest or other action. Failure to disclose an actual or potential conflict of interest may result in disciplinary action, up to and including an unpaid suspension or termination of the individual’s employment or relationship with the Company.</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31"/>
          <w:szCs w:val="31"/>
          <w:b w:val="1"/>
          <w:bCs w:val="1"/>
          <w:color w:val="33598A"/>
        </w:rPr>
        <w:t>B. Improper Payments and Accounting Records</w:t>
      </w:r>
    </w:p>
    <w:p>
      <w:pPr>
        <w:spacing w:after="0" w:line="252" w:lineRule="exact"/>
        <w:rPr>
          <w:sz w:val="20"/>
          <w:szCs w:val="20"/>
          <w:color w:val="auto"/>
        </w:rPr>
      </w:pPr>
    </w:p>
    <w:p>
      <w:pPr>
        <w:ind w:left="4" w:right="220"/>
        <w:spacing w:after="0" w:line="250" w:lineRule="auto"/>
        <w:rPr>
          <w:sz w:val="20"/>
          <w:szCs w:val="20"/>
          <w:color w:val="auto"/>
        </w:rPr>
      </w:pPr>
      <w:r>
        <w:rPr>
          <w:rFonts w:ascii="Arial" w:cs="Arial" w:eastAsia="Arial" w:hAnsi="Arial"/>
          <w:sz w:val="20"/>
          <w:szCs w:val="20"/>
          <w:color w:val="auto"/>
        </w:rPr>
        <w:t>The Company has a strict policy against making or maintaining any improper, disguised or questionable payments, accounting records, or financial reports of any kind. In addition to the Company's policy, there are numerous laws that may impose civil and criminal penalties for such acts not only upon the Company but upon the individuals concerned as well.</w:t>
      </w:r>
    </w:p>
    <w:p>
      <w:pPr>
        <w:spacing w:after="0" w:line="105" w:lineRule="exact"/>
        <w:rPr>
          <w:sz w:val="20"/>
          <w:szCs w:val="20"/>
          <w:color w:val="auto"/>
        </w:rPr>
      </w:pPr>
    </w:p>
    <w:p>
      <w:pPr>
        <w:ind w:left="4"/>
        <w:spacing w:after="0"/>
        <w:rPr>
          <w:sz w:val="20"/>
          <w:szCs w:val="20"/>
          <w:color w:val="auto"/>
        </w:rPr>
      </w:pPr>
      <w:r>
        <w:rPr>
          <w:rFonts w:ascii="Arial" w:cs="Arial" w:eastAsia="Arial" w:hAnsi="Arial"/>
          <w:sz w:val="20"/>
          <w:szCs w:val="20"/>
          <w:color w:val="auto"/>
        </w:rPr>
        <w:t>Without limiting the scope of the foregoing statement, attention is specifically called to the following:</w:t>
      </w:r>
    </w:p>
    <w:p>
      <w:pPr>
        <w:spacing w:after="0" w:line="135" w:lineRule="exact"/>
        <w:rPr>
          <w:sz w:val="20"/>
          <w:szCs w:val="20"/>
          <w:color w:val="auto"/>
        </w:rPr>
      </w:pPr>
    </w:p>
    <w:p>
      <w:pPr>
        <w:ind w:left="624" w:right="260" w:hanging="327"/>
        <w:spacing w:after="0" w:line="260" w:lineRule="auto"/>
        <w:tabs>
          <w:tab w:leader="none" w:pos="6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use, directly or indirectly, of any funds or other assets of the Company or of any subsidiary for any purpose which would be in violation of any applicable law or regulation or would otherwise be unlawful is strictly prohibited.</w:t>
      </w:r>
    </w:p>
    <w:p>
      <w:pPr>
        <w:spacing w:after="0" w:line="14" w:lineRule="exact"/>
        <w:rPr>
          <w:rFonts w:ascii="Arial" w:cs="Arial" w:eastAsia="Arial" w:hAnsi="Arial"/>
          <w:sz w:val="20"/>
          <w:szCs w:val="20"/>
          <w:color w:val="auto"/>
        </w:rPr>
      </w:pPr>
    </w:p>
    <w:p>
      <w:pPr>
        <w:ind w:left="624" w:right="80" w:hanging="327"/>
        <w:spacing w:after="0" w:line="243" w:lineRule="auto"/>
        <w:tabs>
          <w:tab w:leader="none" w:pos="6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Even though lawful, the use, directly or indirectly, of any funds or other assets of the Company or any subsidiary for political contributions of any kind or in any form (whether cash, other property services or the furnishing of facilities), or the establishment or administration by the Company or any subsidiary of any committee or other organization for the raising or making of political contributions, is generally prohibited, whether within or without the United States. In jurisdictions where political contributions are lawful, exceptions to the prohibition may be authorized in rare cases and in limited amounts only in writing by one of the officers of the Company.</w:t>
      </w:r>
    </w:p>
    <w:p>
      <w:pPr>
        <w:spacing w:after="0" w:line="20" w:lineRule="exact"/>
        <w:rPr>
          <w:rFonts w:ascii="Arial" w:cs="Arial" w:eastAsia="Arial" w:hAnsi="Arial"/>
          <w:sz w:val="20"/>
          <w:szCs w:val="20"/>
          <w:color w:val="auto"/>
        </w:rPr>
      </w:pPr>
    </w:p>
    <w:p>
      <w:pPr>
        <w:ind w:left="624" w:right="660" w:hanging="327"/>
        <w:spacing w:after="0" w:line="267" w:lineRule="auto"/>
        <w:tabs>
          <w:tab w:leader="none" w:pos="6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undisclosed or unrecorded bank account or other fund or asset of the Company or of any subsidiary shall be established or maintained for any purpose.</w:t>
      </w:r>
    </w:p>
    <w:p>
      <w:pPr>
        <w:spacing w:after="0" w:line="1" w:lineRule="exact"/>
        <w:rPr>
          <w:rFonts w:ascii="Arial" w:cs="Arial" w:eastAsia="Arial" w:hAnsi="Arial"/>
          <w:sz w:val="20"/>
          <w:szCs w:val="20"/>
          <w:color w:val="auto"/>
        </w:rPr>
      </w:pPr>
    </w:p>
    <w:p>
      <w:pPr>
        <w:ind w:left="624" w:right="120" w:hanging="327"/>
        <w:spacing w:after="0" w:line="267" w:lineRule="auto"/>
        <w:tabs>
          <w:tab w:leader="none" w:pos="6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All funds and assets of the Company and its subsidiaries shall be fully and properly recorded in the appropriate books and records of the Company and its subsidiaries.</w:t>
      </w:r>
    </w:p>
    <w:p>
      <w:pPr>
        <w:spacing w:after="0" w:line="1" w:lineRule="exact"/>
        <w:rPr>
          <w:rFonts w:ascii="Arial" w:cs="Arial" w:eastAsia="Arial" w:hAnsi="Arial"/>
          <w:sz w:val="20"/>
          <w:szCs w:val="20"/>
          <w:color w:val="auto"/>
        </w:rPr>
      </w:pPr>
    </w:p>
    <w:p>
      <w:pPr>
        <w:ind w:left="624" w:right="60" w:hanging="327"/>
        <w:spacing w:after="0" w:line="258" w:lineRule="auto"/>
        <w:tabs>
          <w:tab w:leader="none" w:pos="6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false, misleading or artificial entries shall be made or permitted for any reason in the books and records of the Company or of any subsidiary. All transactions shall be appropriately authorized, evidenced by proper supporting documentation and recorded in accordance with generally accepted accounting practices.</w:t>
      </w:r>
    </w:p>
    <w:p>
      <w:pPr>
        <w:spacing w:after="0" w:line="1" w:lineRule="exact"/>
        <w:rPr>
          <w:rFonts w:ascii="Arial" w:cs="Arial" w:eastAsia="Arial" w:hAnsi="Arial"/>
          <w:sz w:val="20"/>
          <w:szCs w:val="20"/>
          <w:color w:val="auto"/>
        </w:rPr>
      </w:pPr>
    </w:p>
    <w:p>
      <w:pPr>
        <w:ind w:left="624" w:right="120" w:hanging="327"/>
        <w:spacing w:after="0" w:line="248" w:lineRule="auto"/>
        <w:tabs>
          <w:tab w:leader="none" w:pos="6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transaction shall be effected and no payment shall be made on behalf of the Company or any of its subsidiaries with the intention or understanding that any part of the transaction or payment is effected or made for any purpose other than as described in the supporting documents and as described in the books and records of the Company.</w:t>
      </w:r>
    </w:p>
    <w:p>
      <w:pPr>
        <w:spacing w:after="0" w:line="2" w:lineRule="exact"/>
        <w:rPr>
          <w:rFonts w:ascii="Arial" w:cs="Arial" w:eastAsia="Arial" w:hAnsi="Arial"/>
          <w:sz w:val="20"/>
          <w:szCs w:val="20"/>
          <w:color w:val="auto"/>
        </w:rPr>
      </w:pPr>
    </w:p>
    <w:p>
      <w:pPr>
        <w:ind w:left="624" w:hanging="327"/>
        <w:spacing w:after="0"/>
        <w:tabs>
          <w:tab w:leader="none" w:pos="6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All payments shall be made in accordance with prevailing exchange control and tax regulations.</w:t>
      </w:r>
    </w:p>
    <w:p>
      <w:pPr>
        <w:spacing w:after="0" w:line="26" w:lineRule="exact"/>
        <w:rPr>
          <w:rFonts w:ascii="Arial" w:cs="Arial" w:eastAsia="Arial" w:hAnsi="Arial"/>
          <w:sz w:val="20"/>
          <w:szCs w:val="20"/>
          <w:color w:val="auto"/>
        </w:rPr>
      </w:pPr>
    </w:p>
    <w:p>
      <w:pPr>
        <w:ind w:left="624" w:right="480" w:hanging="327"/>
        <w:spacing w:after="0" w:line="260" w:lineRule="auto"/>
        <w:tabs>
          <w:tab w:leader="none" w:pos="6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bribes, kickbacks, payoffs or other illegal or improper payments shall be made to commercial customers or suppliers or their intermediaries or to governmental officials for any purpose.</w:t>
      </w:r>
    </w:p>
    <w:p>
      <w:pPr>
        <w:sectPr>
          <w:pgSz w:w="11900" w:h="16838" w:orient="portrait"/>
          <w:cols w:equalWidth="0" w:num="1">
            <w:col w:w="11244"/>
          </w:cols>
          <w:pgMar w:left="356" w:top="1284" w:right="299" w:bottom="1440" w:gutter="0" w:footer="0" w:header="0"/>
        </w:sectPr>
      </w:pPr>
    </w:p>
    <w:bookmarkStart w:id="38" w:name="page39"/>
    <w:bookmarkEnd w:id="38"/>
    <w:p>
      <w:pPr>
        <w:ind w:left="740" w:right="300" w:hanging="327"/>
        <w:spacing w:after="0" w:line="253"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523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089015" cy="523240"/>
                    </a:xfrm>
                    <a:prstGeom prst="rect">
                      <a:avLst/>
                    </a:prstGeom>
                    <a:noFill/>
                  </pic:spPr>
                </pic:pic>
              </a:graphicData>
            </a:graphic>
          </wp:anchor>
        </w:drawing>
        <w:t>No individual may enter or sign a transaction, contract order or Statement of Work, or approve an invoice, unless authorized in the Delegation of Authority, which is posted on the Company’s Intranet.</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33598A"/>
        </w:rPr>
        <w:t>C. Improper Use and Disclosure of Confidential Information</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is one of our most valuable corporate assets, and open and effective dissemination of information is critical to our success.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However, much of our Company’s business information is confidential or proprietary.</w:t>
      </w:r>
    </w:p>
    <w:p>
      <w:pPr>
        <w:spacing w:after="0" w:line="92" w:lineRule="exact"/>
        <w:rPr>
          <w:sz w:val="20"/>
          <w:szCs w:val="20"/>
          <w:color w:val="auto"/>
        </w:rPr>
      </w:pPr>
    </w:p>
    <w:p>
      <w:pPr>
        <w:ind w:left="120" w:right="40"/>
        <w:spacing w:after="0" w:line="244" w:lineRule="auto"/>
        <w:rPr>
          <w:sz w:val="20"/>
          <w:szCs w:val="20"/>
          <w:color w:val="auto"/>
        </w:rPr>
      </w:pPr>
      <w:r>
        <w:rPr>
          <w:rFonts w:ascii="Arial" w:cs="Arial" w:eastAsia="Arial" w:hAnsi="Arial"/>
          <w:sz w:val="20"/>
          <w:szCs w:val="20"/>
          <w:color w:val="auto"/>
        </w:rPr>
        <w:t>It is also our Company’s policy that all employees must treat what they learn about our employees, customers and suppliers and each of their businesses as confidential information. The protection of such information is of the highest importance and must be discharged with the greatest care for the Company to merit the continued confidence of such persons. Confidential information is information a company would consider private, which is not common knowledge outside of that company and which an employee of the Company has learned as a result of his or her employment by the Company.</w:t>
      </w:r>
    </w:p>
    <w:p>
      <w:pPr>
        <w:spacing w:after="0" w:line="87" w:lineRule="exact"/>
        <w:rPr>
          <w:sz w:val="20"/>
          <w:szCs w:val="20"/>
          <w:color w:val="auto"/>
        </w:rPr>
      </w:pPr>
    </w:p>
    <w:p>
      <w:pPr>
        <w:ind w:left="120" w:right="240"/>
        <w:spacing w:after="0" w:line="250" w:lineRule="auto"/>
        <w:rPr>
          <w:sz w:val="20"/>
          <w:szCs w:val="20"/>
          <w:color w:val="auto"/>
        </w:rPr>
      </w:pPr>
      <w:r>
        <w:rPr>
          <w:rFonts w:ascii="Arial" w:cs="Arial" w:eastAsia="Arial" w:hAnsi="Arial"/>
          <w:sz w:val="20"/>
          <w:szCs w:val="20"/>
          <w:color w:val="auto"/>
        </w:rPr>
        <w:t>During the term of their employment and thereafter, employees of the Company are prohibited, except as required by law or as specifically authorized by the Company’s Corporate Compliance Officer, from disclosing, directly or indirectly, to anyone outside the Company, confidential information concerning the Company. Examples of such information include:</w:t>
      </w:r>
    </w:p>
    <w:p>
      <w:pPr>
        <w:spacing w:after="0" w:line="105" w:lineRule="exact"/>
        <w:rPr>
          <w:sz w:val="20"/>
          <w:szCs w:val="20"/>
          <w:color w:val="auto"/>
        </w:rPr>
      </w:pPr>
    </w:p>
    <w:p>
      <w:pPr>
        <w:ind w:left="740" w:hanging="327"/>
        <w:spacing w:after="0"/>
        <w:tabs>
          <w:tab w:leader="none" w:pos="740" w:val="left"/>
        </w:tabs>
        <w:numPr>
          <w:ilvl w:val="1"/>
          <w:numId w:val="21"/>
        </w:numPr>
        <w:rPr>
          <w:rFonts w:ascii="Arial" w:cs="Arial" w:eastAsia="Arial" w:hAnsi="Arial"/>
          <w:sz w:val="20"/>
          <w:szCs w:val="20"/>
          <w:color w:val="auto"/>
        </w:rPr>
      </w:pPr>
      <w:r>
        <w:rPr>
          <w:rFonts w:ascii="Arial" w:cs="Arial" w:eastAsia="Arial" w:hAnsi="Arial"/>
          <w:sz w:val="20"/>
          <w:szCs w:val="20"/>
          <w:color w:val="auto"/>
        </w:rPr>
        <w:t>Financial data (operating results, capital plans and expenditures, budget, etc.);</w:t>
      </w:r>
    </w:p>
    <w:p>
      <w:pPr>
        <w:spacing w:after="0" w:line="26" w:lineRule="exact"/>
        <w:rPr>
          <w:rFonts w:ascii="Arial" w:cs="Arial" w:eastAsia="Arial" w:hAnsi="Arial"/>
          <w:sz w:val="20"/>
          <w:szCs w:val="20"/>
          <w:color w:val="auto"/>
        </w:rPr>
      </w:pPr>
    </w:p>
    <w:p>
      <w:pPr>
        <w:ind w:left="740" w:hanging="327"/>
        <w:spacing w:after="0"/>
        <w:tabs>
          <w:tab w:leader="none" w:pos="740" w:val="left"/>
        </w:tabs>
        <w:numPr>
          <w:ilvl w:val="1"/>
          <w:numId w:val="21"/>
        </w:numPr>
        <w:rPr>
          <w:rFonts w:ascii="Arial" w:cs="Arial" w:eastAsia="Arial" w:hAnsi="Arial"/>
          <w:sz w:val="20"/>
          <w:szCs w:val="20"/>
          <w:color w:val="auto"/>
        </w:rPr>
      </w:pPr>
      <w:r>
        <w:rPr>
          <w:rFonts w:ascii="Arial" w:cs="Arial" w:eastAsia="Arial" w:hAnsi="Arial"/>
          <w:sz w:val="20"/>
          <w:szCs w:val="20"/>
          <w:color w:val="auto"/>
        </w:rPr>
        <w:t>Business forecasts and financial analyses;</w:t>
      </w:r>
    </w:p>
    <w:p>
      <w:pPr>
        <w:spacing w:after="0" w:line="26" w:lineRule="exact"/>
        <w:rPr>
          <w:rFonts w:ascii="Arial" w:cs="Arial" w:eastAsia="Arial" w:hAnsi="Arial"/>
          <w:sz w:val="20"/>
          <w:szCs w:val="20"/>
          <w:color w:val="auto"/>
        </w:rPr>
      </w:pPr>
    </w:p>
    <w:p>
      <w:pPr>
        <w:ind w:left="740" w:hanging="327"/>
        <w:spacing w:after="0"/>
        <w:tabs>
          <w:tab w:leader="none" w:pos="74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Development plans and strategies;</w:t>
      </w:r>
    </w:p>
    <w:p>
      <w:pPr>
        <w:spacing w:after="0" w:line="26" w:lineRule="exact"/>
        <w:rPr>
          <w:rFonts w:ascii="Arial" w:cs="Arial" w:eastAsia="Arial" w:hAnsi="Arial"/>
          <w:sz w:val="20"/>
          <w:szCs w:val="20"/>
          <w:color w:val="auto"/>
        </w:rPr>
      </w:pPr>
    </w:p>
    <w:p>
      <w:pPr>
        <w:ind w:left="740" w:hanging="327"/>
        <w:spacing w:after="0"/>
        <w:tabs>
          <w:tab w:leader="none" w:pos="740" w:val="left"/>
        </w:tabs>
        <w:numPr>
          <w:ilvl w:val="1"/>
          <w:numId w:val="21"/>
        </w:numPr>
        <w:rPr>
          <w:rFonts w:ascii="Arial" w:cs="Arial" w:eastAsia="Arial" w:hAnsi="Arial"/>
          <w:sz w:val="20"/>
          <w:szCs w:val="20"/>
          <w:color w:val="auto"/>
        </w:rPr>
      </w:pPr>
      <w:r>
        <w:rPr>
          <w:rFonts w:ascii="Arial" w:cs="Arial" w:eastAsia="Arial" w:hAnsi="Arial"/>
          <w:sz w:val="20"/>
          <w:szCs w:val="20"/>
          <w:color w:val="auto"/>
        </w:rPr>
        <w:t>Business programs, policies, plans, manuals, strategies and methods of operations;</w:t>
      </w:r>
    </w:p>
    <w:p>
      <w:pPr>
        <w:spacing w:after="0" w:line="40" w:lineRule="exact"/>
        <w:rPr>
          <w:rFonts w:ascii="Arial" w:cs="Arial" w:eastAsia="Arial" w:hAnsi="Arial"/>
          <w:sz w:val="20"/>
          <w:szCs w:val="20"/>
          <w:color w:val="auto"/>
        </w:rPr>
      </w:pPr>
    </w:p>
    <w:p>
      <w:pPr>
        <w:ind w:left="740" w:hanging="327"/>
        <w:spacing w:after="0"/>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Customer and supplier lists and identity of outside consultants as well as customer identities and other basic customer information;</w:t>
      </w:r>
    </w:p>
    <w:p>
      <w:pPr>
        <w:spacing w:after="0" w:line="49" w:lineRule="exact"/>
        <w:rPr>
          <w:rFonts w:ascii="Arial" w:cs="Arial" w:eastAsia="Arial" w:hAnsi="Arial"/>
          <w:sz w:val="18"/>
          <w:szCs w:val="18"/>
          <w:color w:val="auto"/>
        </w:rPr>
      </w:pPr>
    </w:p>
    <w:p>
      <w:pPr>
        <w:ind w:left="740" w:hanging="327"/>
        <w:spacing w:after="0"/>
        <w:tabs>
          <w:tab w:leader="none" w:pos="740" w:val="left"/>
        </w:tabs>
        <w:numPr>
          <w:ilvl w:val="1"/>
          <w:numId w:val="21"/>
        </w:numPr>
        <w:rPr>
          <w:rFonts w:ascii="Arial" w:cs="Arial" w:eastAsia="Arial" w:hAnsi="Arial"/>
          <w:sz w:val="20"/>
          <w:szCs w:val="20"/>
          <w:color w:val="auto"/>
        </w:rPr>
      </w:pPr>
      <w:r>
        <w:rPr>
          <w:rFonts w:ascii="Arial" w:cs="Arial" w:eastAsia="Arial" w:hAnsi="Arial"/>
          <w:sz w:val="20"/>
          <w:szCs w:val="20"/>
          <w:color w:val="auto"/>
        </w:rPr>
        <w:t>Information obtained during the course of employment about another company, supplier or customer;</w:t>
      </w:r>
    </w:p>
    <w:p>
      <w:pPr>
        <w:spacing w:after="0" w:line="26" w:lineRule="exact"/>
        <w:rPr>
          <w:rFonts w:ascii="Arial" w:cs="Arial" w:eastAsia="Arial" w:hAnsi="Arial"/>
          <w:sz w:val="20"/>
          <w:szCs w:val="20"/>
          <w:color w:val="auto"/>
        </w:rPr>
      </w:pPr>
    </w:p>
    <w:p>
      <w:pPr>
        <w:ind w:left="720" w:hanging="307"/>
        <w:spacing w:after="0"/>
        <w:tabs>
          <w:tab w:leader="none" w:pos="720" w:val="left"/>
        </w:tabs>
        <w:numPr>
          <w:ilvl w:val="1"/>
          <w:numId w:val="21"/>
        </w:numPr>
        <w:rPr>
          <w:rFonts w:ascii="Arial" w:cs="Arial" w:eastAsia="Arial" w:hAnsi="Arial"/>
          <w:sz w:val="20"/>
          <w:szCs w:val="20"/>
          <w:color w:val="auto"/>
        </w:rPr>
      </w:pPr>
      <w:r>
        <w:rPr>
          <w:rFonts w:ascii="Arial" w:cs="Arial" w:eastAsia="Arial" w:hAnsi="Arial"/>
          <w:sz w:val="20"/>
          <w:szCs w:val="20"/>
          <w:color w:val="auto"/>
        </w:rPr>
        <w:t>Marketing and advertising plans, programs, strategies, analyses and research;</w:t>
      </w:r>
    </w:p>
    <w:p>
      <w:pPr>
        <w:spacing w:after="0" w:line="26" w:lineRule="exact"/>
        <w:rPr>
          <w:rFonts w:ascii="Arial" w:cs="Arial" w:eastAsia="Arial" w:hAnsi="Arial"/>
          <w:sz w:val="20"/>
          <w:szCs w:val="20"/>
          <w:color w:val="auto"/>
        </w:rPr>
      </w:pPr>
    </w:p>
    <w:p>
      <w:pPr>
        <w:ind w:left="720" w:hanging="307"/>
        <w:spacing w:after="0"/>
        <w:tabs>
          <w:tab w:leader="none" w:pos="720" w:val="left"/>
        </w:tabs>
        <w:numPr>
          <w:ilvl w:val="1"/>
          <w:numId w:val="21"/>
        </w:numPr>
        <w:rPr>
          <w:rFonts w:ascii="Arial" w:cs="Arial" w:eastAsia="Arial" w:hAnsi="Arial"/>
          <w:sz w:val="20"/>
          <w:szCs w:val="20"/>
          <w:color w:val="auto"/>
        </w:rPr>
      </w:pPr>
      <w:r>
        <w:rPr>
          <w:rFonts w:ascii="Arial" w:cs="Arial" w:eastAsia="Arial" w:hAnsi="Arial"/>
          <w:sz w:val="20"/>
          <w:szCs w:val="20"/>
          <w:color w:val="auto"/>
        </w:rPr>
        <w:t>Pricing and product programs, plans, strategies, analyses and research.</w:t>
      </w:r>
    </w:p>
    <w:p>
      <w:pPr>
        <w:spacing w:after="0" w:line="255" w:lineRule="exact"/>
        <w:rPr>
          <w:rFonts w:ascii="Arial" w:cs="Arial" w:eastAsia="Arial" w:hAnsi="Arial"/>
          <w:sz w:val="20"/>
          <w:szCs w:val="20"/>
          <w:color w:val="auto"/>
        </w:rPr>
      </w:pPr>
    </w:p>
    <w:p>
      <w:pPr>
        <w:ind w:left="500" w:hanging="384"/>
        <w:spacing w:after="0"/>
        <w:tabs>
          <w:tab w:leader="none" w:pos="500" w:val="left"/>
        </w:tabs>
        <w:numPr>
          <w:ilvl w:val="0"/>
          <w:numId w:val="22"/>
        </w:numPr>
        <w:rPr>
          <w:rFonts w:ascii="Arial" w:cs="Arial" w:eastAsia="Arial" w:hAnsi="Arial"/>
          <w:sz w:val="31"/>
          <w:szCs w:val="31"/>
          <w:b w:val="1"/>
          <w:bCs w:val="1"/>
          <w:color w:val="33598A"/>
        </w:rPr>
      </w:pPr>
      <w:r>
        <w:rPr>
          <w:rFonts w:ascii="Arial" w:cs="Arial" w:eastAsia="Arial" w:hAnsi="Arial"/>
          <w:sz w:val="31"/>
          <w:szCs w:val="31"/>
          <w:b w:val="1"/>
          <w:bCs w:val="1"/>
          <w:color w:val="33598A"/>
        </w:rPr>
        <w:t>Reporting Requirements</w:t>
      </w:r>
    </w:p>
    <w:p>
      <w:pPr>
        <w:spacing w:after="0" w:line="293" w:lineRule="exact"/>
        <w:rPr>
          <w:sz w:val="20"/>
          <w:szCs w:val="20"/>
          <w:color w:val="auto"/>
        </w:rPr>
      </w:pPr>
    </w:p>
    <w:p>
      <w:pPr>
        <w:ind w:left="120"/>
        <w:spacing w:after="0" w:line="242" w:lineRule="auto"/>
        <w:rPr>
          <w:sz w:val="20"/>
          <w:szCs w:val="20"/>
          <w:color w:val="auto"/>
        </w:rPr>
      </w:pPr>
      <w:r>
        <w:rPr>
          <w:rFonts w:ascii="Arial" w:cs="Arial" w:eastAsia="Arial" w:hAnsi="Arial"/>
          <w:sz w:val="20"/>
          <w:szCs w:val="20"/>
          <w:color w:val="auto"/>
        </w:rPr>
        <w:t>As part of its commitment to ethical and legal conduct, the Company expects its employees to bring to the attention of Company management and to Corporate Compliance Officer, William J. Burns or any of the people Corporate Compliance Officer designates, information about suspected violations of the Business Ethics Policy or of law by any Company employee or agent. Employees are required to come forward with any such information, without regard to the identity or position of the suspected offender. The Company will treat the information in a confidential manner (consistent with appropriate evaluation and investigation) and will seek to ensure that no acts of retribution or retaliation will be taken against anyone for making a report. Because failure to report criminal activity can itself be understood to condone the crime, we emphasize the importance of reporting. Failure to report knowledge of wrongdoing may result in disciplinary action against those who fail to report.</w:t>
      </w:r>
    </w:p>
    <w:p>
      <w:pPr>
        <w:spacing w:after="0" w:line="90" w:lineRule="exact"/>
        <w:rPr>
          <w:sz w:val="20"/>
          <w:szCs w:val="20"/>
          <w:color w:val="auto"/>
        </w:rPr>
      </w:pPr>
    </w:p>
    <w:p>
      <w:pPr>
        <w:ind w:left="120" w:right="700"/>
        <w:spacing w:after="0" w:line="247" w:lineRule="auto"/>
        <w:rPr>
          <w:sz w:val="20"/>
          <w:szCs w:val="20"/>
          <w:color w:val="auto"/>
        </w:rPr>
      </w:pPr>
      <w:r>
        <w:rPr>
          <w:rFonts w:ascii="Arial" w:cs="Arial" w:eastAsia="Arial" w:hAnsi="Arial"/>
          <w:sz w:val="20"/>
          <w:szCs w:val="20"/>
          <w:color w:val="auto"/>
        </w:rPr>
        <w:t xml:space="preserve">Information about known or suspected violations by an employee or agent should be reported promptly to a member of management, Corporate Compliance Officer or the CCH </w:t>
      </w:r>
      <w:r>
        <w:rPr>
          <w:rFonts w:ascii="Arial" w:cs="Arial" w:eastAsia="Arial" w:hAnsi="Arial"/>
          <w:sz w:val="20"/>
          <w:szCs w:val="20"/>
          <w:b w:val="1"/>
          <w:bCs w:val="1"/>
          <w:color w:val="auto"/>
        </w:rPr>
        <w:t>Fraud/Compliance Hotline, call (800) 354-7197</w:t>
      </w:r>
      <w:r>
        <w:rPr>
          <w:rFonts w:ascii="Arial" w:cs="Arial" w:eastAsia="Arial" w:hAnsi="Arial"/>
          <w:sz w:val="20"/>
          <w:szCs w:val="20"/>
          <w:color w:val="auto"/>
        </w:rPr>
        <w:t>.</w:t>
      </w:r>
    </w:p>
    <w:p>
      <w:pPr>
        <w:spacing w:after="0" w:line="2" w:lineRule="exact"/>
        <w:rPr>
          <w:sz w:val="20"/>
          <w:szCs w:val="20"/>
          <w:color w:val="auto"/>
        </w:rPr>
      </w:pPr>
    </w:p>
    <w:p>
      <w:pPr>
        <w:ind w:left="120" w:right="260"/>
        <w:spacing w:after="0" w:line="298" w:lineRule="auto"/>
        <w:rPr>
          <w:sz w:val="20"/>
          <w:szCs w:val="20"/>
          <w:color w:val="auto"/>
        </w:rPr>
      </w:pPr>
      <w:r>
        <w:rPr>
          <w:rFonts w:ascii="Arial" w:cs="Arial" w:eastAsia="Arial" w:hAnsi="Arial"/>
          <w:sz w:val="18"/>
          <w:szCs w:val="18"/>
          <w:color w:val="auto"/>
        </w:rPr>
        <w:t>Whenever practical, an employee should do so in writing. Reports of violations will be investigated under Corporate Compliance Officer’s supervision, as he or she finds appropriate. Employees are expected to cooperate in the investigation of reported violations.</w:t>
      </w:r>
    </w:p>
    <w:p>
      <w:pPr>
        <w:sectPr>
          <w:pgSz w:w="11900" w:h="16838" w:orient="portrait"/>
          <w:cols w:equalWidth="0" w:num="1">
            <w:col w:w="11360"/>
          </w:cols>
          <w:pgMar w:left="240" w:top="1217" w:right="299" w:bottom="1440" w:gutter="0" w:footer="0" w:header="0"/>
        </w:sectPr>
      </w:pPr>
    </w:p>
    <w:bookmarkStart w:id="39" w:name="page40"/>
    <w:bookmarkEnd w:id="39"/>
    <w:p>
      <w:pPr>
        <w:ind w:left="40" w:right="40"/>
        <w:spacing w:after="0" w:line="24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523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089015" cy="523240"/>
                    </a:xfrm>
                    <a:prstGeom prst="rect">
                      <a:avLst/>
                    </a:prstGeom>
                    <a:noFill/>
                  </pic:spPr>
                </pic:pic>
              </a:graphicData>
            </a:graphic>
          </wp:anchor>
        </w:drawing>
        <w:t>The Corporate Compliance Officer will not, to the extent practical and appropriate under the circumstances, disclose the identity of anyone who reports a suspected violation or who participates in the investigation. Employees should be aware that the Corporate Compliance Officer, and those assisting him or her, are obligated to act in the best interests of the Company, and do not act as a personal representative or lawyer for employees.</w:t>
      </w:r>
    </w:p>
    <w:p>
      <w:pPr>
        <w:spacing w:after="0" w:line="56" w:lineRule="exact"/>
        <w:rPr>
          <w:sz w:val="20"/>
          <w:szCs w:val="20"/>
          <w:color w:val="auto"/>
        </w:rPr>
      </w:pPr>
    </w:p>
    <w:p>
      <w:pPr>
        <w:ind w:left="40" w:right="40"/>
        <w:spacing w:after="0" w:line="260" w:lineRule="auto"/>
        <w:rPr>
          <w:sz w:val="20"/>
          <w:szCs w:val="20"/>
          <w:color w:val="auto"/>
        </w:rPr>
      </w:pPr>
      <w:r>
        <w:rPr>
          <w:rFonts w:ascii="Arial" w:cs="Arial" w:eastAsia="Arial" w:hAnsi="Arial"/>
          <w:sz w:val="20"/>
          <w:szCs w:val="20"/>
          <w:color w:val="auto"/>
        </w:rPr>
        <w:t>If you have any questions at any time concerning the foregoing, we suggest that you discuss them with your supervisor or a person designated by the head of the division or subsidiary in which you are employed.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Please note, to report compliance violations anonymously to the CCH </w:t>
      </w:r>
      <w:r>
        <w:rPr>
          <w:rFonts w:ascii="Arial" w:cs="Arial" w:eastAsia="Arial" w:hAnsi="Arial"/>
          <w:sz w:val="20"/>
          <w:szCs w:val="20"/>
          <w:b w:val="1"/>
          <w:bCs w:val="1"/>
          <w:color w:val="auto"/>
        </w:rPr>
        <w:t>Fraud/Compliance Hotline, call (800) 354- 7197.</w:t>
      </w:r>
    </w:p>
    <w:p>
      <w:pPr>
        <w:spacing w:after="0" w:line="261" w:lineRule="exact"/>
        <w:rPr>
          <w:sz w:val="20"/>
          <w:szCs w:val="20"/>
          <w:color w:val="auto"/>
        </w:rPr>
      </w:pPr>
    </w:p>
    <w:p>
      <w:pPr>
        <w:spacing w:after="0"/>
        <w:rPr>
          <w:sz w:val="20"/>
          <w:szCs w:val="20"/>
          <w:color w:val="auto"/>
        </w:rPr>
      </w:pPr>
      <w:r>
        <w:rPr>
          <w:rFonts w:ascii="Arial" w:cs="Arial" w:eastAsia="Arial" w:hAnsi="Arial"/>
          <w:sz w:val="31"/>
          <w:szCs w:val="31"/>
          <w:b w:val="1"/>
          <w:bCs w:val="1"/>
          <w:color w:val="33598A"/>
        </w:rPr>
        <w:t>E. Vendors and Contractors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33598A"/>
        </w:rPr>
        <w:t>Purpose</w:t>
      </w:r>
    </w:p>
    <w:p>
      <w:pPr>
        <w:spacing w:after="0" w:line="253" w:lineRule="exact"/>
        <w:rPr>
          <w:sz w:val="20"/>
          <w:szCs w:val="20"/>
          <w:color w:val="auto"/>
        </w:rPr>
      </w:pPr>
    </w:p>
    <w:p>
      <w:pPr>
        <w:ind w:left="40" w:right="520"/>
        <w:spacing w:after="0" w:line="246" w:lineRule="auto"/>
        <w:rPr>
          <w:sz w:val="20"/>
          <w:szCs w:val="20"/>
          <w:color w:val="auto"/>
        </w:rPr>
      </w:pPr>
      <w:r>
        <w:rPr>
          <w:rFonts w:ascii="Arial" w:cs="Arial" w:eastAsia="Arial" w:hAnsi="Arial"/>
          <w:sz w:val="20"/>
          <w:szCs w:val="20"/>
          <w:color w:val="auto"/>
        </w:rPr>
        <w:t>CCH’s policy is that the conduct of employees and others who do business with or on behalf of CCH shall be based upon high ethical standards and in compliance with the law. This section covers a wide range of business practices and procedures that may be relevant to CCH’s vendors and contractors. This section is not intended to cover every issue that may arise, but it sets out basic principles to guide vendors and contractors in their dealings relating to CCH.</w:t>
      </w:r>
    </w:p>
    <w:p>
      <w:pPr>
        <w:spacing w:after="0" w:line="83" w:lineRule="exact"/>
        <w:rPr>
          <w:sz w:val="20"/>
          <w:szCs w:val="20"/>
          <w:color w:val="auto"/>
        </w:rPr>
      </w:pPr>
    </w:p>
    <w:p>
      <w:pPr>
        <w:ind w:left="40" w:right="80"/>
        <w:spacing w:after="0" w:line="246" w:lineRule="auto"/>
        <w:rPr>
          <w:sz w:val="20"/>
          <w:szCs w:val="20"/>
          <w:color w:val="auto"/>
        </w:rPr>
      </w:pPr>
      <w:r>
        <w:rPr>
          <w:rFonts w:ascii="Arial" w:cs="Arial" w:eastAsia="Arial" w:hAnsi="Arial"/>
          <w:sz w:val="20"/>
          <w:szCs w:val="20"/>
          <w:color w:val="auto"/>
        </w:rPr>
        <w:t xml:space="preserve">CCH is committed to being a responsible corporate citizen and so expects its vendors and contractors to comply with both the letter and spirit of CCH’s Business Ethics Policy and to avoid even the appearance of impropriety by its vendors and contractors and CCH’s employees. CCH’s Business Ethics Policy is available from CCH’s Human Resources Department or on its internet website at </w:t>
      </w:r>
      <w:r>
        <w:rPr>
          <w:rFonts w:ascii="Arial" w:cs="Arial" w:eastAsia="Arial" w:hAnsi="Arial"/>
          <w:sz w:val="20"/>
          <w:szCs w:val="20"/>
          <w:u w:val="single" w:color="auto"/>
          <w:color w:val="4E81BD"/>
        </w:rPr>
        <w:t>http://ir.crosscountryhealthcare.com/corporate-governance.cfm</w:t>
      </w:r>
      <w:r>
        <w:rPr>
          <w:rFonts w:ascii="Arial" w:cs="Arial" w:eastAsia="Arial" w:hAnsi="Arial"/>
          <w:sz w:val="20"/>
          <w:szCs w:val="20"/>
          <w:color w:val="000000"/>
        </w:rPr>
        <w:t>.</w:t>
      </w:r>
    </w:p>
    <w:p>
      <w:pPr>
        <w:spacing w:after="0" w:line="83" w:lineRule="exact"/>
        <w:rPr>
          <w:sz w:val="20"/>
          <w:szCs w:val="20"/>
          <w:color w:val="auto"/>
        </w:rPr>
      </w:pPr>
    </w:p>
    <w:p>
      <w:pPr>
        <w:ind w:left="40"/>
        <w:spacing w:after="0" w:line="260" w:lineRule="auto"/>
        <w:rPr>
          <w:sz w:val="20"/>
          <w:szCs w:val="20"/>
          <w:color w:val="auto"/>
        </w:rPr>
      </w:pPr>
      <w:r>
        <w:rPr>
          <w:rFonts w:ascii="Arial" w:cs="Arial" w:eastAsia="Arial" w:hAnsi="Arial"/>
          <w:sz w:val="19"/>
          <w:szCs w:val="19"/>
          <w:color w:val="auto"/>
        </w:rPr>
        <w:t>Any vendor or contractor who violates the standards of the Business Ethics Policy will jeopardize their relationship with CCH, including possible termination of the relationship. If you become aware of a situation that you believe may violate CCH’s Business Ethics Policy, you should report your concerns immediately in accordance with the procedures described in Section 9 (Reporting Procedures) below. No adverse action will be taken against anyone for making a complaint or disclosing information in good faith, and anyone who retaliates against a person who in good faith reports any violation or suspected violation will be subject to disciplinary action.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Compliance with Laws, Rules and Regulations</w:t>
      </w:r>
    </w:p>
    <w:p>
      <w:pPr>
        <w:spacing w:after="0" w:line="235" w:lineRule="exact"/>
        <w:rPr>
          <w:sz w:val="20"/>
          <w:szCs w:val="20"/>
          <w:color w:val="auto"/>
        </w:rPr>
      </w:pPr>
    </w:p>
    <w:p>
      <w:pPr>
        <w:ind w:left="40" w:right="60"/>
        <w:spacing w:after="0" w:line="246" w:lineRule="auto"/>
        <w:rPr>
          <w:sz w:val="20"/>
          <w:szCs w:val="20"/>
          <w:color w:val="auto"/>
        </w:rPr>
      </w:pPr>
      <w:r>
        <w:rPr>
          <w:rFonts w:ascii="Arial" w:cs="Arial" w:eastAsia="Arial" w:hAnsi="Arial"/>
          <w:sz w:val="20"/>
          <w:szCs w:val="20"/>
          <w:color w:val="auto"/>
        </w:rPr>
        <w:t>Obeying the law, both in letter and in spirit, is the foundation on which CCH’s ethical standards are built. All CCH vendors and contractors must respect and obey the laws of the cities, counties and states which we operate. Although not everyone is expected to know the details of these laws, it is important to know enough to determine when to seek advice from vendors’ or contractors’ counsel and to inform CCH of any such matters.</w:t>
      </w:r>
    </w:p>
    <w:p>
      <w:pPr>
        <w:spacing w:after="0" w:line="83" w:lineRule="exact"/>
        <w:rPr>
          <w:sz w:val="20"/>
          <w:szCs w:val="20"/>
          <w:color w:val="auto"/>
        </w:rPr>
      </w:pPr>
    </w:p>
    <w:p>
      <w:pPr>
        <w:ind w:left="40" w:right="280"/>
        <w:spacing w:after="0" w:line="260" w:lineRule="auto"/>
        <w:rPr>
          <w:sz w:val="20"/>
          <w:szCs w:val="20"/>
          <w:color w:val="auto"/>
        </w:rPr>
      </w:pPr>
      <w:r>
        <w:rPr>
          <w:rFonts w:ascii="Arial" w:cs="Arial" w:eastAsia="Arial" w:hAnsi="Arial"/>
          <w:sz w:val="20"/>
          <w:szCs w:val="20"/>
          <w:color w:val="auto"/>
        </w:rPr>
        <w:t>If you are uncertain as to whether a course of action is in compliance with the law, you should ask for guidance from your legal advisors or contact.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Workplace Safety and Security</w:t>
      </w:r>
    </w:p>
    <w:p>
      <w:pPr>
        <w:spacing w:after="0" w:line="235" w:lineRule="exact"/>
        <w:rPr>
          <w:sz w:val="20"/>
          <w:szCs w:val="20"/>
          <w:color w:val="auto"/>
        </w:rPr>
      </w:pPr>
    </w:p>
    <w:p>
      <w:pPr>
        <w:ind w:left="40" w:right="200"/>
        <w:spacing w:after="0" w:line="250" w:lineRule="auto"/>
        <w:rPr>
          <w:sz w:val="20"/>
          <w:szCs w:val="20"/>
          <w:color w:val="auto"/>
        </w:rPr>
      </w:pPr>
      <w:r>
        <w:rPr>
          <w:rFonts w:ascii="Arial" w:cs="Arial" w:eastAsia="Arial" w:hAnsi="Arial"/>
          <w:sz w:val="20"/>
          <w:szCs w:val="20"/>
          <w:color w:val="auto"/>
        </w:rPr>
        <w:t>CCH strives to provide a safe and healthy work environment. Vendors and contractors working on CCH property have the responsibility for maintaining a safe and healthy workplace by following safety and health rules and practices and reporting accidents, injuries and unsafe equipment, practices or conditions to CCH’s Human Resource Department.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Vendors and contractors are required to report to the work site in condition to perform their duties, free from the influence of drugs or alcohol.</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use, possession or distribution of illegal or unauthorized drugs or alcohol on CCH time or on CCH premises will not be tolerated.</w:t>
      </w:r>
    </w:p>
    <w:p>
      <w:pPr>
        <w:sectPr>
          <w:pgSz w:w="11900" w:h="16838" w:orient="portrait"/>
          <w:cols w:equalWidth="0" w:num="1">
            <w:col w:w="11320"/>
          </w:cols>
          <w:pgMar w:left="320" w:top="1298" w:right="259" w:bottom="1440" w:gutter="0" w:footer="0" w:header="0"/>
        </w:sectPr>
      </w:pPr>
    </w:p>
    <w:bookmarkStart w:id="40" w:name="page41"/>
    <w:bookmarkEnd w:id="40"/>
    <w:p>
      <w:pPr>
        <w:ind w:left="40" w:right="180"/>
        <w:spacing w:after="0" w:line="31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089015" cy="523240"/>
                    </a:xfrm>
                    <a:prstGeom prst="rect">
                      <a:avLst/>
                    </a:prstGeom>
                    <a:noFill/>
                  </pic:spPr>
                </pic:pic>
              </a:graphicData>
            </a:graphic>
          </wp:anchor>
        </w:drawing>
        <w:t>Violence, threatening behavior and harassment are not permitted. Firearms and other weapons are strictly prohibited on CCH property or on the person of anyone while conducting CCH business, unless authorized in writing for special circumstances by CCH’s CEO.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Conflicts of Interest</w:t>
      </w:r>
    </w:p>
    <w:p>
      <w:pPr>
        <w:spacing w:after="0" w:line="222" w:lineRule="exact"/>
        <w:rPr>
          <w:sz w:val="20"/>
          <w:szCs w:val="20"/>
          <w:color w:val="auto"/>
        </w:rPr>
      </w:pPr>
    </w:p>
    <w:p>
      <w:pPr>
        <w:ind w:left="40"/>
        <w:spacing w:after="0" w:line="246" w:lineRule="auto"/>
        <w:rPr>
          <w:sz w:val="20"/>
          <w:szCs w:val="20"/>
          <w:color w:val="auto"/>
        </w:rPr>
      </w:pPr>
      <w:r>
        <w:rPr>
          <w:rFonts w:ascii="Arial" w:cs="Arial" w:eastAsia="Arial" w:hAnsi="Arial"/>
          <w:sz w:val="20"/>
          <w:szCs w:val="20"/>
          <w:color w:val="auto"/>
        </w:rPr>
        <w:t>Business decisions must be based solely on what is best for CCH and not improperly influenced by personal, family or other business interests. Vendors or contractors dealing with vendors on behalf of CCH are expected to avoid conflicts of interest that could be detrimental to CCH. In addition, vendors and contractors are expected to respect CCH’s conflicts of interest policy described here with respect to their dealings with CCH employees, so that CCH employees can remain in compliance.</w:t>
      </w:r>
    </w:p>
    <w:p>
      <w:pPr>
        <w:spacing w:after="0" w:line="83" w:lineRule="exact"/>
        <w:rPr>
          <w:sz w:val="20"/>
          <w:szCs w:val="20"/>
          <w:color w:val="auto"/>
        </w:rPr>
      </w:pPr>
    </w:p>
    <w:p>
      <w:pPr>
        <w:ind w:left="40"/>
        <w:spacing w:after="0" w:line="342" w:lineRule="auto"/>
        <w:rPr>
          <w:sz w:val="20"/>
          <w:szCs w:val="20"/>
          <w:color w:val="auto"/>
        </w:rPr>
      </w:pPr>
      <w:r>
        <w:rPr>
          <w:rFonts w:ascii="Arial" w:cs="Arial" w:eastAsia="Arial" w:hAnsi="Arial"/>
          <w:sz w:val="16"/>
          <w:szCs w:val="16"/>
          <w:color w:val="auto"/>
        </w:rPr>
        <w:t>A “conflict of interest” exists when a person’s private interest interferes in any way with the interests of CCH or makes it difficult for a person to perform his or her work for CCH objectively and effectively. Conflicts of interest may also arise when an employee, vendor/contractor, a member of his or her family or other business associates, receives personal benefits as a result of his or her position or relationship with CCH.</w:t>
      </w:r>
    </w:p>
    <w:p>
      <w:pPr>
        <w:spacing w:after="0" w:line="10" w:lineRule="exact"/>
        <w:rPr>
          <w:sz w:val="20"/>
          <w:szCs w:val="20"/>
          <w:color w:val="auto"/>
        </w:rPr>
      </w:pPr>
    </w:p>
    <w:p>
      <w:pPr>
        <w:ind w:left="40" w:right="20"/>
        <w:spacing w:after="0" w:line="291" w:lineRule="auto"/>
        <w:rPr>
          <w:sz w:val="20"/>
          <w:szCs w:val="20"/>
          <w:color w:val="auto"/>
        </w:rPr>
      </w:pPr>
      <w:r>
        <w:rPr>
          <w:rFonts w:ascii="Arial" w:cs="Arial" w:eastAsia="Arial" w:hAnsi="Arial"/>
          <w:sz w:val="18"/>
          <w:szCs w:val="18"/>
          <w:color w:val="auto"/>
        </w:rPr>
        <w:t>Conflicts of interest by CCH employees are prohibited unless disclosed and approved. Similarly, vendors or contractors dealing with a vendor on behalf of CCH must disclose potential conflicts with that vendor to their CCH contacts, so that arrangements can be made to avoid the conflicts. Actions or situations that might involve a conflict of interest, or the appearance of one, require disclosure and include the following:</w:t>
      </w:r>
    </w:p>
    <w:p>
      <w:pPr>
        <w:spacing w:after="0" w:line="57" w:lineRule="exact"/>
        <w:rPr>
          <w:sz w:val="20"/>
          <w:szCs w:val="20"/>
          <w:color w:val="auto"/>
        </w:rPr>
      </w:pPr>
    </w:p>
    <w:p>
      <w:pPr>
        <w:ind w:left="420" w:hanging="316"/>
        <w:spacing w:after="0"/>
        <w:tabs>
          <w:tab w:leader="none" w:pos="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Employee, vendor/contractor (or a family member or other business associate) working for a CCH vendor or contractor.</w:t>
      </w:r>
    </w:p>
    <w:p>
      <w:pPr>
        <w:spacing w:after="0" w:line="20" w:lineRule="exact"/>
        <w:rPr>
          <w:rFonts w:ascii="Arial" w:cs="Arial" w:eastAsia="Arial" w:hAnsi="Arial"/>
          <w:sz w:val="20"/>
          <w:szCs w:val="20"/>
          <w:color w:val="auto"/>
        </w:rPr>
      </w:pPr>
    </w:p>
    <w:p>
      <w:pPr>
        <w:ind w:left="420" w:hanging="3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vendor/contractor (or a family member or other business associate) holding a financial interest in a CCH vendor or contractor.</w:t>
      </w:r>
    </w:p>
    <w:p>
      <w:pPr>
        <w:spacing w:after="0" w:line="123" w:lineRule="exact"/>
        <w:rPr>
          <w:sz w:val="20"/>
          <w:szCs w:val="20"/>
          <w:color w:val="auto"/>
        </w:rPr>
      </w:pPr>
    </w:p>
    <w:p>
      <w:pPr>
        <w:ind w:left="40" w:right="40"/>
        <w:spacing w:after="0" w:line="245" w:lineRule="auto"/>
        <w:rPr>
          <w:sz w:val="20"/>
          <w:szCs w:val="20"/>
          <w:color w:val="auto"/>
        </w:rPr>
      </w:pPr>
      <w:r>
        <w:rPr>
          <w:rFonts w:ascii="Arial" w:cs="Arial" w:eastAsia="Arial" w:hAnsi="Arial"/>
          <w:sz w:val="20"/>
          <w:szCs w:val="20"/>
          <w:color w:val="auto"/>
        </w:rPr>
        <w:t>In addition, CCH’s employees and vendors/contractors may not solicit, accept or retain any gift, entertainment, trip, loan, discount, guarantee of an obligation, service, or other benefit from any organization or person doing business with CCH, other than (i) modest gifts or entertainment as part of normal business courtesy that would not influence, or reasonably appear to influence, an officer or employee to act in any manner not in the best interest of CCH subject or</w:t>
      </w:r>
    </w:p>
    <w:p>
      <w:pPr>
        <w:ind w:left="40"/>
        <w:spacing w:after="0"/>
        <w:rPr>
          <w:sz w:val="20"/>
          <w:szCs w:val="20"/>
          <w:color w:val="auto"/>
        </w:rPr>
      </w:pPr>
      <w:r>
        <w:rPr>
          <w:rFonts w:ascii="Arial" w:cs="Arial" w:eastAsia="Arial" w:hAnsi="Arial"/>
          <w:sz w:val="20"/>
          <w:szCs w:val="20"/>
          <w:color w:val="auto"/>
        </w:rPr>
        <w:t>(ii) a nominal benefit that has been disclosed and approved in accordance with this policy.</w:t>
      </w:r>
    </w:p>
    <w:p>
      <w:pPr>
        <w:spacing w:after="0" w:line="100" w:lineRule="exact"/>
        <w:rPr>
          <w:sz w:val="20"/>
          <w:szCs w:val="20"/>
          <w:color w:val="auto"/>
        </w:rPr>
      </w:pPr>
    </w:p>
    <w:p>
      <w:pPr>
        <w:ind w:left="40"/>
        <w:spacing w:after="0" w:line="246" w:lineRule="auto"/>
        <w:rPr>
          <w:sz w:val="20"/>
          <w:szCs w:val="20"/>
          <w:color w:val="auto"/>
        </w:rPr>
      </w:pPr>
      <w:r>
        <w:rPr>
          <w:rFonts w:ascii="Arial" w:cs="Arial" w:eastAsia="Arial" w:hAnsi="Arial"/>
          <w:sz w:val="20"/>
          <w:szCs w:val="20"/>
          <w:color w:val="auto"/>
        </w:rPr>
        <w:t>Notwithstanding anything in this policy to the contrary, vendors and contractors who offer gifts and entertainment with a value greater than $200 (cash or non-cash) to a CCH employee must obtain the pre-approval of such offer from CCH’s CFO or General Counsel. Likewise, no gifts or entertainment with a value greater than $200 (cash or non-cash) shall be offered by a CCH employee to a vendor or contractor without obtaining prior written approval from the Company’s CFO or General Counsel.</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Conflicts of interest may not always be clear-cut, so if you have a question, you should consult with CCH’s CFO or General Counsel.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Privileged Access and Information</w:t>
      </w:r>
    </w:p>
    <w:p>
      <w:pPr>
        <w:spacing w:after="0" w:line="235" w:lineRule="exact"/>
        <w:rPr>
          <w:sz w:val="20"/>
          <w:szCs w:val="20"/>
          <w:color w:val="auto"/>
        </w:rPr>
      </w:pPr>
    </w:p>
    <w:p>
      <w:pPr>
        <w:ind w:left="40" w:right="120"/>
        <w:spacing w:after="0" w:line="250" w:lineRule="auto"/>
        <w:rPr>
          <w:sz w:val="20"/>
          <w:szCs w:val="20"/>
          <w:color w:val="auto"/>
        </w:rPr>
      </w:pPr>
      <w:r>
        <w:rPr>
          <w:rFonts w:ascii="Arial" w:cs="Arial" w:eastAsia="Arial" w:hAnsi="Arial"/>
          <w:sz w:val="20"/>
          <w:szCs w:val="20"/>
          <w:color w:val="auto"/>
        </w:rPr>
        <w:t>Vendors and contractors may not use CCH property, information, or position for improper personal gain, or to compete with CCH directly or indirectly. Vendors and contractors are prohibited from taking for themselves personally or for their families or other business associate opportunities that are discovered through the use of CCH property, information or position.</w:t>
      </w:r>
    </w:p>
    <w:p>
      <w:pPr>
        <w:sectPr>
          <w:pgSz w:w="11900" w:h="16838" w:orient="portrait"/>
          <w:cols w:equalWidth="0" w:num="1">
            <w:col w:w="11300"/>
          </w:cols>
          <w:pgMar w:left="320" w:top="1298" w:right="27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089015" cy="523240"/>
                    </a:xfrm>
                    <a:prstGeom prst="rect">
                      <a:avLst/>
                    </a:prstGeom>
                    <a:noFill/>
                  </pic:spPr>
                </pic:pic>
              </a:graphicData>
            </a:graphic>
          </wp:anchor>
        </w:drawing>
        <w:t>5. Confidentiality</w:t>
      </w:r>
    </w:p>
    <w:p>
      <w:pPr>
        <w:spacing w:after="0" w:line="222" w:lineRule="exact"/>
        <w:rPr>
          <w:sz w:val="20"/>
          <w:szCs w:val="20"/>
          <w:color w:val="auto"/>
        </w:rPr>
      </w:pPr>
    </w:p>
    <w:p>
      <w:pPr>
        <w:ind w:left="40"/>
        <w:spacing w:after="0" w:line="311" w:lineRule="auto"/>
        <w:rPr>
          <w:sz w:val="20"/>
          <w:szCs w:val="20"/>
          <w:color w:val="auto"/>
        </w:rPr>
      </w:pPr>
      <w:r>
        <w:rPr>
          <w:rFonts w:ascii="Arial" w:cs="Arial" w:eastAsia="Arial" w:hAnsi="Arial"/>
          <w:sz w:val="16"/>
          <w:szCs w:val="16"/>
          <w:color w:val="auto"/>
        </w:rPr>
        <w:t>Vendors and contractors must maintain the confidentiality of all proprietary information entrusted to them by CCH or others with whom CCH does business, except when disclosure is authorized by CCH’s Legal Department or required by laws or regulations. Confidential information includes all non-public information that, if disclosed, might be of use to competitors, or harmful to CCH or others with whom CCH does business. It also includes non-public information that vendors, contractors, customers and other companies have entrusted to CCH. Proprietary information includes intellectual property such as trade secrets, patents, trademarks, and copyrights, as well as, production and marketing plans, salary information and any unpublished financial data and reports. Unauthorized use or distribution of this information is a violation of CCH policy. Such information is to be used solely for CCH purposes and never for the private gain of a vendor, contractor or any CCH third party. The obligation to preserve and protect confidential or proprietary information continues even after the relationship ends with CCH.</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Protection and Proper Use of Company Assets</w:t>
      </w:r>
    </w:p>
    <w:p>
      <w:pPr>
        <w:spacing w:after="0" w:line="235" w:lineRule="exact"/>
        <w:rPr>
          <w:sz w:val="20"/>
          <w:szCs w:val="20"/>
          <w:color w:val="auto"/>
        </w:rPr>
      </w:pPr>
    </w:p>
    <w:p>
      <w:pPr>
        <w:ind w:left="40" w:right="20"/>
        <w:spacing w:after="0" w:line="263" w:lineRule="auto"/>
        <w:rPr>
          <w:sz w:val="20"/>
          <w:szCs w:val="20"/>
          <w:color w:val="auto"/>
        </w:rPr>
      </w:pPr>
      <w:r>
        <w:rPr>
          <w:rFonts w:ascii="Arial" w:cs="Arial" w:eastAsia="Arial" w:hAnsi="Arial"/>
          <w:sz w:val="19"/>
          <w:szCs w:val="19"/>
          <w:color w:val="auto"/>
        </w:rPr>
        <w:t>CCH’s assets should be used only for the legitimate business purposes of CCH. Vendors and contractors should endeavor to protect CCH’s assets and ensure their proper and efficient use. Protecting CCH’s assets against loss, theft and misuse is everyone’s responsibility. As a CCH vendor or contractor, if you become aware of the theft or misuse of CCH’s assets, immediately report the matter to your CCH contact or report using the procedures described in Section 9 (Reporting Procedures)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Competition and Fair Dealing</w:t>
      </w:r>
    </w:p>
    <w:p>
      <w:pPr>
        <w:spacing w:after="0" w:line="235" w:lineRule="exact"/>
        <w:rPr>
          <w:sz w:val="20"/>
          <w:szCs w:val="20"/>
          <w:color w:val="auto"/>
        </w:rPr>
      </w:pPr>
    </w:p>
    <w:p>
      <w:pPr>
        <w:jc w:val="both"/>
        <w:ind w:left="40" w:right="160"/>
        <w:spacing w:after="0" w:line="260" w:lineRule="auto"/>
        <w:rPr>
          <w:sz w:val="20"/>
          <w:szCs w:val="20"/>
          <w:color w:val="auto"/>
        </w:rPr>
      </w:pPr>
      <w:r>
        <w:rPr>
          <w:rFonts w:ascii="Arial" w:cs="Arial" w:eastAsia="Arial" w:hAnsi="Arial"/>
          <w:sz w:val="19"/>
          <w:szCs w:val="19"/>
          <w:color w:val="auto"/>
        </w:rPr>
        <w:t>CCH seeks to outperform our competition fairly, honestly and in full compliance with applicable laws, including antitrust laws. CCH seeks competitive advantages through superior performance, never through unethical or illegal business practices. Vendors and contractors should respect the rights of, and deal fairly and honestly with, CCH’s customers, vendors, contractors, competitors and employees. No CCH vendor or contractor should take unfair advantage of anyone through manipulation, concealment, abuse of privileged information, misrepresentation of material facts, or any other intentional unfair-dealing practice.</w:t>
      </w:r>
    </w:p>
    <w:p>
      <w:pPr>
        <w:spacing w:after="0" w:line="73" w:lineRule="exact"/>
        <w:rPr>
          <w:sz w:val="20"/>
          <w:szCs w:val="20"/>
          <w:color w:val="auto"/>
        </w:rPr>
      </w:pPr>
    </w:p>
    <w:p>
      <w:pPr>
        <w:jc w:val="both"/>
        <w:ind w:left="40" w:right="680"/>
        <w:spacing w:after="0" w:line="274" w:lineRule="auto"/>
        <w:rPr>
          <w:sz w:val="20"/>
          <w:szCs w:val="20"/>
          <w:color w:val="auto"/>
        </w:rPr>
      </w:pPr>
      <w:r>
        <w:rPr>
          <w:rFonts w:ascii="Arial" w:cs="Arial" w:eastAsia="Arial" w:hAnsi="Arial"/>
          <w:sz w:val="18"/>
          <w:szCs w:val="18"/>
          <w:u w:val="single" w:color="auto"/>
          <w:color w:val="auto"/>
        </w:rPr>
        <w:t>Antitrust Laws</w:t>
      </w:r>
      <w:r>
        <w:rPr>
          <w:rFonts w:ascii="Arial" w:cs="Arial" w:eastAsia="Arial" w:hAnsi="Arial"/>
          <w:sz w:val="18"/>
          <w:szCs w:val="18"/>
          <w:color w:val="auto"/>
        </w:rPr>
        <w:t>. Antitrust laws, are designed to ensure a fair and competitive free market system. CCH will comply with all applicable antitrust laws. Some of the most serious antitrust offenses occur between competitors, such as agreements to fix prices. Therefore it is important for vendors and contractors to avoid discussions with CCH’s competitors, on behalf of CCH, regarding:</w:t>
      </w:r>
    </w:p>
    <w:p>
      <w:pPr>
        <w:spacing w:after="0" w:line="1" w:lineRule="exact"/>
        <w:rPr>
          <w:sz w:val="20"/>
          <w:szCs w:val="20"/>
          <w:color w:val="auto"/>
        </w:rPr>
      </w:pPr>
    </w:p>
    <w:p>
      <w:pPr>
        <w:ind w:left="660" w:hanging="327"/>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Financial data (operating results, capital plans and expenditures, budget, etc.);</w:t>
      </w:r>
    </w:p>
    <w:p>
      <w:pPr>
        <w:spacing w:after="0" w:line="8" w:lineRule="exact"/>
        <w:rPr>
          <w:rFonts w:ascii="Arial" w:cs="Arial" w:eastAsia="Arial" w:hAnsi="Arial"/>
          <w:sz w:val="20"/>
          <w:szCs w:val="20"/>
          <w:color w:val="auto"/>
        </w:rPr>
      </w:pPr>
    </w:p>
    <w:p>
      <w:pPr>
        <w:ind w:left="660" w:hanging="327"/>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Business forecasts and financial analyses;</w:t>
      </w:r>
    </w:p>
    <w:p>
      <w:pPr>
        <w:ind w:left="660" w:hanging="327"/>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Development plans and strategies;</w:t>
      </w:r>
    </w:p>
    <w:p>
      <w:pPr>
        <w:ind w:left="660" w:hanging="327"/>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Business programs, policies, plans, manuals, strategies and methods of operations;</w:t>
      </w:r>
    </w:p>
    <w:p>
      <w:pPr>
        <w:ind w:left="660" w:hanging="32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and supplier lists and identity of outside consultants as well as customer identities and other basic customer information;</w:t>
      </w:r>
    </w:p>
    <w:p>
      <w:pPr>
        <w:spacing w:after="0" w:line="22" w:lineRule="exact"/>
        <w:rPr>
          <w:rFonts w:ascii="Arial" w:cs="Arial" w:eastAsia="Arial" w:hAnsi="Arial"/>
          <w:sz w:val="18"/>
          <w:szCs w:val="18"/>
          <w:color w:val="auto"/>
        </w:rPr>
      </w:pPr>
    </w:p>
    <w:p>
      <w:pPr>
        <w:ind w:left="660" w:right="220" w:hanging="327"/>
        <w:spacing w:after="0" w:line="239"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Information obtained during the course of vendor’s/contractor’s business relationship with CCH about another company, supplier or customer;</w:t>
      </w:r>
    </w:p>
    <w:p>
      <w:pPr>
        <w:spacing w:after="0" w:line="1" w:lineRule="exact"/>
        <w:rPr>
          <w:rFonts w:ascii="Arial" w:cs="Arial" w:eastAsia="Arial" w:hAnsi="Arial"/>
          <w:sz w:val="20"/>
          <w:szCs w:val="20"/>
          <w:color w:val="auto"/>
        </w:rPr>
      </w:pPr>
    </w:p>
    <w:p>
      <w:pPr>
        <w:ind w:left="660" w:hanging="327"/>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Marketing and advertising plans, programs, strategies, analyses and research; and</w:t>
      </w:r>
    </w:p>
    <w:p>
      <w:pPr>
        <w:ind w:left="660" w:hanging="327"/>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Pricing and product programs, plans, strategies, analyses and research.</w:t>
      </w:r>
    </w:p>
    <w:p>
      <w:pPr>
        <w:spacing w:after="0" w:line="92" w:lineRule="exact"/>
        <w:rPr>
          <w:sz w:val="20"/>
          <w:szCs w:val="20"/>
          <w:color w:val="auto"/>
        </w:rPr>
      </w:pPr>
    </w:p>
    <w:p>
      <w:pPr>
        <w:ind w:left="40" w:right="920"/>
        <w:spacing w:after="0" w:line="260" w:lineRule="auto"/>
        <w:rPr>
          <w:sz w:val="20"/>
          <w:szCs w:val="20"/>
          <w:color w:val="auto"/>
        </w:rPr>
      </w:pPr>
      <w:r>
        <w:rPr>
          <w:rFonts w:ascii="Arial" w:cs="Arial" w:eastAsia="Arial" w:hAnsi="Arial"/>
          <w:sz w:val="20"/>
          <w:szCs w:val="20"/>
          <w:color w:val="auto"/>
        </w:rPr>
        <w:t>If you believe a conversation with a competitor enters an inappropriate area, end the conversation at once and consult CCH’s Legal Department.</w:t>
      </w:r>
    </w:p>
    <w:p>
      <w:pPr>
        <w:spacing w:after="0" w:line="69" w:lineRule="exact"/>
        <w:rPr>
          <w:sz w:val="20"/>
          <w:szCs w:val="20"/>
          <w:color w:val="auto"/>
        </w:rPr>
      </w:pPr>
    </w:p>
    <w:p>
      <w:pPr>
        <w:ind w:left="40" w:right="420"/>
        <w:spacing w:after="0" w:line="250" w:lineRule="auto"/>
        <w:rPr>
          <w:sz w:val="20"/>
          <w:szCs w:val="20"/>
          <w:color w:val="auto"/>
        </w:rPr>
      </w:pPr>
      <w:r>
        <w:rPr>
          <w:rFonts w:ascii="Arial" w:cs="Arial" w:eastAsia="Arial" w:hAnsi="Arial"/>
          <w:sz w:val="20"/>
          <w:szCs w:val="20"/>
          <w:u w:val="single" w:color="auto"/>
          <w:color w:val="auto"/>
        </w:rPr>
        <w:t>Unauthorized Taking or Use of Information</w:t>
      </w:r>
      <w:r>
        <w:rPr>
          <w:rFonts w:ascii="Arial" w:cs="Arial" w:eastAsia="Arial" w:hAnsi="Arial"/>
          <w:sz w:val="20"/>
          <w:szCs w:val="20"/>
          <w:color w:val="auto"/>
        </w:rPr>
        <w:t>. The unauthorized taking or use of proprietary information from other companies, possessing trade secret information that was obtained without legal authority, or inducing such disclosures by past or present employees of other companies is prohibited.</w:t>
      </w:r>
    </w:p>
    <w:p>
      <w:pPr>
        <w:sectPr>
          <w:pgSz w:w="11900" w:h="16838" w:orient="portrait"/>
          <w:cols w:equalWidth="0" w:num="1">
            <w:col w:w="11340"/>
          </w:cols>
          <w:pgMar w:left="320" w:top="1292" w:right="2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89015" cy="523240"/>
                    </a:xfrm>
                    <a:prstGeom prst="rect">
                      <a:avLst/>
                    </a:prstGeom>
                    <a:noFill/>
                  </pic:spPr>
                </pic:pic>
              </a:graphicData>
            </a:graphic>
          </wp:anchor>
        </w:drawing>
        <w:t>5. Confidentiality</w:t>
      </w:r>
    </w:p>
    <w:p>
      <w:pPr>
        <w:spacing w:after="0" w:line="222" w:lineRule="exact"/>
        <w:rPr>
          <w:sz w:val="20"/>
          <w:szCs w:val="20"/>
          <w:color w:val="auto"/>
        </w:rPr>
      </w:pPr>
    </w:p>
    <w:p>
      <w:pPr>
        <w:ind w:left="40"/>
        <w:spacing w:after="0" w:line="311" w:lineRule="auto"/>
        <w:rPr>
          <w:sz w:val="20"/>
          <w:szCs w:val="20"/>
          <w:color w:val="auto"/>
        </w:rPr>
      </w:pPr>
      <w:r>
        <w:rPr>
          <w:rFonts w:ascii="Arial" w:cs="Arial" w:eastAsia="Arial" w:hAnsi="Arial"/>
          <w:sz w:val="16"/>
          <w:szCs w:val="16"/>
          <w:color w:val="auto"/>
        </w:rPr>
        <w:t>Vendors and contractors must maintain the confidentiality of all proprietary information entrusted to them by CCH or others with whom CCH does business, except when disclosure is authorized by CCH’s Legal Department or required by laws or regulations. Confidential information includes all non-public information that, if disclosed, might be of use to competitors, or harmful to CCH or others with whom CCH does business. It also includes non-public information that vendors, contractors, customers and other companies have entrusted to CCH. Proprietary information includes intellectual property such as trade secrets, patents, trademarks, and copyrights, as well as, production and marketing plans, salary information and any unpublished financial data and reports. Unauthorized use or distribution of this information is a violation of CCH policy. Such information is to be used solely for CCH purposes and never for the private gain of a vendor, contractor or any CCH third party. The obligation to preserve and protect confidential or proprietary information continues even after the relationship ends with CCH.</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Protection and Proper Use of Company Assets</w:t>
      </w:r>
    </w:p>
    <w:p>
      <w:pPr>
        <w:spacing w:after="0" w:line="235" w:lineRule="exact"/>
        <w:rPr>
          <w:sz w:val="20"/>
          <w:szCs w:val="20"/>
          <w:color w:val="auto"/>
        </w:rPr>
      </w:pPr>
    </w:p>
    <w:p>
      <w:pPr>
        <w:ind w:left="40" w:right="20"/>
        <w:spacing w:after="0" w:line="263" w:lineRule="auto"/>
        <w:rPr>
          <w:sz w:val="20"/>
          <w:szCs w:val="20"/>
          <w:color w:val="auto"/>
        </w:rPr>
      </w:pPr>
      <w:r>
        <w:rPr>
          <w:rFonts w:ascii="Arial" w:cs="Arial" w:eastAsia="Arial" w:hAnsi="Arial"/>
          <w:sz w:val="19"/>
          <w:szCs w:val="19"/>
          <w:color w:val="auto"/>
        </w:rPr>
        <w:t>CCH’s assets should be used only for the legitimate business purposes of CCH. Vendors and contractors should endeavor to protect CCH’s assets and ensure their proper and efficient use. Protecting CCH’s assets against loss, theft and misuse is everyone’s responsibility. As a CCH vendor or contractor, if you become aware of the theft or misuse of CCH’s assets, immediately report the matter to your CCH contact or report using the procedures described in Section 9 (Reporting Procedures)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Competition and Fair Dealing</w:t>
      </w:r>
    </w:p>
    <w:p>
      <w:pPr>
        <w:spacing w:after="0" w:line="235" w:lineRule="exact"/>
        <w:rPr>
          <w:sz w:val="20"/>
          <w:szCs w:val="20"/>
          <w:color w:val="auto"/>
        </w:rPr>
      </w:pPr>
    </w:p>
    <w:p>
      <w:pPr>
        <w:jc w:val="both"/>
        <w:ind w:left="40" w:right="160"/>
        <w:spacing w:after="0" w:line="260" w:lineRule="auto"/>
        <w:rPr>
          <w:sz w:val="20"/>
          <w:szCs w:val="20"/>
          <w:color w:val="auto"/>
        </w:rPr>
      </w:pPr>
      <w:r>
        <w:rPr>
          <w:rFonts w:ascii="Arial" w:cs="Arial" w:eastAsia="Arial" w:hAnsi="Arial"/>
          <w:sz w:val="19"/>
          <w:szCs w:val="19"/>
          <w:color w:val="auto"/>
        </w:rPr>
        <w:t>CCH seeks to outperform our competition fairly, honestly and in full compliance with applicable laws, including antitrust laws. CCH seeks competitive advantages through superior performance, never through unethical or illegal business practices. Vendors and contractors should respect the rights of, and deal fairly and honestly with, CCH’s customers, vendors, contractors, competitors and employees. No CCH vendor or contractor should take unfair advantage of anyone through manipulation, concealment, abuse of privileged information, misrepresentation of material facts, or any other intentional unfair-dealing practice.</w:t>
      </w:r>
    </w:p>
    <w:p>
      <w:pPr>
        <w:spacing w:after="0" w:line="73" w:lineRule="exact"/>
        <w:rPr>
          <w:sz w:val="20"/>
          <w:szCs w:val="20"/>
          <w:color w:val="auto"/>
        </w:rPr>
      </w:pPr>
    </w:p>
    <w:p>
      <w:pPr>
        <w:jc w:val="both"/>
        <w:ind w:left="40" w:right="680"/>
        <w:spacing w:after="0" w:line="274" w:lineRule="auto"/>
        <w:rPr>
          <w:sz w:val="20"/>
          <w:szCs w:val="20"/>
          <w:color w:val="auto"/>
        </w:rPr>
      </w:pPr>
      <w:r>
        <w:rPr>
          <w:rFonts w:ascii="Arial" w:cs="Arial" w:eastAsia="Arial" w:hAnsi="Arial"/>
          <w:sz w:val="18"/>
          <w:szCs w:val="18"/>
          <w:u w:val="single" w:color="auto"/>
          <w:color w:val="auto"/>
        </w:rPr>
        <w:t>Antitrust Laws</w:t>
      </w:r>
      <w:r>
        <w:rPr>
          <w:rFonts w:ascii="Arial" w:cs="Arial" w:eastAsia="Arial" w:hAnsi="Arial"/>
          <w:sz w:val="18"/>
          <w:szCs w:val="18"/>
          <w:color w:val="auto"/>
        </w:rPr>
        <w:t>. Antitrust laws, are designed to ensure a fair and competitive free market system. CCH will comply with all applicable antitrust laws. Some of the most serious antitrust offenses occur between competitors, such as agreements to fix prices. Therefore it is important for vendors and contractors to avoid discussions with CCH’s competitors, on behalf of CCH, regarding:</w:t>
      </w:r>
    </w:p>
    <w:p>
      <w:pPr>
        <w:spacing w:after="0" w:line="1" w:lineRule="exact"/>
        <w:rPr>
          <w:sz w:val="20"/>
          <w:szCs w:val="20"/>
          <w:color w:val="auto"/>
        </w:rPr>
      </w:pPr>
    </w:p>
    <w:p>
      <w:pPr>
        <w:ind w:left="660" w:hanging="327"/>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Financial data (operating results, capital plans and expenditures, budget, etc.);</w:t>
      </w:r>
    </w:p>
    <w:p>
      <w:pPr>
        <w:spacing w:after="0" w:line="8" w:lineRule="exact"/>
        <w:rPr>
          <w:rFonts w:ascii="Arial" w:cs="Arial" w:eastAsia="Arial" w:hAnsi="Arial"/>
          <w:sz w:val="20"/>
          <w:szCs w:val="20"/>
          <w:color w:val="auto"/>
        </w:rPr>
      </w:pPr>
    </w:p>
    <w:p>
      <w:pPr>
        <w:ind w:left="660" w:hanging="327"/>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Business forecasts and financial analyses;</w:t>
      </w:r>
    </w:p>
    <w:p>
      <w:pPr>
        <w:ind w:left="660" w:hanging="327"/>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Development plans and strategies;</w:t>
      </w:r>
    </w:p>
    <w:p>
      <w:pPr>
        <w:ind w:left="660" w:hanging="327"/>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Business programs, policies, plans, manuals, strategies and methods of operations;</w:t>
      </w:r>
    </w:p>
    <w:p>
      <w:pPr>
        <w:ind w:left="660" w:hanging="32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and supplier lists and identity of outside consultants as well as customer identities and other basic customer information;</w:t>
      </w:r>
    </w:p>
    <w:p>
      <w:pPr>
        <w:spacing w:after="0" w:line="22" w:lineRule="exact"/>
        <w:rPr>
          <w:rFonts w:ascii="Arial" w:cs="Arial" w:eastAsia="Arial" w:hAnsi="Arial"/>
          <w:sz w:val="18"/>
          <w:szCs w:val="18"/>
          <w:color w:val="auto"/>
        </w:rPr>
      </w:pPr>
    </w:p>
    <w:p>
      <w:pPr>
        <w:ind w:left="660" w:right="220" w:hanging="327"/>
        <w:spacing w:after="0" w:line="239"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Information obtained during the course of vendor’s/contractor’s business relationship with CCH about another company, supplier or customer;</w:t>
      </w:r>
    </w:p>
    <w:p>
      <w:pPr>
        <w:spacing w:after="0" w:line="1" w:lineRule="exact"/>
        <w:rPr>
          <w:rFonts w:ascii="Arial" w:cs="Arial" w:eastAsia="Arial" w:hAnsi="Arial"/>
          <w:sz w:val="20"/>
          <w:szCs w:val="20"/>
          <w:color w:val="auto"/>
        </w:rPr>
      </w:pPr>
    </w:p>
    <w:p>
      <w:pPr>
        <w:ind w:left="660" w:hanging="327"/>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Marketing and advertising plans, programs, strategies, analyses and research; and</w:t>
      </w:r>
    </w:p>
    <w:p>
      <w:pPr>
        <w:ind w:left="660" w:hanging="327"/>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Pricing and product programs, plans, strategies, analyses and research.</w:t>
      </w:r>
    </w:p>
    <w:p>
      <w:pPr>
        <w:spacing w:after="0" w:line="92" w:lineRule="exact"/>
        <w:rPr>
          <w:sz w:val="20"/>
          <w:szCs w:val="20"/>
          <w:color w:val="auto"/>
        </w:rPr>
      </w:pPr>
    </w:p>
    <w:p>
      <w:pPr>
        <w:ind w:left="40" w:right="920"/>
        <w:spacing w:after="0" w:line="260" w:lineRule="auto"/>
        <w:rPr>
          <w:sz w:val="20"/>
          <w:szCs w:val="20"/>
          <w:color w:val="auto"/>
        </w:rPr>
      </w:pPr>
      <w:r>
        <w:rPr>
          <w:rFonts w:ascii="Arial" w:cs="Arial" w:eastAsia="Arial" w:hAnsi="Arial"/>
          <w:sz w:val="20"/>
          <w:szCs w:val="20"/>
          <w:color w:val="auto"/>
        </w:rPr>
        <w:t>If you believe a conversation with a competitor enters an inappropriate area, end the conversation at once and consult CCH’s Legal Department.</w:t>
      </w:r>
    </w:p>
    <w:p>
      <w:pPr>
        <w:spacing w:after="0" w:line="69" w:lineRule="exact"/>
        <w:rPr>
          <w:sz w:val="20"/>
          <w:szCs w:val="20"/>
          <w:color w:val="auto"/>
        </w:rPr>
      </w:pPr>
    </w:p>
    <w:p>
      <w:pPr>
        <w:ind w:left="40" w:right="420"/>
        <w:spacing w:after="0" w:line="250" w:lineRule="auto"/>
        <w:rPr>
          <w:sz w:val="20"/>
          <w:szCs w:val="20"/>
          <w:color w:val="auto"/>
        </w:rPr>
      </w:pPr>
      <w:r>
        <w:rPr>
          <w:rFonts w:ascii="Arial" w:cs="Arial" w:eastAsia="Arial" w:hAnsi="Arial"/>
          <w:sz w:val="20"/>
          <w:szCs w:val="20"/>
          <w:u w:val="single" w:color="auto"/>
          <w:color w:val="auto"/>
        </w:rPr>
        <w:t>Unauthorized Taking or Use of Information</w:t>
      </w:r>
      <w:r>
        <w:rPr>
          <w:rFonts w:ascii="Arial" w:cs="Arial" w:eastAsia="Arial" w:hAnsi="Arial"/>
          <w:sz w:val="20"/>
          <w:szCs w:val="20"/>
          <w:color w:val="auto"/>
        </w:rPr>
        <w:t>. The unauthorized taking or use of proprietary information from other companies, possessing trade secret information that was obtained without legal authority, or inducing such disclosures by past or present employees of other companies is prohibited.</w:t>
      </w:r>
    </w:p>
    <w:p>
      <w:pPr>
        <w:sectPr>
          <w:pgSz w:w="11900" w:h="16838" w:orient="portrait"/>
          <w:cols w:equalWidth="0" w:num="1">
            <w:col w:w="11340"/>
          </w:cols>
          <w:pgMar w:left="320" w:top="1292" w:right="2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089015" cy="523240"/>
                    </a:xfrm>
                    <a:prstGeom prst="rect">
                      <a:avLst/>
                    </a:prstGeom>
                    <a:noFill/>
                  </pic:spPr>
                </pic:pic>
              </a:graphicData>
            </a:graphic>
          </wp:anchor>
        </w:drawing>
        <w:t>8. Insider Trading</w:t>
      </w:r>
    </w:p>
    <w:p>
      <w:pPr>
        <w:spacing w:after="0" w:line="222" w:lineRule="exact"/>
        <w:rPr>
          <w:sz w:val="20"/>
          <w:szCs w:val="20"/>
          <w:color w:val="auto"/>
        </w:rPr>
      </w:pPr>
    </w:p>
    <w:p>
      <w:pPr>
        <w:ind w:left="40"/>
        <w:spacing w:after="0" w:line="259" w:lineRule="auto"/>
        <w:rPr>
          <w:sz w:val="20"/>
          <w:szCs w:val="20"/>
          <w:color w:val="auto"/>
        </w:rPr>
      </w:pPr>
      <w:r>
        <w:rPr>
          <w:rFonts w:ascii="Arial" w:cs="Arial" w:eastAsia="Arial" w:hAnsi="Arial"/>
          <w:sz w:val="19"/>
          <w:szCs w:val="19"/>
          <w:color w:val="auto"/>
        </w:rPr>
        <w:t>Vendors and contractors in possession of material information about CCH must abstain from trading in CCH securities until such information is generally and publicly available by means of a press release or other public filing or disclosure by CCH. Such material “inside information” might include earnings estimates, stock and dividend activity, changes of control or management, pending mergers, sales, acquisitions, reserves or other significant business information or developments. As a CCH vendor or contractor, providing such inside information to others who then trade on it is also strictly prohibited. Trading on inside information is also a violation of federal securities law. If you have any questions, please consult CCH’s Legal Department.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Reporting Procedures</w:t>
      </w:r>
    </w:p>
    <w:p>
      <w:pPr>
        <w:spacing w:after="0" w:line="222" w:lineRule="exact"/>
        <w:rPr>
          <w:sz w:val="20"/>
          <w:szCs w:val="20"/>
          <w:color w:val="auto"/>
        </w:rPr>
      </w:pPr>
    </w:p>
    <w:p>
      <w:pPr>
        <w:ind w:left="40" w:right="340"/>
        <w:spacing w:after="0" w:line="250" w:lineRule="auto"/>
        <w:rPr>
          <w:sz w:val="20"/>
          <w:szCs w:val="20"/>
          <w:color w:val="auto"/>
        </w:rPr>
      </w:pPr>
      <w:r>
        <w:rPr>
          <w:rFonts w:ascii="Arial" w:cs="Arial" w:eastAsia="Arial" w:hAnsi="Arial"/>
          <w:sz w:val="20"/>
          <w:szCs w:val="20"/>
          <w:color w:val="auto"/>
        </w:rPr>
        <w:t>CCH’s vendors and contractors have the responsibility to report violations of CCH’s Business Ethics Policy or other conduct relating to CCH’s business that they suspect may be unethical or in violation of the law. To report a suspected compliance violation or when in doubt about the best course of action to take in a particular situation is, please:</w:t>
      </w:r>
    </w:p>
    <w:p>
      <w:pPr>
        <w:spacing w:after="0" w:line="92" w:lineRule="exact"/>
        <w:rPr>
          <w:sz w:val="20"/>
          <w:szCs w:val="20"/>
          <w:color w:val="auto"/>
        </w:rPr>
      </w:pPr>
    </w:p>
    <w:p>
      <w:pPr>
        <w:ind w:left="420" w:hanging="316"/>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Talk to your contact at CCH or to CCH’s General Counsel or Director of Internal Audit, or</w:t>
      </w:r>
    </w:p>
    <w:p>
      <w:pPr>
        <w:spacing w:after="0" w:line="20" w:lineRule="exact"/>
        <w:rPr>
          <w:rFonts w:ascii="Arial" w:cs="Arial" w:eastAsia="Arial" w:hAnsi="Arial"/>
          <w:sz w:val="20"/>
          <w:szCs w:val="20"/>
          <w:color w:val="auto"/>
        </w:rPr>
      </w:pPr>
    </w:p>
    <w:p>
      <w:pPr>
        <w:ind w:left="420" w:hanging="316"/>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Call the CCH </w:t>
      </w:r>
      <w:r>
        <w:rPr>
          <w:rFonts w:ascii="Arial" w:cs="Arial" w:eastAsia="Arial" w:hAnsi="Arial"/>
          <w:sz w:val="20"/>
          <w:szCs w:val="20"/>
          <w:b w:val="1"/>
          <w:bCs w:val="1"/>
          <w:color w:val="auto"/>
        </w:rPr>
        <w:t>Fraud/Compliance Hotline</w:t>
      </w:r>
      <w:r>
        <w:rPr>
          <w:rFonts w:ascii="Arial" w:cs="Arial" w:eastAsia="Arial" w:hAnsi="Arial"/>
          <w:sz w:val="20"/>
          <w:szCs w:val="20"/>
          <w:color w:val="auto"/>
        </w:rPr>
        <w:t>, it is available 24 hours a day, at (800) 354-7197.</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20"/>
          <w:szCs w:val="20"/>
          <w:color w:val="auto"/>
        </w:rPr>
        <w:t>All such communications will be kept confidential and forwarded directly to the appropriate party, as applicable.</w:t>
      </w:r>
    </w:p>
    <w:p>
      <w:pPr>
        <w:sectPr>
          <w:pgSz w:w="11900" w:h="16838" w:orient="portrait"/>
          <w:cols w:equalWidth="0" w:num="1">
            <w:col w:w="11300"/>
          </w:cols>
          <w:pgMar w:left="320" w:top="1292" w:right="2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Pizzi,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SVP &amp; Chief Financial Officer (Principal Accounting and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March 31, 2018,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March 31, 2018, (the "Periodic Report"), I, Christopher R. Pizzi, SVP &amp;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SVP &amp; Chief Financial Officer (Principal Accounting and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Roman"/>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5"/>
    </w:lvl>
  </w:abstractNum>
  <w:abstractNum w:abstractNumId="5">
    <w:nsid w:val="25E45D32"/>
    <w:multiLevelType w:val="hybridMultilevel"/>
    <w:lvl w:ilvl="0">
      <w:lvlJc w:val="left"/>
      <w:lvlText w:val="%1."/>
      <w:numFmt w:val="decimal"/>
      <w:start w:val="6"/>
    </w:lvl>
  </w:abstractNum>
  <w:abstractNum w:abstractNumId="6">
    <w:nsid w:val="519B500D"/>
    <w:multiLevelType w:val="hybridMultilevel"/>
    <w:lvl w:ilvl="0">
      <w:lvlJc w:val="left"/>
      <w:lvlText w:val="%1."/>
      <w:numFmt w:val="decimal"/>
      <w:start w:val="10"/>
    </w:lvl>
  </w:abstractNum>
  <w:abstractNum w:abstractNumId="7">
    <w:nsid w:val="431BD7B7"/>
    <w:multiLevelType w:val="hybridMultilevel"/>
    <w:lvl w:ilvl="0">
      <w:lvlJc w:val="left"/>
      <w:lvlText w:val="%1."/>
      <w:numFmt w:val="decimal"/>
      <w:start w:val="11"/>
    </w:lvl>
  </w:abstractNum>
  <w:abstractNum w:abstractNumId="8">
    <w:nsid w:val="3F2DBA31"/>
    <w:multiLevelType w:val="hybridMultilevel"/>
    <w:lvl w:ilvl="0">
      <w:lvlJc w:val="left"/>
      <w:lvlText w:val="%1."/>
      <w:numFmt w:val="decimal"/>
      <w:start w:val="12"/>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3"/>
    </w:lvl>
  </w:abstractNum>
  <w:abstractNum w:abstractNumId="11">
    <w:nsid w:val="62BBD95A"/>
    <w:multiLevelType w:val="hybridMultilevel"/>
    <w:lvl w:ilvl="0">
      <w:lvlJc w:val="left"/>
      <w:lvlText w:val="%1."/>
      <w:numFmt w:val="decimal"/>
      <w:start w:val="14"/>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9"/>
    </w:lvl>
  </w:abstractNum>
  <w:abstractNum w:abstractNumId="20">
    <w:nsid w:val="8EDBDAB"/>
    <w:multiLevelType w:val="hybridMultilevel"/>
    <w:lvl w:ilvl="0">
      <w:lvlJc w:val="left"/>
      <w:lvlText w:val="%1"/>
      <w:numFmt w:val="upperLetter"/>
      <w:start w:val="1"/>
    </w:lvl>
    <w:lvl w:ilvl="1">
      <w:lvlJc w:val="left"/>
      <w:lvlText w:val="%2."/>
      <w:numFmt w:val="decimal"/>
      <w:start w:val="1"/>
    </w:lvl>
  </w:abstractNum>
  <w:abstractNum w:abstractNumId="21">
    <w:nsid w:val="79838CB2"/>
    <w:multiLevelType w:val="hybridMultilevel"/>
    <w:lvl w:ilvl="0">
      <w:lvlJc w:val="left"/>
      <w:lvlText w:val="%1."/>
      <w:numFmt w:val="upperLetter"/>
      <w:start w:val="4"/>
    </w:lvl>
    <w:lvl w:ilvl="1">
      <w:lvlJc w:val="left"/>
      <w:lvlText w:val="%2"/>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2019-12-28T22:08:36Z</dcterms:created>
  <dcterms:modified xsi:type="dcterms:W3CDTF">2019-12-28T22:08:36Z</dcterms:modified>
</cp:coreProperties>
</file>