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4100" w:right="2520" w:hanging="1532"/>
        <w:spacing w:after="0" w:line="351" w:lineRule="auto"/>
        <w:tabs>
          <w:tab w:leader="none" w:pos="275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2018</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 Transition Report Pursuant to Section 13 or 15(d) of the Securities Exchange Act of 1934</w:t>
      </w:r>
    </w:p>
    <w:p>
      <w:pPr>
        <w:spacing w:after="0" w:line="5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CROSS COUNTRY HEALTHCARE, INC.</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6"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2560" w:type="dxa"/>
            <w:vAlign w:val="bottom"/>
          </w:tcPr>
          <w:p>
            <w:pPr>
              <w:jc w:val="center"/>
              <w:ind w:right="45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0-33169</w:t>
            </w:r>
          </w:p>
        </w:tc>
        <w:tc>
          <w:tcPr>
            <w:tcW w:w="2160" w:type="dxa"/>
            <w:vAlign w:val="bottom"/>
          </w:tcPr>
          <w:p>
            <w:pPr>
              <w:jc w:val="center"/>
              <w:ind w:left="619"/>
              <w:spacing w:after="0"/>
              <w:rPr>
                <w:sz w:val="20"/>
                <w:szCs w:val="20"/>
                <w:color w:val="auto"/>
              </w:rPr>
            </w:pPr>
            <w:r>
              <w:rPr>
                <w:rFonts w:ascii="Arial" w:cs="Arial" w:eastAsia="Arial" w:hAnsi="Arial"/>
                <w:sz w:val="16"/>
                <w:szCs w:val="16"/>
                <w:b w:val="1"/>
                <w:bCs w:val="1"/>
                <w:color w:val="auto"/>
                <w:w w:val="91"/>
              </w:rPr>
              <w:t>13-4066229</w:t>
            </w:r>
          </w:p>
        </w:tc>
      </w:tr>
      <w:tr>
        <w:trPr>
          <w:trHeight w:val="253"/>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4"/>
              </w:rPr>
              <w:t>(State or other jurisdiction of</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0"/>
              </w:rPr>
              <w:t>Commission</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6"/>
              </w:rPr>
              <w:t>Incorporation or organization)</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5"/>
              </w:rPr>
              <w:t>file number</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4"/>
              </w:rPr>
              <w:t>Identification Number)</w:t>
            </w:r>
          </w:p>
        </w:tc>
      </w:tr>
      <w:tr>
        <w:trPr>
          <w:trHeight w:val="316"/>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5201 Congress Avenue, Suite 100B</w:t>
            </w:r>
          </w:p>
        </w:tc>
        <w:tc>
          <w:tcPr>
            <w:tcW w:w="216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Boca Raton, Florida 33487</w:t>
            </w:r>
          </w:p>
        </w:tc>
        <w:tc>
          <w:tcPr>
            <w:tcW w:w="216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2"/>
              </w:rPr>
              <w:t>(Address of principal executive offices)(Zip Code)</w:t>
            </w:r>
          </w:p>
        </w:tc>
        <w:tc>
          <w:tcPr>
            <w:tcW w:w="2160" w:type="dxa"/>
            <w:vAlign w:val="bottom"/>
          </w:tcPr>
          <w:p>
            <w:pPr>
              <w:spacing w:after="0"/>
              <w:rPr>
                <w:sz w:val="17"/>
                <w:szCs w:val="17"/>
                <w:color w:val="auto"/>
              </w:rPr>
            </w:pPr>
          </w:p>
        </w:tc>
      </w:tr>
      <w:tr>
        <w:trPr>
          <w:trHeight w:val="280"/>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(561) 998-2232</w:t>
            </w:r>
          </w:p>
        </w:tc>
        <w:tc>
          <w:tcPr>
            <w:tcW w:w="216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160" w:type="dxa"/>
            <w:vAlign w:val="bottom"/>
          </w:tcPr>
          <w:p>
            <w:pPr>
              <w:spacing w:after="0"/>
              <w:rPr>
                <w:sz w:val="17"/>
                <w:szCs w:val="17"/>
                <w:color w:val="auto"/>
              </w:rPr>
            </w:pPr>
          </w:p>
        </w:tc>
      </w:tr>
    </w:tbl>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6"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91"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5"/>
          <w:szCs w:val="15"/>
          <w:color w:val="auto"/>
        </w:rPr>
        <w:t xml:space="preserve">Indicate by checkmark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36,294,714 shares of Common Stock, par value $0.0001 per share, as of July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2017,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00"/>
              <w:spacing w:after="0"/>
              <w:rPr>
                <w:sz w:val="20"/>
                <w:szCs w:val="20"/>
                <w:color w:val="auto"/>
              </w:rPr>
            </w:pPr>
            <w:r>
              <w:rPr>
                <w:rFonts w:ascii="Arial" w:cs="Arial" w:eastAsia="Arial" w:hAnsi="Arial"/>
                <w:sz w:val="18"/>
                <w:szCs w:val="18"/>
                <w:b w:val="1"/>
                <w:bCs w:val="1"/>
                <w:color w:val="auto"/>
                <w:w w:val="88"/>
              </w:rPr>
              <w:t>June 30, 2018</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(Unaudited)</w:t>
              </w:r>
            </w:hyperlink>
          </w:p>
        </w:tc>
        <w:tc>
          <w:tcPr>
            <w:tcW w:w="25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5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40" w:type="dxa"/>
            <w:vAlign w:val="bottom"/>
            <w:gridSpan w:val="2"/>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340" w:type="dxa"/>
            <w:vAlign w:val="bottom"/>
            <w:gridSpan w:val="2"/>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740" w:type="dxa"/>
            <w:vAlign w:val="bottom"/>
            <w:tcBorders>
              <w:left w:val="single" w:sz="8" w:color="0000EE"/>
            </w:tcBorders>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8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02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8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172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340" w:type="dxa"/>
            <w:vAlign w:val="bottom"/>
            <w:gridSpan w:val="2"/>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340" w:type="dxa"/>
            <w:vAlign w:val="bottom"/>
            <w:gridSpan w:val="2"/>
          </w:tcPr>
          <w:p>
            <w:pPr>
              <w:spacing w:after="0"/>
              <w:rPr>
                <w:sz w:val="24"/>
                <w:szCs w:val="24"/>
                <w:color w:val="auto"/>
              </w:rPr>
            </w:pPr>
          </w:p>
        </w:tc>
        <w:tc>
          <w:tcPr>
            <w:tcW w:w="802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8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802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372"/>
        </w:trPr>
        <w:tc>
          <w:tcPr>
            <w:tcW w:w="980" w:type="dxa"/>
            <w:vAlign w:val="bottom"/>
            <w:gridSpan w:val="4"/>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 Index</w:t>
              </w:r>
            </w:hyperlink>
          </w:p>
        </w:tc>
        <w:tc>
          <w:tcPr>
            <w:tcW w:w="8020" w:type="dxa"/>
            <w:vAlign w:val="bottom"/>
            <w:gridSpan w:val="15"/>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8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$3,609 in 2018 and $3,688 in 2017</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162,424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173,603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3,497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205,700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208,887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$32,958 in 2018 and $30,678 in 2017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117,589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117,589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60,976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19,364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19,228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Accounts payable and accrued expenses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50,597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32,559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34,271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2,845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92,259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accrued claims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5,088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222,330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229,968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301,353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305,362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(67,111)</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Cross Country Healthcare, Inc.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236,267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 in subsidiary</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237,719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459,201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467,687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152,785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307,083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46,600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90,918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93,836</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4,476</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200,230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202,864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406,270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407,182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1,119</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common shareholders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share attributable to common shareholders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share attributable to common shareholders - Diluted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35,652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35,651</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35,727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34,269</w:t>
            </w:r>
          </w:p>
        </w:tc>
      </w:tr>
      <w:tr>
        <w:trPr>
          <w:trHeight w:val="262"/>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35,832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INCOME (Unaudited,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interest rate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Reclassification adjustment to interest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Taxes on other comprehensive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 benefit related to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tax expense related to unrealized gain on interest rate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Income tax expense related to reclassification adjustment to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3,560</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4,874</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2,898</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 on Term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Convertible Note cash payment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 and retirement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33,936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(formerly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2018.</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2017 included in the Company’s Annual Report on Form 10-K as filed with the Securities and Exchange Commission. The December 31, 2017 condensed consolidated balance sheet included herein was derived from the December 31, 2017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have been reclassified to conform to the current year presentation on the condensed consolidated statements of cash flows.</w:t>
      </w:r>
    </w:p>
    <w:p>
      <w:pPr>
        <w:spacing w:after="0" w:line="244"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In addition, we maintain a sales allowance for customer disputes which may arise in the ordinary course of business, which is recorded as contra-revenue. Historically, losses on uncollectible accounts and sales allowances have not exceeded our allowances.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consolidated statements of operations include on-going benefit costs for its employees and exit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Reconciliations of the beginning and ending total restructuring liability balances are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b w:val="1"/>
                <w:bCs w:val="1"/>
                <w:color w:val="auto"/>
              </w:rPr>
              <w:t>On-Going Benefit Costs</w:t>
            </w:r>
          </w:p>
        </w:tc>
        <w:tc>
          <w:tcPr>
            <w:tcW w:w="800" w:type="dxa"/>
            <w:vAlign w:val="bottom"/>
          </w:tcPr>
          <w:p>
            <w:pPr>
              <w:spacing w:after="0"/>
              <w:rPr>
                <w:sz w:val="20"/>
                <w:szCs w:val="20"/>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Exit Costs</w:t>
            </w: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3"/>
          </w:tcPr>
          <w:p>
            <w:pPr>
              <w:jc w:val="right"/>
              <w:ind w:right="30"/>
              <w:spacing w:after="0"/>
              <w:rPr>
                <w:sz w:val="20"/>
                <w:szCs w:val="20"/>
                <w:color w:val="auto"/>
              </w:rPr>
            </w:pPr>
            <w:r>
              <w:rPr>
                <w:rFonts w:ascii="Arial" w:cs="Arial" w:eastAsia="Arial" w:hAnsi="Arial"/>
                <w:sz w:val="18"/>
                <w:szCs w:val="18"/>
                <w:color w:val="auto"/>
              </w:rPr>
              <w:t>(amounts in thousands)</w:t>
            </w:r>
          </w:p>
        </w:tc>
        <w:tc>
          <w:tcPr>
            <w:tcW w:w="18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Charged to restructuring costs</w:t>
            </w:r>
          </w:p>
        </w:tc>
        <w:tc>
          <w:tcPr>
            <w:tcW w:w="26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June 30,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is exposed to interest rate risk due to the outstanding senior secured term loan entered into on August 1, 2017 with a variable interest rate. As a result, the Company has entered into an interest rate swap agreement to effectively convert a portion of its variable interest payments to a fixed rate. The principal objective of the interest rate swap is to eliminate or reduce the variability of the cash flows in those interest payments associated with the Company’s long-term debt, thus reducing the impact of interest rate changes on future interest payment cash flows. The Company has determined that the interest rate swap qualifies as a cash flow hedge in accordance with Accounting Standards Codification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 the critical terms of the hedging instrument and the hedged forecasted transaction are the same, the Company has concluded that changes in the cash flows attributable to the risk being hedged are expected to completely offset at inception and on an ongoing basis. Changes in the fair value of an interest rate swap agreement designated as a cash flow hedge are recorded as a component of accumulated other comprehensive income (loss), net of deferred taxes, within stockholders’ equity and are amortized to interest expense over the term of the related debt as the interest payments are made. Future interest rate swap payments will be included in net cash provided by operating activities on the Company’s consolidated statement of cash flows.</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conjunction with entering into the interest rate swap agreement, the Company early adopted ASU 2017-12, </w:t>
      </w:r>
      <w:r>
        <w:rPr>
          <w:rFonts w:ascii="Arial" w:cs="Arial" w:eastAsia="Arial" w:hAnsi="Arial"/>
          <w:sz w:val="18"/>
          <w:szCs w:val="18"/>
          <w:i w:val="1"/>
          <w:iCs w:val="1"/>
          <w:color w:val="auto"/>
        </w:rPr>
        <w:t>Derivative and Hedging (Topic 815)</w:t>
      </w:r>
      <w:r>
        <w:rPr>
          <w:rFonts w:ascii="Arial" w:cs="Arial" w:eastAsia="Arial" w:hAnsi="Arial"/>
          <w:sz w:val="18"/>
          <w:szCs w:val="18"/>
          <w:color w:val="auto"/>
        </w:rPr>
        <w:t xml:space="preserve"> to simplify the application of hedge accounting. See Note 9 - Derivative.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Standards Update (ASU) No. 2018-02, </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Comprehensive Income (Topic 220): Reclassification of Certain Tax Effects from Accumulated Other Comprehensive Income, </w:t>
      </w:r>
      <w:r>
        <w:rPr>
          <w:rFonts w:ascii="Arial" w:cs="Arial" w:eastAsia="Arial" w:hAnsi="Arial"/>
          <w:sz w:val="17"/>
          <w:szCs w:val="17"/>
          <w:color w:val="auto"/>
        </w:rPr>
        <w:t>amended by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2018-05, </w:t>
      </w:r>
      <w:r>
        <w:rPr>
          <w:rFonts w:ascii="Arial" w:cs="Arial" w:eastAsia="Arial" w:hAnsi="Arial"/>
          <w:sz w:val="17"/>
          <w:szCs w:val="17"/>
          <w:i w:val="1"/>
          <w:iCs w:val="1"/>
          <w:color w:val="auto"/>
        </w:rPr>
        <w:t>Income Taxes (Topic 740): Amendments to SEC Paragraphs Pursuant to SEC Staff Accounting Bulletin No. 118.</w:t>
      </w:r>
      <w:r>
        <w:rPr>
          <w:rFonts w:ascii="Arial" w:cs="Arial" w:eastAsia="Arial" w:hAnsi="Arial"/>
          <w:sz w:val="17"/>
          <w:szCs w:val="17"/>
          <w:color w:val="auto"/>
        </w:rPr>
        <w:t xml:space="preserve"> The amendments allow for a reclassification between accumulated other comprehensive income and retained earnings for stranded tax effects resulting from the Tax Cuts and Jobs Act (2017 Tax Act), and require certain disclosures about stranded tax effects. The guidance that requires that the effect of a change in tax laws or rates be included in income is not affected. The amendments would have been effective for the Company in the first quarter of 2019. Adoption of the standard was to be applied either in the period of adoption or retrospectively to each period in which the effect of the change in the United States federal corporate tax rate in the 2017 Tax Act is recognized. Early adoption was permitted. The Company adopted this standard in 2018, with no material impact on its consolidated financial statements.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the first quarter of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introduces a new five-step revenue recognition model in which an entity recognizes revenue when its customer obtains control of promised goods or services, in an amount that reflects the consideration to which the entity expects to be entitled in exchange for those goods or services. The new standard also requires additional disclosures about the nature, amount, timing, and uncertainty of revenue and cash flows arising from customer contracts. See Note 3 - Revenue Recognition for additional accounting policy and related disclosures. The Company elected to adopt the standard using a modified retrospective method, which only impacts contracts not completed as of December 31, 2017.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 which is consistent with revenue recognition under the prior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 from temporary staffing is recognized as control of the services are transferred over time, and is based on hours worked by the Company’s field staff. The Company recognizes the majority of its revenue at the contractual amount the Company has the right to invoice for services completed to date. Generally, billing to customers occurs weekly or bi-weekly and is aligned with the payment of services to the temporary staff, with payment terms of 15 to 60 days. Accounts receivable includes estimated revenue for employees’ and independent contractors’ time worked but not yet invoiced. At June 30, 2018 and December 31, 2017, the Company's estimate of amounts that had been worked but had not been billed totaled $36.2 million and $41.8 million, respectively, and are included in accounts receivable on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which is less than 5% of its consolidated revenue for the six months ended June 30, 2018 and June 30, 2017.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73"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For the Company’s RPO, other outsourcing, and retained search services, revenue is generally recognized in the amount to which the entity has a right to invoice which corresponds directly with the value to the customer. The Company does not, in the ordinary course of business, offer warranties or refunds.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8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has certain contracts with acute care facilities to provide comprehensive services through its MSPs. Under these contract arrangements, the Company fulfills the customer’s order with either one of its healthcare professionals or a third-party's professionals (subcontractors). If the Company's healthcare professional is staffed, it is determined that the Company acts as a principal in the arrangement, as the Company is considered the employer of record. Accordingly, revenue is reported on a gross basis on the consolidated statements of operations.</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a subcontracted healthcare professional is staffed, the customer is invoiced for such services and a subcontractor liability is recorded in accrued expenses, but only the resulting administrative fee is recognized as revenue. The subcontractor is generally paid after the Company has received payment from its customer. The Company determined that it acts as an agent in these arrangements as the Company does not control the services before they are transferred. Accordingly, revenue is reported on a net basis on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Physician Staffing business enters into contracts with its healthcare customers to provide temporary staffing services. The Company uses independent contractors for these services. The Company determined that it acts as a principal in this arrangement and, therefore, revenue is reported on a gross basis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36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presents our revenues disaggregated by revenue source. Sales and usage-based taxes are excluded from revenue.</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 June 30, 2018</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 Segment</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195,633</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3,649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8,939</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Six Months ended June 30, 2018</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Other Human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Nurse</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Management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 Segment</w:t>
            </w:r>
          </w:p>
        </w:tc>
        <w:tc>
          <w:tcPr>
            <w:tcW w:w="14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 Segment</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(amounts in thousands)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356,829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397,002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7,522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17,858</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364,444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42,894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7,522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414,860</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there were no contract assets or material contract liabilities as of June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July 1, 2017, the Company acquired substantially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by the Company during the third quarter of 2017 as the final adjustment for net working</w:t>
      </w:r>
    </w:p>
    <w:p>
      <w:pPr>
        <w:jc w:val="both"/>
        <w:ind w:right="140"/>
        <w:spacing w:after="0" w:line="255" w:lineRule="auto"/>
        <w:rPr>
          <w:sz w:val="20"/>
          <w:szCs w:val="20"/>
          <w:color w:val="auto"/>
        </w:rPr>
      </w:pPr>
      <w:r>
        <w:rPr>
          <w:rFonts w:ascii="Arial" w:cs="Arial" w:eastAsia="Arial" w:hAnsi="Arial"/>
          <w:sz w:val="18"/>
          <w:szCs w:val="18"/>
          <w:color w:val="auto"/>
        </w:rPr>
        <w:t>capital. Additionally, $0.6 million of the purchase price was deferred as of the closing and is due the seller within 20 months, less any Cobra and healthcare payments incurred by the Company on behalf of the seller. As of June 30, 2018, approximately $0.4 million has been paid for claims and the remaining $0.2 million liability is included in other current liabilities on the Company’s balance sheet.</w:t>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with the escrow to cover post-close liabilities remaining unchanged.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1" w:name="page12"/>
    <w:bookmarkEnd w:id="11"/>
    <w:p>
      <w:pPr>
        <w:ind w:right="12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for further information. The transaction is treated as a purchase of assets for income tax purposes.</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MSPs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 has been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using the acquisition</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method of accounting. As such, the results of Advantage from July 1, 2017 are included in the Company's consolidated statement of operations. The acquisition results have been substantially aggregated with the Company's Nurse and Allied Staffing business segment and the associated goodwill related to the acquisition of Advantage is fully allocated to Nurse and Allied Staffing.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2017,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$0.6 million for the six months ended June 30,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jc w:val="center"/>
              <w:ind w:right="54"/>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8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0" w:type="dxa"/>
            <w:vAlign w:val="bottom"/>
          </w:tcPr>
          <w:p>
            <w:pPr>
              <w:jc w:val="center"/>
              <w:ind w:right="74"/>
              <w:spacing w:after="0"/>
              <w:rPr>
                <w:sz w:val="20"/>
                <w:szCs w:val="20"/>
                <w:color w:val="auto"/>
              </w:rPr>
            </w:pPr>
            <w:r>
              <w:rPr>
                <w:rFonts w:ascii="Arial" w:cs="Arial" w:eastAsia="Arial" w:hAnsi="Arial"/>
                <w:sz w:val="18"/>
                <w:szCs w:val="18"/>
                <w:b w:val="1"/>
                <w:bCs w:val="1"/>
                <w:color w:val="auto"/>
                <w:w w:val="88"/>
              </w:rPr>
              <w:t>June 30, 2017</w:t>
            </w:r>
          </w:p>
        </w:tc>
      </w:tr>
      <w:tr>
        <w:trPr>
          <w:trHeight w:val="27"/>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150"/>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jc w:val="center"/>
              <w:ind w:right="74"/>
              <w:spacing w:after="0" w:line="151" w:lineRule="exact"/>
              <w:rPr>
                <w:sz w:val="20"/>
                <w:szCs w:val="20"/>
                <w:color w:val="auto"/>
              </w:rPr>
            </w:pPr>
            <w:r>
              <w:rPr>
                <w:rFonts w:ascii="Arial" w:cs="Arial" w:eastAsia="Arial" w:hAnsi="Arial"/>
                <w:sz w:val="14"/>
                <w:szCs w:val="14"/>
                <w:color w:val="auto"/>
                <w:w w:val="91"/>
              </w:rPr>
              <w:t>(unaudited, amounts in thousands except per</w:t>
            </w:r>
          </w:p>
        </w:tc>
      </w:tr>
      <w:tr>
        <w:trPr>
          <w:trHeight w:val="188"/>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Pr>
          <w:p>
            <w:pPr>
              <w:jc w:val="center"/>
              <w:ind w:right="74"/>
              <w:spacing w:after="0"/>
              <w:rPr>
                <w:sz w:val="20"/>
                <w:szCs w:val="20"/>
                <w:color w:val="auto"/>
              </w:rPr>
            </w:pPr>
            <w:r>
              <w:rPr>
                <w:rFonts w:ascii="Arial" w:cs="Arial" w:eastAsia="Arial" w:hAnsi="Arial"/>
                <w:sz w:val="14"/>
                <w:szCs w:val="14"/>
                <w:color w:val="auto"/>
                <w:w w:val="90"/>
              </w:rPr>
              <w:t>share data)</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467,987</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4,418</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share attributable to common shareholders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r>
      <w:tr>
        <w:trPr>
          <w:trHeight w:val="32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common share attributable to common shareholders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r>
      <w:tr>
        <w:trPr>
          <w:trHeight w:val="27"/>
        </w:trPr>
        <w:tc>
          <w:tcPr>
            <w:tcW w:w="8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October 30, 2015, the Company completed the acquisition of all of the membership interests of New Mediscan II, LLC, Mediscan Diagnostic Services, LLC, and Mediscan Nursing Staffing, LLC (collectively, Mediscan). Earnouts related to the attainment of specific performance criteria in 2016 and 2017 were not achieved. In connection with the Mediscan acquisition, the Company also assumed contingent purchase price liabilities for a previously acquired business that are payable annually based on specific performance criteria for the 2016 through 2019 years. As of June 30, 2018, payments related to the year 2018 are limited to $0.3 million and 2019 is uncapped. During the six months ended June 30, 2018, the Company paid $0.1 million related to the year 2017. As of June 30, 2018, the fair value of the remaining obligations was estimated at $5.5 million and is included in other current liabilities and contingent consideration on the condensed consolidated balance sheets. See Note 10 - Fair Value Measurements.</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Total comprehensive income includes net income, foreign currency translation adjustments, and net change in derivative transactions,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Currency Matters </w:t>
      </w:r>
      <w:r>
        <w:rPr>
          <w:rFonts w:ascii="Arial" w:cs="Arial" w:eastAsia="Arial" w:hAnsi="Arial"/>
          <w:sz w:val="18"/>
          <w:szCs w:val="18"/>
          <w:color w:val="auto"/>
        </w:rPr>
        <w:t>Topic of the FASB ASC, assets and liabilities of these operations are translated at the exchange rates in effect on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items are translated at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ind w:right="180"/>
        <w:spacing w:after="0" w:line="259" w:lineRule="auto"/>
        <w:rPr>
          <w:sz w:val="20"/>
          <w:szCs w:val="20"/>
          <w:color w:val="auto"/>
        </w:rPr>
      </w:pPr>
      <w:r>
        <w:rPr>
          <w:rFonts w:ascii="Arial" w:cs="Arial" w:eastAsia="Arial" w:hAnsi="Arial"/>
          <w:sz w:val="18"/>
          <w:szCs w:val="18"/>
          <w:color w:val="auto"/>
        </w:rPr>
        <w:t>the average exchange rates for the period. The cumulative impact of currency fluctuations related to the balance sheet translation is included in accumulated other comprehensive loss in the accompanying condensed consolidated balance sheets and was an unrealized loss of $1.2 million at June 30, 2018 and December 31, 2017. The cumulative impact of net changes in derivative instruments included in other comprehensive loss in the condensed consolidated balance sheets was not material at June 30, 2018. See Note 9 - Derivative.</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was no income tax impact related to foreign currency translation adjustments for the three and six month period ended June 30, 2017. The income tax impact related to components of other comprehensive income for the three and six months ended June 30, 2018 is reflected on the condensed consolidated statements of comprehensive income.</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540" w:type="dxa"/>
            <w:vAlign w:val="bottom"/>
            <w:gridSpan w:val="6"/>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5"/>
          </w:tcPr>
          <w:p>
            <w:pPr>
              <w:ind w:left="60"/>
              <w:spacing w:after="0"/>
              <w:rPr>
                <w:sz w:val="20"/>
                <w:szCs w:val="20"/>
                <w:color w:val="auto"/>
              </w:rPr>
            </w:pPr>
            <w:r>
              <w:rPr>
                <w:rFonts w:ascii="Arial" w:cs="Arial" w:eastAsia="Arial" w:hAnsi="Arial"/>
                <w:sz w:val="14"/>
                <w:szCs w:val="14"/>
                <w:color w:val="auto"/>
              </w:rPr>
              <w:t>(amounts in thousands, except per share data)</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w w:val="97"/>
              </w:rPr>
              <w:t>Net income attributable to common shareholders - Basic</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10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shd w:val="clear" w:color="auto" w:fill="CCEEFF"/>
              </w:rPr>
              <w:t>Net income attributable to common shareholders - Diluted</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Weighted average common shares - Basic</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35,652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35,651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Share-based awards</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Convertible Notes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10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35,832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36,021</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4"/>
              </w:rPr>
              <w:t>Net income per share attributable to common shareholders -</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4"/>
              </w:rPr>
              <w:t>Net income per share attributable to common shareholders -</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months and six months ended June 30, 2018 and 2017, no tax benefits were assumed in the weighted average share calculation due to the Company's net operating loss position.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Convertible Notes were repaid in full on March 17, 2017. Applying the if-converted method, 1,459,030 shares (the weighted average shares outstanding through June 30, 2017) were included in diluted weighted average shares for the six months ended June 30, 2017 because their effect was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780" w:type="dxa"/>
            <w:vAlign w:val="bottom"/>
            <w:gridSpan w:val="10"/>
          </w:tcPr>
          <w:p>
            <w:pPr>
              <w:jc w:val="center"/>
              <w:ind w:right="830"/>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gridSpan w:val="8"/>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June 30, 2018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42,909</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20,221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18,702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25,912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110,068</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52,676</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57,392</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49,092</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60,976</w:t>
            </w:r>
          </w:p>
        </w:tc>
        <w:tc>
          <w:tcPr>
            <w:tcW w:w="2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3"/>
              </w:rPr>
              <w:t>As of June 30, 2018, estimated annual amortization expense is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3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Years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Arial" w:cs="Arial" w:eastAsia="Arial" w:hAnsi="Arial"/>
                <w:sz w:val="16"/>
                <w:szCs w:val="16"/>
                <w:color w:val="auto"/>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3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6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of June 30, 2018, the Company performed a qualitative assessment of each of its reporting units and determined it was less-likely-than-not that the fair value of its reporting units dropped below their carrying value. As a result, management concluded that no impairment testing was warranted as of June 30, 2018. Although management believes that the Company's current estimates and assumptions are reasonable and supportable, there can be no assurance that the estimates and assumptions made for purposes of the impairment testing will prove to be accurate predictions of future performance. As of June 30, 2018 and December 31, 2017, goodwill by reporting segment was: $88.2 million for Nurse and Allied Staffing, $20.0 million for Physician Staffing, and $9.4 million for Other Human Capital Management Services, totaling $117.6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80"/>
              <w:spacing w:after="0"/>
              <w:rPr>
                <w:sz w:val="20"/>
                <w:szCs w:val="20"/>
                <w:color w:val="auto"/>
              </w:rPr>
            </w:pPr>
            <w:r>
              <w:rPr>
                <w:rFonts w:ascii="Arial" w:cs="Arial" w:eastAsia="Arial" w:hAnsi="Arial"/>
                <w:sz w:val="18"/>
                <w:szCs w:val="18"/>
                <w:b w:val="1"/>
                <w:bCs w:val="1"/>
                <w:color w:val="auto"/>
              </w:rPr>
              <w:t>June 30, 2018</w:t>
            </w:r>
          </w:p>
        </w:tc>
        <w:tc>
          <w:tcPr>
            <w:tcW w:w="320" w:type="dxa"/>
            <w:vAlign w:val="bottom"/>
          </w:tcPr>
          <w:p>
            <w:pPr>
              <w:spacing w:after="0"/>
              <w:rPr>
                <w:sz w:val="24"/>
                <w:szCs w:val="24"/>
                <w:color w:val="auto"/>
              </w:rPr>
            </w:pPr>
          </w:p>
        </w:tc>
        <w:tc>
          <w:tcPr>
            <w:tcW w:w="25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Debt Issuance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0"/>
              </w:rPr>
              <w:t>Debt Issuance</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Costs</w:t>
            </w:r>
          </w:p>
        </w:tc>
        <w:tc>
          <w:tcPr>
            <w:tcW w:w="3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Term Loan, interest 4.23% and 3.61% at June 30, 2018 and December 31,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55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9"/>
        </w:trPr>
        <w:tc>
          <w:tcPr>
            <w:tcW w:w="7000" w:type="dxa"/>
            <w:vAlign w:val="bottom"/>
            <w:gridSpan w:val="4"/>
          </w:tcPr>
          <w:p>
            <w:pPr>
              <w:spacing w:after="0"/>
              <w:rPr>
                <w:sz w:val="20"/>
                <w:szCs w:val="20"/>
                <w:color w:val="auto"/>
              </w:rPr>
            </w:pPr>
            <w:r>
              <w:rPr>
                <w:rFonts w:ascii="Arial" w:cs="Arial" w:eastAsia="Arial" w:hAnsi="Arial"/>
                <w:sz w:val="18"/>
                <w:szCs w:val="18"/>
                <w:color w:val="auto"/>
                <w:w w:val="99"/>
              </w:rPr>
              <w:t>As of June 30, 2018, the aggregate scheduled maturities of the term loan are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8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4,375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8,125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67,500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97,500</w:t>
            </w: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an Amended and Restated Credit Agreement entered into August 1, 2017 (Amended and Restated Credit Agreement) with a maturity date of August 1, 2022,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Amended and Restated Credit Agreement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w:t>
      </w:r>
    </w:p>
    <w:p>
      <w:pPr>
        <w:spacing w:after="0" w:line="16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Borrowings under the Amended Term Loan are payable in quarterly installments, which commenced January 2, 2018, in an aggregate per annum amount equal to 5% for the first four installments, 7.5% for the next eight installments, and 10% for the remaining installments; provided that, to the extent not previously paid, the aggregate unpaid principal balance would be due and payable on the maturity date.</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69"/>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Less than 1.50:1.00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1.50:1.00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shd w:val="clear" w:color="auto" w:fill="CCEEFF"/>
          </w:tcPr>
          <w:p>
            <w:pPr>
              <w:spacing w:after="0"/>
              <w:rPr>
                <w:sz w:val="19"/>
                <w:szCs w:val="19"/>
                <w:color w:val="auto"/>
              </w:rPr>
            </w:pPr>
          </w:p>
        </w:tc>
        <w:tc>
          <w:tcPr>
            <w:tcW w:w="40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2.00:1.00</w:t>
            </w:r>
          </w:p>
        </w:tc>
        <w:tc>
          <w:tcPr>
            <w:tcW w:w="218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c>
          <w:tcPr>
            <w:tcW w:w="2160" w:type="dxa"/>
            <w:vAlign w:val="bottom"/>
            <w:tcBorders>
              <w:right w:val="single" w:sz="8" w:color="auto"/>
            </w:tcBorders>
            <w:shd w:val="clear" w:color="auto" w:fill="CCEEFF"/>
          </w:tcPr>
          <w:p>
            <w:pPr>
              <w:spacing w:after="0"/>
              <w:rPr>
                <w:sz w:val="19"/>
                <w:szCs w:val="19"/>
                <w:color w:val="auto"/>
              </w:rPr>
            </w:pPr>
          </w:p>
        </w:tc>
      </w:tr>
      <w:tr>
        <w:trPr>
          <w:trHeight w:val="262"/>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but less than 2.50:1.00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0.30%</w:t>
            </w:r>
          </w:p>
        </w:tc>
      </w:tr>
      <w:tr>
        <w:trPr>
          <w:trHeight w:val="222"/>
        </w:trPr>
        <w:tc>
          <w:tcPr>
            <w:tcW w:w="940" w:type="dxa"/>
            <w:vAlign w:val="bottom"/>
            <w:tcBorders>
              <w:top w:val="single" w:sz="8" w:color="auto"/>
              <w:left w:val="single" w:sz="8" w:color="auto"/>
              <w:right w:val="single" w:sz="8" w:color="auto"/>
            </w:tcBorders>
          </w:tcPr>
          <w:p>
            <w:pPr>
              <w:spacing w:after="0"/>
              <w:rPr>
                <w:sz w:val="19"/>
                <w:szCs w:val="19"/>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or equal to 2.50:1.00</w:t>
            </w:r>
          </w:p>
        </w:tc>
        <w:tc>
          <w:tcPr>
            <w:tcW w:w="218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44"/>
        </w:trPr>
        <w:tc>
          <w:tcPr>
            <w:tcW w:w="9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4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3.00:1.00</w:t>
            </w:r>
          </w:p>
        </w:tc>
        <w:tc>
          <w:tcPr>
            <w:tcW w:w="2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2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0.40%</w:t>
            </w:r>
          </w:p>
        </w:tc>
      </w:tr>
      <w:tr>
        <w:trPr>
          <w:trHeight w:val="20"/>
        </w:trPr>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of June 30, 2018, the Amended Term Loan and Amended Revolving Credit Facility bore interest at a rate equal to One Month LIBOR plus 2.25%.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0.30% as of June 30, 2018. During the three months ended March 31, 2018, the Company entered into an interest rate swap to reduce its exposure to fluctuations in the interest rates associated with its debt, which was effective April 2, 2018. See Note 9 - Derivative.</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Amended and Restated Credit Agreement also includes two financial covenants: (i) limiting a maximum Consolidated Total Leverage ratio (as defined therein) to be no greater than 3.50:1.00 for the fiscal quarters ending through June 30, 2018, 3.25:1.00 for the fiscal quarters ending September 30, 2018 through June 30, 2019, and 3.00:1.00 for each fiscal quarter ending thereafter and as adjusted pursuant to a Qualified Permitted Acquisition (as defined therein); and (ii) requiring a minimum Consolidated Fixed Charge Coverage ratio (as defined therein) as of the end of each fiscal quarter of 1.50:1.00. As of June 30, 2018, the Company was in compliance with the financial covenants and other covenants contained in the Amended and Restated Credit Agreement.</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 Company had $21.6 million letters of credit outstanding and $93.4 million available under the Amended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letters of credit relate to the Company’s workers’ compensation and professional liability insurance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and certain of its domestic subsidiaries had a Convertible Note Purchase Agreement (the Note Purchase Agreement), with certain note holders (collectively, the Noteholders) for an aggregate of $25.0 million of Convertible Notes. Subject to certain exceptions, the Company was not permitted to redeem the Convertible Notes until June 30, 2017.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98" w:right="219" w:bottom="1440" w:gutter="0" w:footer="0" w:header="0"/>
        </w:sectPr>
      </w:pPr>
    </w:p>
    <w:bookmarkStart w:id="16" w:name="page17"/>
    <w:bookmarkEnd w:id="16"/>
    <w:p>
      <w:pPr>
        <w:ind w:right="40"/>
        <w:spacing w:after="0" w:line="297" w:lineRule="auto"/>
        <w:rPr>
          <w:sz w:val="20"/>
          <w:szCs w:val="20"/>
          <w:color w:val="auto"/>
        </w:rPr>
      </w:pPr>
      <w:r>
        <w:rPr>
          <w:rFonts w:ascii="Arial" w:cs="Arial" w:eastAsia="Arial" w:hAnsi="Arial"/>
          <w:sz w:val="16"/>
          <w:szCs w:val="16"/>
          <w:color w:val="auto"/>
        </w:rPr>
        <w:t>within financing activities on the condensed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condensed consolidated statements of cash flows. The loss on early extinguishment of debt in the three months ended March 31, 2017 includes the write-off of unamortized loan fees and remaining interest due through the Forced Conversion date (defined below) of June 30, 2017.</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March 2018, the Company entered into an interest rate swap, with an effective date of April 2, 2018 and termination date of August 1, 2022. No initial investments were made to enter into the agreement. The interest rate swap agreement requires the Company to pay a fixed rate to the respective counterparty of 2.627% per annum on an amortizing notional amount beginning at $48.8 million (corresponding with its term loan payment schedule), and to receive from the respective counterparty, interest payments based on the applicable notional amounts and 1 month USD LIBOR, with no exchanges of notional amounts. The interest rate swap effectively fixes the interest rate on 50% of the amortizing balance of the Company’s term debt, exclusive of the credit spread on the debt. As of June 30, 2018, the fair value of the interest rate swap agreement was not material.</w:t>
      </w:r>
    </w:p>
    <w:p>
      <w:pPr>
        <w:spacing w:after="0" w:line="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deferred compensation liability included in other long-term liabilities, interest rate swap agreements included in other long-term assets and other current liabilities, and contingent consideration liabilities.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liabilities. The Company’s deferred compensation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measured using publicly available indices that define the liability amounts, as per the plan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 agreement</w:t>
      </w:r>
      <w:r>
        <w:rPr>
          <w:rFonts w:ascii="Arial" w:cs="Arial" w:eastAsia="Arial" w:hAnsi="Arial"/>
          <w:sz w:val="16"/>
          <w:szCs w:val="16"/>
          <w:color w:val="auto"/>
        </w:rPr>
        <w:t>—The Company utilized Level 2 inputs to value its interest rate swap agreement. See Note 8 - Debt and Note 9 - Derivative.</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Contingent consideration liabilities</w:t>
      </w:r>
      <w:r>
        <w:rPr>
          <w:rFonts w:ascii="Arial" w:cs="Arial" w:eastAsia="Arial" w:hAnsi="Arial"/>
          <w:sz w:val="18"/>
          <w:szCs w:val="18"/>
          <w:color w:val="auto"/>
        </w:rPr>
        <w:t>—Potential earnout payments related to the acquisition of Mediscan and USR are contingent upon meeting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requirements through 2019. The long-term portion of these liabilities is included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right="20"/>
        <w:spacing w:after="0" w:line="254" w:lineRule="auto"/>
        <w:rPr>
          <w:sz w:val="20"/>
          <w:szCs w:val="20"/>
          <w:color w:val="auto"/>
        </w:rPr>
      </w:pPr>
      <w:r>
        <w:rPr>
          <w:rFonts w:ascii="Arial" w:cs="Arial" w:eastAsia="Arial" w:hAnsi="Arial"/>
          <w:sz w:val="18"/>
          <w:szCs w:val="18"/>
          <w:color w:val="auto"/>
        </w:rPr>
        <w:t>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liability has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See Note 4 - Acquisitions. The contingent consideration related to the Company's acquisition of US Resources Healthcare, LLC (USR)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ind w:left="50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4"/>
                <w:szCs w:val="24"/>
                <w:color w:val="auto"/>
              </w:rPr>
            </w:pPr>
          </w:p>
        </w:tc>
        <w:tc>
          <w:tcPr>
            <w:tcW w:w="20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6"/>
                <w:shd w:val="clear" w:color="auto" w:fill="CCEEFF"/>
              </w:rPr>
              <w:t>Financial Assets:</w:t>
            </w:r>
          </w:p>
        </w:tc>
        <w:tc>
          <w:tcPr>
            <w:tcW w:w="24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4"/>
            <w:shd w:val="clear" w:color="auto" w:fill="CCEEFF"/>
          </w:tcPr>
          <w:p>
            <w:pPr>
              <w:ind w:left="1520"/>
              <w:spacing w:after="0"/>
              <w:rPr>
                <w:sz w:val="20"/>
                <w:szCs w:val="20"/>
                <w:color w:val="auto"/>
              </w:rPr>
            </w:pPr>
            <w:r>
              <w:rPr>
                <w:rFonts w:ascii="Arial" w:cs="Arial" w:eastAsia="Arial" w:hAnsi="Arial"/>
                <w:sz w:val="16"/>
                <w:szCs w:val="16"/>
                <w:color w:val="auto"/>
                <w:w w:val="89"/>
                <w:shd w:val="clear" w:color="auto" w:fill="CCEEFF"/>
              </w:rPr>
              <w:t>(amounts in thousands)</w:t>
            </w: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60" w:type="dxa"/>
            <w:vAlign w:val="bottom"/>
            <w:gridSpan w:val="4"/>
          </w:tcPr>
          <w:p>
            <w:pPr>
              <w:ind w:left="40"/>
              <w:spacing w:after="0"/>
              <w:rPr>
                <w:sz w:val="20"/>
                <w:szCs w:val="20"/>
                <w:color w:val="auto"/>
              </w:rPr>
            </w:pPr>
            <w:r>
              <w:rPr>
                <w:rFonts w:ascii="Arial" w:cs="Arial" w:eastAsia="Arial" w:hAnsi="Arial"/>
                <w:sz w:val="16"/>
                <w:szCs w:val="16"/>
                <w:b w:val="1"/>
                <w:bCs w:val="1"/>
                <w:color w:val="auto"/>
              </w:rPr>
              <w:t>(Level 2)</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7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Interest rate swaps</w:t>
            </w:r>
          </w:p>
        </w:tc>
        <w:tc>
          <w:tcPr>
            <w:tcW w:w="2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shd w:val="clear" w:color="auto" w:fill="CCEEFF"/>
              </w:rPr>
              <w:t>105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60" w:type="dxa"/>
            <w:vAlign w:val="bottom"/>
            <w:gridSpan w:val="4"/>
            <w:vMerge w:val="continue"/>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(Level 1)</w:t>
            </w:r>
          </w:p>
        </w:tc>
        <w:tc>
          <w:tcPr>
            <w:tcW w:w="3120" w:type="dxa"/>
            <w:vAlign w:val="bottom"/>
            <w:tcBorders>
              <w:bottom w:val="single" w:sz="8" w:color="CCEEFF"/>
            </w:tcBorders>
            <w:gridSpan w:val="2"/>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720" w:type="dxa"/>
            <w:vAlign w:val="bottom"/>
            <w:gridSpan w:val="3"/>
          </w:tcPr>
          <w:p>
            <w:pPr>
              <w:ind w:left="240"/>
              <w:spacing w:after="0"/>
              <w:rPr>
                <w:sz w:val="20"/>
                <w:szCs w:val="20"/>
                <w:color w:val="auto"/>
              </w:rPr>
            </w:pPr>
            <w:r>
              <w:rPr>
                <w:rFonts w:ascii="Arial" w:cs="Arial" w:eastAsia="Arial" w:hAnsi="Arial"/>
                <w:sz w:val="18"/>
                <w:szCs w:val="18"/>
                <w:color w:val="auto"/>
              </w:rPr>
              <w:t>Deferred compensation</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(Level 3)</w:t>
            </w:r>
          </w:p>
        </w:tc>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16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20" w:type="dxa"/>
            <w:vAlign w:val="bottom"/>
            <w:gridSpan w:val="3"/>
          </w:tcPr>
          <w:p>
            <w:pPr>
              <w:ind w:left="240"/>
              <w:spacing w:after="0"/>
              <w:rPr>
                <w:sz w:val="20"/>
                <w:szCs w:val="20"/>
                <w:color w:val="auto"/>
              </w:rPr>
            </w:pPr>
            <w:r>
              <w:rPr>
                <w:rFonts w:ascii="Arial" w:cs="Arial" w:eastAsia="Arial" w:hAnsi="Arial"/>
                <w:sz w:val="18"/>
                <w:szCs w:val="18"/>
                <w:color w:val="auto"/>
              </w:rPr>
              <w:t>Contingent consideration liabilities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5,700</w:t>
            </w:r>
          </w:p>
        </w:tc>
        <w:tc>
          <w:tcPr>
            <w:tcW w:w="2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Mediscan acquisition on October 30, 2015 and the USR acquisition on December 1, 2016 included contingent consideration liabilities. Valuation adjustments and accretion expense is included as acquisition-related contingent consideration on the condensed consolidated statements of operations. The opening balances reconciled to the closing balances for fair value measurements of these liabilities categorized within Level 3 of the fair value hierarchy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271"/>
              <w:spacing w:after="0"/>
              <w:rPr>
                <w:sz w:val="20"/>
                <w:szCs w:val="20"/>
                <w:color w:val="auto"/>
              </w:rPr>
            </w:pPr>
            <w:r>
              <w:rPr>
                <w:rFonts w:ascii="Arial" w:cs="Arial" w:eastAsia="Arial" w:hAnsi="Arial"/>
                <w:sz w:val="18"/>
                <w:szCs w:val="18"/>
                <w:b w:val="1"/>
                <w:bCs w:val="1"/>
                <w:color w:val="auto"/>
                <w:w w:val="90"/>
              </w:rPr>
              <w:t>Contingent Consideration</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tcPr>
          <w:p>
            <w:pPr>
              <w:jc w:val="center"/>
              <w:ind w:right="25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251"/>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 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Payments/Settlements</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March 31, 2018</w:t>
            </w:r>
          </w:p>
        </w:tc>
        <w:tc>
          <w:tcPr>
            <w:tcW w:w="3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5,700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fourth quarter of 2017, the carrying value of goodwill and trade names in the Physician Staffing reporting unit exceeded their fair values. As a result,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Company recorded impairment charges that incorporates fair value measurements based on Level 3 inputs. For the three and six months ended June 30, 2018, no impairment charges were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 2018</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2017</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540" w:type="dxa"/>
            <w:vAlign w:val="bottom"/>
          </w:tcPr>
          <w:p>
            <w:pPr>
              <w:spacing w:after="0"/>
              <w:rPr>
                <w:sz w:val="19"/>
                <w:szCs w:val="19"/>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6"/>
              </w:rPr>
              <w:t>Fair</w:t>
            </w:r>
          </w:p>
        </w:tc>
      </w:t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540" w:type="dxa"/>
            <w:vAlign w:val="bottom"/>
          </w:tcPr>
          <w:p>
            <w:pPr>
              <w:spacing w:after="0"/>
              <w:rPr>
                <w:sz w:val="20"/>
                <w:szCs w:val="20"/>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color w:val="auto"/>
                <w:w w:val="91"/>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96,744</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99,134</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an authorized share repurchase program, the Company repurchased and retired shares of its Common Stock as follows: 157,056 shares of its Common Stock for $1.8 million, at an average market price of $11.53 per share during the three months ended June 30, 2018; and 399,456 shares of its Common Stock for $4.7 million, at an average market price of $11.75 per share during the six months ended June 30, 2018. During the three and six months ended June 30, 2017, the Company did not repurchase any shares of its Common Stock.</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of June 30, 2018, the Company has 542,987 shares of Common Stock under the current authorized share repurchase program available to repurchase, subject to certain conditions in the Company's Amended and Restated Credit Agreement. The Company may repurchase up to an aggregate amount not to exceed $5.0 million in any fiscal year, or an unlimited amount if the Company meets certain conditions as described in its Amended and Restated Credit Agreement. At June 30, 2018, the Company had 35,605,925 unrestricted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Shares Issued</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March 17, 2017, the Company paid in full its Convertible Notes. In connection with the repayment, the Company issued 3,175,584 shares to the noteholders. See Note 8 -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Restricted stock awards granted under the Company’s 2014 Omnibus Incentive Plan, Amended and Restated effective May 23, 2017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for the six months ended June 30,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257,575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362,620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238,328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(212,061)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(43,003)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(36,540)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June 30,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623,157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459,363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six months ended June 30, 2018, $0.9 million and $1.4 million, respectively, was included in selling, general and administrative expenses related to share-based payments, and a net of 48,620 and 150,454 shares, respectively, of Common Stock were issued upon the vesting of restricted stock.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2017, $1.3 million and $2.0 million, respectively, was included in selling, general and administrative expenses related to share-based payments, and a net of 126,798 and 201,676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Unites States. Substantially all of the results of the Advantage acquisition have been aggregated with the Company's Nurse and Allied Staffing business segment. See Note 4 - Acquisitions.</w:t>
      </w:r>
    </w:p>
    <w:p>
      <w:pPr>
        <w:spacing w:after="0" w:line="193"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20" w:name="page21"/>
    <w:bookmarkEnd w:id="20"/>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management evaluates performance of each segment primarily based on revenue and contribution income. The Company defines contribution income as income from operations before depreciation and amortization, acquisition-related contingent consideration, acquisition and integration costs, restructuring costs,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9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179,339</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180,927</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364,444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364,035</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24,720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3,666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6,667</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209,313</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414,860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16,909</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18,141</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33,763</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36,431</w:t>
            </w:r>
          </w:p>
        </w:tc>
      </w:tr>
      <w:tr>
        <w:trPr>
          <w:trHeight w:val="297"/>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10,827</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2,285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4,476</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4,342</w:t>
            </w:r>
          </w:p>
        </w:tc>
        <w:tc>
          <w:tcPr>
            <w:tcW w:w="1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6,449</w:t>
            </w:r>
          </w:p>
        </w:tc>
        <w:tc>
          <w:tcPr>
            <w:tcW w:w="2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Future minimum lease payments, as of June 30, 2018, associated with these agreements with terms of one year or more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2320" w:type="dxa"/>
            <w:vAlign w:val="bottom"/>
          </w:tcPr>
          <w:p>
            <w:pPr>
              <w:jc w:val="right"/>
              <w:ind w:right="370"/>
              <w:spacing w:after="0"/>
              <w:rPr>
                <w:sz w:val="20"/>
                <w:szCs w:val="20"/>
                <w:color w:val="auto"/>
              </w:rPr>
            </w:pPr>
            <w:r>
              <w:rPr>
                <w:rFonts w:ascii="Arial" w:cs="Arial" w:eastAsia="Arial" w:hAnsi="Arial"/>
                <w:sz w:val="18"/>
                <w:szCs w:val="18"/>
                <w:color w:val="auto"/>
                <w:w w:val="97"/>
              </w:rPr>
              <w:t>(amounts in thousands)</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6,897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4,942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9,419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Non-income tax expense is included in selling, general and administrative expenses on its condensed consolidated statements of operations and the liability is reflected in sales tax payable within other current liabilities as of June 30, 2018 and December 31, 2017, on its condensed consolidated balance sheets.</w:t>
      </w:r>
    </w:p>
    <w:p>
      <w:pPr>
        <w:spacing w:after="0" w:line="17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For the three and six month periods ended June 30, 2018, the Company estimated its effective tax rate on an annual basis, as opposed to calculating it for the three and six month periods ended June 30, 2017 based on year-to-date results,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The Company’s effective tax rate for the three and six months ended June 30, 2018 was 39.1% and 38.4%, respectively, including the impact of discrete items. Excluding discrete items, the Company’s effective tax rate for the three and six months ended June 30, 2018 was 40.3% and 37.8%, respectively. The effective tax rate for the second quarter of 2018 was primarily impacted by the non-deductibility of certain per diem expenses, the officers' compensation limitation, and international and state taxes.</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the fourth quarter of 2017, the Company concluded that it was more likely than not that a benefit from a substantial portion of its United States federal and state deferred tax assets would be realized. As a result, it released the majority of its valuation allowance. The Company will continue to assess the realizability of its deferred tax assets and, as of June 30, 2018, has maintained a $1.1 million valuation allowance against certain state net operating losses.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Securities and Exchange Commission (SEC) staff issued Staff Accounting Bulletin (SAB) No. 118 (SAB 118), which provides guidance on accounting for the tax effects of the 2017 Tax Act. SAB 118 provides a measurement period that should not extend beyond one year from the enactment date for companies to complete the accounting required under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In accordance with SAB 118, a company must reflect the income tax effects of those aspects of the 2017 Tax Act for which the accounting under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is complete. To the extent that a company's accounting for certain income tax effects is incomplete but it is able to determine a reasonable estimate, it must record a provisional estimate in its financial statements. The ultimate impact of the 2017 Tax Act in our financial statements 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provisional with regard to certain foreign tax provisions and may differ from our estimates due to changes in the interpretations and assumptions made by us as well as additional regulatory guidance that may be issued.</w:t>
      </w:r>
    </w:p>
    <w:p>
      <w:pPr>
        <w:spacing w:after="0" w:line="17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As of June 30, 2018, the Company had approximately $0.6 million of unrecognized tax benefits included in other current liabilities and other long-term liabilities ($4.6 million, net of deferred taxes, which would affect the effective tax rate if recognized). During the six months ended June 30, 2018, the Company had gross increases of $0.6 million to its current year unrecognized tax benefits related to federal and state tax provisions.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years of 2008 and 2010 through 2017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provided services to customers affiliated with certain members of the Company’s Board of Directors. Management believes services with related parties were conducted on terms equivalent to those prevailing in an arm's-length transaction. Revenue related to these transactions was less than $0.1 million for both the three and six months ended June 30, 2018, and $0.9 million and $2.6 million for the three and six months ended June 30, 2017, respectively. Accounts receivable due from these hospitals at June 30, 2018 and December 31, 2017 were less than $0.1 million and approximately $0.4 million, respectively.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$4.7 million and $9.1 million for the three and six months ended June 30, 2018, respectively, and $4.5 million and $8.7 million for the three and six months ended June 30, 2017, respectively. At June 30, 2018 and December 31, 2017, the Company had a receivable balance of $1.8 million and $0.8 million, respectively, and a payable balance of $0.3 million at both periods.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$0.2 million, respectively, in rent expense for these premises for the three and six months ended June 30, 2018 and June 30, 2017.</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2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an entity’s own stock.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w:t>
      </w:r>
    </w:p>
    <w:p>
      <w:pPr>
        <w:spacing w:after="0" w:line="2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 in the process of implementing a plan to adopt this standard. As a result of its review, the Company intends to elect the practical expedient package to retain its lease classification for any leases that existed prior to the adoption of the standard. In addition, the Company expects to elect not to apply the recognition requirements to short-term leases. While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ind w:right="80"/>
        <w:spacing w:after="0" w:line="257" w:lineRule="auto"/>
        <w:rPr>
          <w:sz w:val="20"/>
          <w:szCs w:val="20"/>
          <w:color w:val="auto"/>
        </w:rPr>
      </w:pPr>
      <w:r>
        <w:rPr>
          <w:rFonts w:ascii="Arial" w:cs="Arial" w:eastAsia="Arial" w:hAnsi="Arial"/>
          <w:sz w:val="18"/>
          <w:szCs w:val="18"/>
          <w:color w:val="auto"/>
        </w:rPr>
        <w:t>Company has not yet determined the impact on its consolidated balance sheets or statements of operations, at June 30, 2018, it was contractually obligated to make future payments of $35.3 million under its operating lease obligations, substantially related to real estate. Under ASU No. 2016-02 these operating leases would potentially be required to be presented on its consolidated balance sheets. The Company has implemented a lease management software application tool and is continuing to assess the impact that the adoption of ASU 2016-02 will have on its consolidated financial statements as well as changes to its processes.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72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2017.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the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88% of our total revenue in the second quarter of 2018.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acquisition of Advantage have been aggregated with our Nurse and Allied Staffing business segment. See Note 4 - Acquisitions to our condensed consolidated financial statements.</w:t>
      </w:r>
    </w:p>
    <w:p>
      <w:pPr>
        <w:spacing w:after="0" w:line="188" w:lineRule="exact"/>
        <w:rPr>
          <w:rFonts w:ascii="Arial" w:cs="Arial" w:eastAsia="Arial" w:hAnsi="Arial"/>
          <w:sz w:val="18"/>
          <w:szCs w:val="18"/>
          <w:color w:val="auto"/>
        </w:rPr>
      </w:pPr>
    </w:p>
    <w:p>
      <w:pPr>
        <w:ind w:left="660" w:right="440" w:hanging="328"/>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represented approximately 10% of our total revenue in the second quarter of 2018. Physician Staffing</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physicians in many specialties, as well as certified registered nurse anesthetists, nurse practitioners, and physician assistants under our Medical Doctor Associates (MDA) brand as independent contractors on temporary assignments throughout the United States.</w:t>
      </w:r>
    </w:p>
    <w:p>
      <w:pPr>
        <w:spacing w:after="0" w:line="146" w:lineRule="exact"/>
        <w:rPr>
          <w:rFonts w:ascii="Arial" w:cs="Arial" w:eastAsia="Arial" w:hAnsi="Arial"/>
          <w:sz w:val="16"/>
          <w:szCs w:val="16"/>
          <w:color w:val="auto"/>
        </w:rPr>
      </w:pPr>
    </w:p>
    <w:p>
      <w:pPr>
        <w:jc w:val="both"/>
        <w:ind w:left="660" w:right="2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2%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second quarter of 2018. OHCMS is comprised of retained and contingent search services for physicians, healthcare executives, and other healthcare professionals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quarter ended June 30, 2018, revenue from services decreased 2% year-over-year to $204.6 million, with declines in both our Nurse and Allied Staffing and our Physician Staffing reporting segments, partially offset by growth in our OHCMS reporting segment. The decrease in our Nurse and Allied Staffing segment was primarily due to lower volume particularly in our legacy travel nurse and branch operations businesses, partially offset by the impact of the Advantage acquisition. The decrease in our Physician Staffing segment was due to lower volume. We continue to manage our selling, general and administrative expenses as we remain committed to improving operating leverage and overall profitability. As part of our cost savings and efficiency initiatives, we incurred $0.2 million in restructuring charges during the second quarter of 2018. Net income attributable to common shareholders was $1.5 million, or $0.04 per diluted share.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4" w:name="page25"/>
    <w:bookmarkEnd w:id="24"/>
    <w:p>
      <w:pPr>
        <w:ind w:right="40"/>
        <w:spacing w:after="0" w:line="291" w:lineRule="auto"/>
        <w:rPr>
          <w:sz w:val="20"/>
          <w:szCs w:val="20"/>
          <w:color w:val="auto"/>
        </w:rPr>
      </w:pPr>
      <w:r>
        <w:rPr>
          <w:rFonts w:ascii="Arial" w:cs="Arial" w:eastAsia="Arial" w:hAnsi="Arial"/>
          <w:sz w:val="16"/>
          <w:szCs w:val="16"/>
          <w:color w:val="auto"/>
        </w:rPr>
        <w:t>For the six months ended June 30, 2018, we generated cash flow from operating activities of $17.9 million. In addition, in the first six months of 2018, we repurchased and retired 399,456 shares of Common Stock for $4.7 million, at an average market price of $11.75 per share, pursuant to the current authorized share repurchase program. See Note 11 - Stockholders' Equity to our condensed consolidated financial statements. As of June 30, 2018, we had $32.6 million of cash and cash equivalents and $97.5 million outstanding on our Term Loan, at par. There were no borrowings drawn on our $115.0 million revolving credit facility, with $21.6 million of letters of credit outstanding, leaving $93.4 million available for borrowings under the revolving credit facility. During the first quarter of 2018, we entered into a fixed interest rate swap with an effective date of April 2, 2018, executed on 50% of the outstanding notional amount of our Amended Term Loan. See Note 8 - Debt and Note 9 - Derivative to our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placement of nurses.</w:t>
            </w:r>
          </w:p>
        </w:tc>
      </w:tr>
      <w:tr>
        <w:trPr>
          <w:trHeight w:val="256"/>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invoiced during the period,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including an estimate for the impact of accrued revenue, by 8 hours. Prior periods</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have been recalculated to include the impact of the accrued revenue.</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Revenue per day filled is calculated by dividing revenue as reported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0"/>
              </w:rPr>
              <w:t>the period presented. Prior periods have been recalculated to include the impact of the</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accrued revenue and days.</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1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260" w:type="dxa"/>
            <w:vAlign w:val="bottom"/>
          </w:tcPr>
          <w:p>
            <w:pPr>
              <w:spacing w:after="0"/>
              <w:rPr>
                <w:sz w:val="23"/>
                <w:szCs w:val="23"/>
                <w:color w:val="auto"/>
              </w:rPr>
            </w:pPr>
          </w:p>
        </w:tc>
        <w:tc>
          <w:tcPr>
            <w:tcW w:w="19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73.7</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19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19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9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5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Less: Net income attributable to noncontrolling interest in subsidiary</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440" w:type="dxa"/>
            <w:vAlign w:val="bottom"/>
          </w:tcPr>
          <w:p>
            <w:pPr>
              <w:jc w:val="right"/>
              <w:ind w:right="8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Comparison of Results for the Three Months Ended June 30, 2018 compared to the Three Months Ended June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152,785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87.4 %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from services decreased 2.3%, to $204.6 million for the three months ended June 30, 2018, as compared to $209.3 million for the three months ended June 30, 2017, due primarily to volume declines mainly in our legacy Nurse and Allied and Physician Staffing businesses, partly offset by the impact of the acquisition of Advantage. Excluding the impact of Advantage, revenue decreased $24.5 million or 11.7%. See further discussion in Segment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housing expenses, travel expenses, and related insurance expenses. Direct operating expenses decreased $1.9 million or 1.2%, to $150.9 million for the three months ended June 30, 2018, as compared to $152.8 million for the three months ended</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June 30, 2017. As a percentage of total revenue, direct operating expenses increased to 73.8% compared to 73.0% in the prior year period, partly due to the impact of the Advantage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expenses decreased 2.8%, to $45.3 million for the three months ended June 30, 2018, as compared to $46.6 million for the three months ended June 30, 2017, despite the added expenses from the acquisition of Advantage. As a percentage of total revenue, selling, general and administrative expenses decreased to 22.1% for the three months ended June 30, 2018 as compared to 22.3% for the three months ended June 30, 2017, reflecting the cost savings and efficiency initiatives undertaken over the last several quarters.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Depreciation and amortization expense increased to $3.0 million for the three months ended June 30, 2018 from $2.3 million for the three months ended June 30, 2017, primarily due to the additional amortization of other intangible assets of Advantage. As a percentage of revenue, depreciation and amortization expense was 1.5% and 1.1% for the three months ended June 30, 2018 and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Acquisition-related contingent consideration, comprised of accretion on our contingent consideration liabilities for our Mediscan and USR acquisitions, totaled $0.2 million and $0.3 million for the three months ended June 30, 2018 and June 30, 2017, respectively. See Note 10 -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Acquisition and integration costs during the three months ended June 30, 2018 were $0.1 million, compared to $0.6 million during the three months ended June 30, 2017, and related to the Advantage acquisition. See Note 4 - Acquisitions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Restructuring costs totaled $0.2 million during the three months ended June 30, 2018 and related primarily to severance costs incurred in connection with our cost savings and efficiency initiatives. There were no such severance costs for the three months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was $1.4 million for the three months ended June 30, 2018, compared to $0.5 million for the three months ended June 30, 2017, primarily due to the incremental debt resulting from the acquisition of Advantage and a higher effective interest rate. The effective interest rate on our borrowings increased to 5.0% for the three month period ended June 30, 2018 compared to 3.7% for the three months ended June 30, 2017, primarily due to an increase in the one month LIBOR rate. See Note 8 -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 expense totaled $1.2 million for the three months ended June 30, 2018, compared to $0.8 million for the three months ended June 30, 2017. The Company’s effective tax rate for the three months ended June 30, 2018 and June 30, 2017 was 39.1% and 12.6%, respectively, including the impact of discrete items. Excluding discrete items, the Company’s effective tax rate for the three months ended June 30, 2018 and June 30, 2017 was 40.3% and 12.4%, respectively. The effective tax rate for the second quarter of 2018 was primarily related to the non-deductibility of certain per diem expenses, the officers’ compensation limitation, and international and state taxes. The effective tax rate for the second quarter of 2017 was primarily related to the amortization of indefinite-lived intangible assets for tax purposes and international and state taxes.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Results for the Six Months Ended June 30, 2018 compared to the Six Months Ended June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Revenue from services decreased 0.5%, to $414.9 million for the six months ended June 30, 2018, as compared to $416.9 million for the six months ended June 30, 2017, due primarily to volume declines mainly in our legacy Nurse and Allied and Physician Staffing businesses, partly offset by the impact of the acquisition of Advantage. Excluding the impact of Advantage, revenue decreased $41.8 million or 10.0%. See further discussion in Segment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housing expenses, travel expenses, and related insurance expenses. Direct operating expenses increased $0.3 million or 0.1%, to $307.4 million for the six months ended June 30, 2018, as compared to $307.1 million for the six months ended</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June 30, 2017. As a percentage of total revenue, direct operating expenses increased to 74.1% compared to 73.7% in the prior year period, primarily due to the impact of the Advantage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expenses decreased 3.1%, to $90.9 million for the six months ended June 30, 2018, as compared to $93.8 million for the six months ended June 30, 2017, despite the added expenses from the acquisition of Advantage. As a percentage of total revenue, selling, general and administrative expenses decreased to 21.9% for the six months ended June 30, 2018 as compared to 22.5% for the six months ended June 30, 2017, reflecting the cost savings and efficiency initiatives completed over the last several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Depreciation and amortization expense increased to $5.9 million for the six months ended June 30, 2018 from $4.5 million for the six months ended June 30, 2017, primarily due to the additional amortization of other intangible assets of Advantage. As a percentage of revenue, depreciation and amortization expense was 1.4% and 1.1% for the six months ended June 30,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Acquisition-related contingent consideration, comprised of accretion on our contingent consideration liabilities for our Mediscan and USR acquisitions, totaled $0.4 million and $0.6 million for the six months ended June 30, 2018 and June 30, 2017, respectively. See Note 10 - Fair Value Measurements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Acquisition and integration costs during the six months ended June 30, 2018 were $0.2 million, compared to $0.6 million during the six months ended June 30, 2017, and related to the Advantage acquisition. See Note 4 - Acquisitions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Restructuring costs totaled $0.6 million during the six months ended June 30, 2018 and related primarily to severance costs incurred in connection with our cost savings and efficiency initiatives. There were no such severance costs for the six months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expense was $2.7 million for the six months ended June 30, 2018, compared to $1.8 million for the six months ended June 30, 2017, primarily due to the incremental debt resulting from the acquisition of Advantage, partially offset by a lower effective interest rate. The effective interest rate on our borrowings decreased to 4.7% for the six month period ended June 30, 2018 compared to 5.7% for the six months ended June 30, 2017. The six months ended June 30, 2017 was impacted by the 8.0% fixed rate Convertible Note paid off on March 17, 2017. See Note 8 -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incurred a gain on derivative liability of $1.6 million for the six months ended June 30, 2017 related to the change in the fair value of embedded features of our Convertible Notes from the end of the prior quarter through the payoff date, primarily resulting from a decrease in our share price. There were no such charges incurred for the six months ended June 30, 2018. See Note 8 - Debt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Loss on early extinguishment of debt of $5.0 million for the six months ended June 30, 2017 relates to the early repayment of our Convertible Notes. See Note 8 -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Income tax expense totaled $2.3 million for the six months ended June 30, 2018, compared to $1.1 million for the six months ended June 30, 2017. The Company’s effective tax rate for the six months ended June 30, 2018 and June 30, 2017 was 38.4% and 24.2%, respectively, including the impact of discrete items. Excluding discrete items, the Company’s effective tax rate for the six months ended June 30, 2018 and June 30, 2017 was 37.8% and 31.7%, respectively. The effective tax rate for the six months ended June 30, 2018 was primarily related to the non-deductibility of certain per diem expenses, the officers’ compensation limitation, and international and state taxes. The effective tax rate for the six months ended June 30, 2017 was primarily related to the amortization of indefinite-lived intangible assets for tax purposes and international and state taxes, partly offset by a discrete tax benefit.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3"/>
        </w:trPr>
        <w:tc>
          <w:tcPr>
            <w:tcW w:w="9820" w:type="dxa"/>
            <w:vAlign w:val="bottom"/>
            <w:gridSpan w:val="11"/>
          </w:tcPr>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12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color w:val="auto"/>
              </w:rPr>
              <w:t>(amounts in thousands)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179,339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180,927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364,444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364,035</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46,184</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3,666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6,667</w:t>
            </w:r>
          </w:p>
        </w:tc>
      </w:tr>
      <w:tr>
        <w:trPr>
          <w:trHeight w:val="27"/>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204,572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209,313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16,909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18,141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33,763</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12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36,431</w:t>
            </w:r>
          </w:p>
        </w:tc>
      </w:tr>
      <w:tr>
        <w:trPr>
          <w:trHeight w:val="324"/>
        </w:trPr>
        <w:tc>
          <w:tcPr>
            <w:tcW w:w="1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21,113</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4,476</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1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6,449</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7,143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7,155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13,751</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15,690</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(1,939)</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50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7,305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7,180</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28,001</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29,742</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(1,741)</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1,553</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67" w:right="239" w:bottom="1027"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67" w:right="239" w:bottom="1027" w:gutter="0" w:footer="0" w:header="0"/>
          <w:type w:val="continuous"/>
        </w:sectPr>
      </w:pPr>
    </w:p>
    <w:bookmarkStart w:id="31" w:name="page32"/>
    <w:bookmarkEnd w:id="31"/>
    <w:p>
      <w:pPr>
        <w:ind w:right="1800" w:firstLine="8"/>
        <w:spacing w:after="0" w:line="495"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12 - Segment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2018 compared to the Three Months Ended June 30,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Revenue from Nurse and Allied Staffing decreased $1.6 million, or 0.9%, to $179.3 million for the three months ended June 30, 2018, compared to $180.9 million for the three months ended June 30, 2017, predominantly due to declines in our legacy travel nurse and branch operations businesses, partially offset by the Advantage acquisition. Excluding the Advantage acquisition, revenue decreased $21.3 million, or 11.8%, primarily driven by volume.</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Contribution income from Nurse and Allied Staffing decreased $1.2 million or 6.8%, to $16.9 million for the three months ended June 30, 2018, compared to $18.1 million for the three months ended June 30, 2017, primarily due to lower volumes in our legacy travel nurse and branch operation businesses, partially offset by the impact of the Advantage acquisition and lower selling, general, and administrative expense due to our cost savings and efficiency initiatives. As a percentage of segment revenue, contribution income was 9.4% for the three months ended June 30, 2018, compared to 10.0% for the three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average number of Nurse and Allied Staffing FTEs on contract during the three months ended June 30, 2018 decreased slightly from the three months ended June 30, 2017. The average Nurse and Allied Staffing revenue per FTE per day decreased 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Revenue from Physician Staffing decreased $3.4 million, or 13.7%, to $21.3 million for the three months ended June 30, 2018, compared to $24.7 million for the three months ended June 30, 2017, primarily due to a lower number of days filled, and to a lesser extent, lower average bill rates due to mix.</w:t>
      </w:r>
    </w:p>
    <w:p>
      <w:pPr>
        <w:spacing w:after="0" w:line="12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Contribution income from Physician Staffing decreased $0.6 million, or 32.4%, to $1.4 million for the three months ended June 30, 2018, compared to $2.0 million for the three months ended June 30, 2017, primarily due to lower volumes as well as a shift in the mix of specialties. As a percentage of segment revenue, contribution income was 6.5% for the three months ended June 30, 2018, compared to 8.3% for the three months ended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days filled were 13,751 as compared with 15,690 in the prior year. Revenue per day filled was $1,551 as compared with $1,576 in the prior year, down 1.6% due to a shift in mix between advanced practice and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from OHCMS increased $0.2 million, or 6.4%, to $3.9 million for the three months ended June 30, 2018, compared to $3.7 million for the three months ended June 30, 2017, primarily due to growth in physician placements.</w:t>
      </w:r>
    </w:p>
    <w:p>
      <w:pPr>
        <w:spacing w:after="0" w:line="17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Segment contribution income for the three months ended June 30, 2018 increased to $0.3 million, compared to $0.2 million for the three months ended June 30, 2017, driven by revenue growth, coupled with lower expenses resulting in improved operating leverage in the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$10.8 million for the three months ended June 30, 2018 and 2017. As a percentage of consolidated revenue, unallocated corporate overhead was 5.3% for the three months ended June 30, 2018 and 5.2% for the three months ended June 30, 2017.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Segment Comparison - Six Months Ended June 30, 2018 compared to the Six Months Ended June 30, 2017</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Revenue from Nurse and Allied Staffing increased $0.4 million, or 0.1%, to $364.4 million for the six months ended June 30, 2018, compared to $364.0 million for the six months ended June 30, 2017, predominantly due to the Advantage acquisition, partially offset by declines in our legacy travel nurse and branch operations businesses. Excluding the Advantage acquisition, revenue decreased $39.4 million, or 10.8%, primarily driven by volume.</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Contribution income from Nurse and Allied Staffing decreased $0.1 million or 0.3%, to $33.7 million for the six months ended June 30, 2018, compared to $33.8 million for the six months ended June 30, 2017, primarily due to lower volumes in our travel nurse and branch operations businesses, partly offset by lower selling, general and administrative expense due to our cost savings and efficiency initiatives. As a percentage of segment revenue, contribution income was 9.2% for the six months ended June 30, 2018, compared to 9.3% for the six months ended June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six months ended June 30, 2018 increased 1.7% from the six months ended June 30, 2017, primarily due to the added FTEs from the Advantage acquisition. The average Nurse and Allied Staffing revenue per FTE per day decreased 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from Physician Staffing decreased $3.3 million, or 7.1%, to $42.9 million for the six months ended June 30, 2018, compared to $46.2 million for the six months ended June 30, 2017, primarily due to a lower number of days filled, coupled with lower bill rates due to mix.</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Contribution income from Physician Staffing was $2.9 million for the six months ended June 30, 2018, consistent with the six months ended June 30, 2017. As a percentage of segment revenue, contribution income was 6.7% for the six months ended June 30, 2018, compared to 6.2% for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days filled were 28,001 as compared with 29,742 in the prior year. Revenue per day filled was $1,532 as compared with $1,553 in the prior year, down 1.4% due to a shift in mix between advanced practice and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OHCMS increased $0.9 million, or 12.8%, to $7.5 million for the six months ended June 30, 2018, compared to $6.7 million for the six months ended June 30, 2017, primarily due to growth in both executive and physician searches.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Segment contribution income for the six months ended June 30, 2018 increased to $0.6 million, compared to a loss of $0.2 million for the six months ended June 30, 2017, reflecting improved operating leverage in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$21.5 million for the six months ended June 30, 2018, compared to $21.1 million for the six months ended June 30, 2017. As a percentage of consolidated revenue, unallocated corporate overhead was 5.2% for the six months ended June 30, 2018 and 5.1% for the six months ended June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June 30, 2018, we had $32.6 million in cash and cash equivalents and $97.5 million of Term Loan outstanding, at par. Working capital increased to $117.3 million as of June 30, 2018 from $114.3 million as of December 31, 2017. Our net days' sales outstanding (DSO), which excludes amounts owed to subcontractors, decreased 1 day to 57 days as of June 30, 2018, compared to 58 days as of December 31, 2017.</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In the third quarter of 2018, we expect to launch a new initiative to replace our front-end system which supports the travel nurse staffing operations. We anticipate the core system replacement to be completed by late 2019 and the total cost to range between $10 million and $12 million, of which we expect approximately three quarters of the costs to be capitalized and/or deferred. Operating cash flows and cash on hand, along with amounts available under our revolving credit facility, should be sufficient to meet these needs during the next twelve months.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was $17.9 million in the six months ended June 30, 2018, compared to $25.5 million in the six months ended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June 30, 2017, primarily due to a six day increase in DSO to 57 days as of June 30, 2018 from 51 days as of June 30, 2017, and timing of payments. Net cash used in investing activities was $2.3 million in the six months ended June 30, 2018, compared to $3.4 million in the six months ended June 30, 2017, primarily for capital expenditures in both periods.</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used in financing activities during the six months ended June 30, 2018 was $8.6 million, compared to $8.9 million during the six months ended June 30, 2017. During the six months ended June 30, 2018, we used cash to repurchase $4.7 million in shares of Common Stock, repay $2.5 million on our Term Loan, pay $0.7 million for shares withheld for taxes, $0.6 million for noncontrolling shareholder payments, and $0.1 million for contingent consideration. During the six months ended June 30, 2017, we repaid our Convertible Notes with a partial cash payment of $5.0 million and paid $0.6 million in related extinguishment fees. We also reduced the principal amount of our term debt by $1.5 million. In addition, we used cash to pay $1.2 million for shares withheld for taxes, $0.5 million for noncontrolling shareholder payments, and $0.1 million for contingent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more fully described in Note 8 - Debt to our condensed consolidated financial statements, our Amended and Restated Credit Agreement, entered into on August 1, 2017, provides us with a $215.0 million committed facility, including a term loan of $100.0 million (Amended Term Loan) and a $115.0 million revolving credit facility (Amended Revolving Credit Facility) (together with the Amended Term Loan, the Amended Credit Facilities). As of June 30, 2018, the Applicable Margin, as defined in the Amended and Restated Credit Agreement, was 2.25% for Eurodollar Loans and LIBOR Index Rate Loans and 1.25% for Base Rate Loans. As of June 30, 2018, we had $97.5 million remaining on the Amended Term Loan and $21.6 million in letters of credit outstanding, leaving $93.4 million available under the Amended Revolving Credit Facility. We believe this provides us with the ability to continue to execute our strategy to grow the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inception of the Convertible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color w:val="auto"/>
        </w:rPr>
        <w:t>See Note 8 - Debt to our condensed consolidated financial statement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June 30, 2018, we are in compliance with the financial covenants and other covenants contained in the Credit Agreement.</w:t>
      </w:r>
    </w:p>
    <w:p>
      <w:pPr>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July 2, 2018 applicable LIBOR and margin rate totaling 4.6% on 50% of the Term Loan balance, and a fixed interest rate of 5.1% on the other 50% of the Term Loan balance, taking into account the interest rate swap. See Note 9 - Derivative.</w:t>
      </w:r>
    </w:p>
    <w:p>
      <w:pPr>
        <w:spacing w:after="0" w:line="1" w:lineRule="exact"/>
        <w:rPr>
          <w:rFonts w:ascii="Arial" w:cs="Arial" w:eastAsia="Arial" w:hAnsi="Arial"/>
          <w:sz w:val="18"/>
          <w:szCs w:val="18"/>
          <w:color w:val="auto"/>
        </w:rPr>
      </w:pPr>
    </w:p>
    <w:p>
      <w:pPr>
        <w:ind w:left="660" w:right="4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and USR acquisitions, including accretion. See Note 4 - Acquisitions to our condensed consolidated financial statements. While it is not certain if, or when, the remaining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13 -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2017, filed with the SEC, other than the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discussed in Note 2 - Summary of Significant Accounting Policies to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interest rate changes, primarily as a result of our revolving loan and term loans under our Credit Agreement, which bears interest based on floating rates. Refer to Liquidity and Capital Resources - Credit Agreement included in Item 2. Management’s Discussion and Analysis above for further discussion about our Credit Agreement and related interest rate swap effective beginning in the second quarter of 2018. Every 1% change in interest rates on variable rate debt would have resulted in interest expense fluctuating approximately $0.5 million in the second quarter of 2018 and $0.4 million in the second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364" w:right="31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364"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38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2008, our Board of Directors authorized its most recent stock repurchase program whereby we may purchase up to an additional 1.5 million shares of our common stock, subject to the terms of our current credit agreement. The shares may be repurchased from time-to-time in the open market and the repurchase program may be discontinued at any time at our discretion.</w:t>
      </w:r>
    </w:p>
    <w:p>
      <w:pPr>
        <w:spacing w:after="0" w:line="1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three months ended June 30, 2018, we purchased, under this program, a total of 157,056 shares at an average price of $11.53 per share. A summary of the repurchase activity for the period covered by this report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of Shares that</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Total 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Paid per 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700,043</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May 1 - May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116,173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116,173</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583,870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40,883</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40,883</w:t>
            </w:r>
          </w:p>
        </w:tc>
        <w:tc>
          <w:tcPr>
            <w:tcW w:w="2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542,987</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April 1 - June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157,056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157,056</w:t>
            </w:r>
          </w:p>
        </w:tc>
        <w:tc>
          <w:tcPr>
            <w:tcW w:w="2380" w:type="dxa"/>
            <w:vAlign w:val="bottom"/>
            <w:gridSpan w:val="2"/>
          </w:tcPr>
          <w:p>
            <w:pPr>
              <w:jc w:val="right"/>
              <w:ind w:right="10"/>
              <w:spacing w:after="0"/>
              <w:rPr>
                <w:sz w:val="20"/>
                <w:szCs w:val="20"/>
                <w:color w:val="auto"/>
              </w:rPr>
            </w:pPr>
            <w:r>
              <w:rPr>
                <w:rFonts w:ascii="Arial" w:cs="Arial" w:eastAsia="Arial" w:hAnsi="Arial"/>
                <w:sz w:val="18"/>
                <w:szCs w:val="18"/>
                <w:color w:val="auto"/>
              </w:rPr>
              <w:t>542,987</w:t>
            </w: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0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Amended and Restated By-laws of the Registrant</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7"/>
              </w:rPr>
            </w:pPr>
            <w:hyperlink w:anchor="page56">
              <w:r>
                <w:rPr>
                  <w:rFonts w:ascii="Arial" w:cs="Arial" w:eastAsia="Arial" w:hAnsi="Arial"/>
                  <w:sz w:val="18"/>
                  <w:szCs w:val="18"/>
                  <w:color w:val="0000FF"/>
                  <w:w w:val="97"/>
                </w:rPr>
                <w:t>Certification pursuant to Rule 13a-14(a) and Rule 15d-14 (a) by William J. Grubbs,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56">
              <w:r>
                <w:rPr>
                  <w:rFonts w:ascii="Arial" w:cs="Arial" w:eastAsia="Arial" w:hAnsi="Arial"/>
                  <w:sz w:val="18"/>
                  <w:szCs w:val="18"/>
                  <w:color w:val="0000FF"/>
                  <w:w w:val="93"/>
                </w:rPr>
                <w:t>(Principal Executive Officer)</w:t>
              </w:r>
            </w:hyperlink>
          </w:p>
        </w:tc>
        <w:tc>
          <w:tcPr>
            <w:tcW w:w="7120" w:type="dxa"/>
            <w:vAlign w:val="bottom"/>
            <w:tcBorders>
              <w:top w:val="single" w:sz="8" w:color="0000FF"/>
            </w:tcBorders>
            <w:gridSpan w:val="5"/>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pursuant to Rule 13a-14(a) and Rule 15d-14 (a) by Christopher R. Pizzi, SVP &amp; Chief Financial Officer (Principal</w:t>
              </w:r>
            </w:hyperlink>
          </w:p>
        </w:tc>
        <w:tc>
          <w:tcPr>
            <w:tcW w:w="5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Certification pursuant to 18 U.S.C. Section 1350 by William J. Grubbs, President, Chief Executive Officer, Director (Principal</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Executive Officer)</w:t>
              </w:r>
            </w:hyperlink>
          </w:p>
        </w:tc>
        <w:tc>
          <w:tcPr>
            <w:tcW w:w="68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1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pursuant to 18 U.S.C. Section 1350 by Christopher R. Pizzi, SVP &amp; Chief Financial Officer (Principal Accounting and</w:t>
              </w:r>
            </w:hyperlink>
          </w:p>
        </w:tc>
        <w:tc>
          <w:tcPr>
            <w:tcW w:w="2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5"/>
              </w:rPr>
            </w:pPr>
            <w:hyperlink w:anchor="page59">
              <w:r>
                <w:rPr>
                  <w:rFonts w:ascii="Arial" w:cs="Arial" w:eastAsia="Arial" w:hAnsi="Arial"/>
                  <w:sz w:val="18"/>
                  <w:szCs w:val="18"/>
                  <w:color w:val="0000FF"/>
                  <w:w w:val="95"/>
                </w:rPr>
                <w:t>Financial Officer)</w:t>
              </w:r>
            </w:hyperlink>
          </w:p>
        </w:tc>
        <w:tc>
          <w:tcPr>
            <w:tcW w:w="8440" w:type="dxa"/>
            <w:vAlign w:val="bottom"/>
            <w:gridSpan w:val="8"/>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Furnished herewith</w:t>
            </w:r>
          </w:p>
        </w:tc>
      </w:tr>
      <w:tr>
        <w:trPr>
          <w:trHeight w:val="243"/>
        </w:trPr>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30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w w:val="98"/>
              </w:rPr>
              <w:t>SIGNATURES</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b w:val="1"/>
                <w:bCs w:val="1"/>
                <w:color w:val="auto"/>
              </w:rPr>
              <w:t>CROSS COUNTRY HEALTHCARE, INC.</w:t>
            </w:r>
          </w:p>
        </w:tc>
      </w:tr>
      <w:tr>
        <w:trPr>
          <w:trHeight w:val="392"/>
        </w:trPr>
        <w:tc>
          <w:tcPr>
            <w:tcW w:w="3620" w:type="dxa"/>
            <w:vAlign w:val="bottom"/>
          </w:tcPr>
          <w:p>
            <w:pPr>
              <w:spacing w:after="0"/>
              <w:rPr>
                <w:sz w:val="20"/>
                <w:szCs w:val="20"/>
                <w:color w:val="auto"/>
              </w:rPr>
            </w:pPr>
            <w:r>
              <w:rPr>
                <w:rFonts w:ascii="Arial" w:cs="Arial" w:eastAsia="Arial" w:hAnsi="Arial"/>
                <w:sz w:val="18"/>
                <w:szCs w:val="18"/>
                <w:color w:val="auto"/>
              </w:rPr>
              <w:t>Date: August 2, 2018</w:t>
            </w: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By:    /s/ Christopher R. Pizzi</w:t>
            </w:r>
          </w:p>
        </w:tc>
      </w:tr>
      <w:tr>
        <w:trPr>
          <w:trHeight w:val="27"/>
        </w:trPr>
        <w:tc>
          <w:tcPr>
            <w:tcW w:w="3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22"/>
        </w:trPr>
        <w:tc>
          <w:tcPr>
            <w:tcW w:w="3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Christopher R. Pizzi</w:t>
            </w:r>
          </w:p>
        </w:tc>
      </w:tr>
      <w:tr>
        <w:trPr>
          <w:trHeight w:val="216"/>
        </w:trPr>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SVP &amp; Chief Financial Officer (Principal Accounting and Financial</w:t>
            </w:r>
          </w:p>
        </w:tc>
      </w:tr>
      <w:tr>
        <w:trPr>
          <w:trHeight w:val="230"/>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AND RESTATED BY-LAWS</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CROSS COUNTRY HEALTHCARE, INC.</w:t>
      </w:r>
    </w:p>
    <w:p>
      <w:pPr>
        <w:spacing w:after="0" w:line="36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MEETINGS OF STOCKHOLDERS.</w:t>
      </w:r>
    </w:p>
    <w:p>
      <w:pPr>
        <w:spacing w:after="0" w:line="22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1.1 Annual Meeting. The annual meeting of stockholders of the Corporation shall be held at such date, place and time as determined by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w:t>
      </w:r>
    </w:p>
    <w:p>
      <w:pPr>
        <w:spacing w:after="0" w:line="16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1.2 Place and Time of Meetings. Meetings of the stockholders may be held in or outside Delaware at the place and time specified by the Board.</w:t>
      </w:r>
    </w:p>
    <w:p>
      <w:pPr>
        <w:spacing w:after="0" w:line="16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1.3 Notice of Meetings; Waiver of Notice. Written notice of each meeting of stockholders shall be given to each stockholder entitled to vote at the meeting, except that (a) it shall not be necessary to give notice to any stockholder who submits a signed waiver of notice before or after the meeting, and (b) no notice of an adjourned meeting need be given, except when required by law. Unless otherwise required by law, each notice of a meeting shall be given, in the manner permitted by law, not fewer than 10 nor more than 60 days before the meeting and shall state the time and place of the meeting. The attendance of any stockholder at a meeting, without protesting at the beginning of the meeting that the meeting is not lawfully called or convened, shall constitute a waiver of notice by such stockholder.</w:t>
      </w:r>
    </w:p>
    <w:p>
      <w:pPr>
        <w:spacing w:after="0" w:line="18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1.4 Quorum. At any meeting of stockholders, the presence in person or by proxy of the holders of no less than a majority of the voting power of the outstanding shares entitled to vote shall constitute a quorum for the transaction of any business, unless or to the extent that the presence of a larger number may be required by law or by the rules of any stock exchange upon which the Corporation’s securities are listed. In the absence of a quorum, stockholders may adjourn the meeting by the affirmative vote of majority of the voting power present in person or by proxy. Any officer entitled to preside at or to act as Secretary of the meeting may also adjourn the meeting until a quorum is present. At any adjourned meeting at which a quorum is present, any action may be taken that might have been taken at the meeting as originally called. No notice of an adjourned meeting need be given, if the time and place are announced at the meeting at which the adjournment is taken, except that, if adjournment is for more than 30 days or if, after the adjournment, a new record date is fixed for the meeting, notice of the adjourned meeting shall be given in the manner required by law.</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1.5 Voting; Proxies. Unless otherwise required by the Certificate of Incorporation or in these By-Laws, each stockholder of record shall be entitled to one vote, in person or by proxy, for each share registered in such stockholder’s name. Corporate action to be taken by stockholder vote at a meeting, other than the election of directors, shall be authorized by the affirmative vote of a majority of the votes cast (affirmatively or negatively) at a meeting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490" w:right="2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22"/>
          <w:szCs w:val="22"/>
          <w:color w:val="auto"/>
        </w:rPr>
        <w:t>stockholders, except as otherwise required by law or the rules of any stock exchange upon which the Corporation’s securities are listed. Directors shall be elected in the manner provided in Section 2.1. Voting need not be by ballot, unless ordered by the Chairman of the meeting. Each stockholder entitled to vote at any meeting of stockholders or to express consent to or dissent from corporate action in writing without a meeting may authorize another person to act for such stockholder by proxy. No proxy shall be valid after three years from its date, unless it provides otherwise.</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1.6 List of Stockholders. Not fewer than 10 days prior to the date of any meeting of stockholders, the Corporation shall prepare a complete list of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such stockholder’s name. Nothing contained in this section shall require the Corporation to include electronic mail addresses or other electronic contact information on such list. For a period of not fewer than 10 days prior to the meeting, the list shall be available during ordinary business hours for inspection by any stockholder for any purpose germane to the meeting. During this period, the list shall be kept either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w:t>
      </w:r>
    </w:p>
    <w:p>
      <w:pPr>
        <w:spacing w:after="0" w:line="18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1.7 Action by Consent Without a Meeting. Any action required or permitted to be taken at any meeting of stockholders may be taken without a meeting and without a vote, if a consent or consents in writing, setting forth the action so taken, shall be signed by the holders of outstanding stock having not fewer than the minimum number of votes that would be necessary to authorize or take such action at a meeting at which all shares entitled to vote thereon were present and voted. Prompt notice shall be given to those stockholders who did not consent in writing.</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1.8 Record Date for Action By Written Consent. In order that the Corporation may determine the stockholders entitled to consent to corporate action in writing without a meeting (including by electronic transmission as permitted by law),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Any stockholder of record seeking to have the stockholders authorize or take corporate action by consent shall, by written notice to the Secretary, request the Board to fix a record date. The Board shall promptly, but in all events within 10 days after the date on which such a request is received, adopt a resolution fixing the record date (unless a record date has previously been fixed by the Board pursuant to the first sentence of this Section 1.8). If no record date has been fixed by the Board within 10 days of the date on which such a request is received, the record date for determining stockholders entitled to consent to corporate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5" w:right="2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21"/>
          <w:szCs w:val="21"/>
          <w:color w:val="auto"/>
        </w:rPr>
        <w:t>action in writing without a meeting, when no prior action by the Board is required by applicable law, shall be the first date on which a signed written consent setting forth the action taken or proposed to be taken is delivered to the Corporation in the manner required by law.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23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Advance Notice of Nominations and Business For Annual Meetings.</w:t>
      </w:r>
    </w:p>
    <w:p>
      <w:pPr>
        <w:spacing w:after="0" w:line="274" w:lineRule="exact"/>
        <w:rPr>
          <w:sz w:val="20"/>
          <w:szCs w:val="20"/>
          <w:color w:val="auto"/>
        </w:rPr>
      </w:pPr>
    </w:p>
    <w:p>
      <w:pPr>
        <w:jc w:val="both"/>
        <w:ind w:firstLine="1305"/>
        <w:spacing w:after="0" w:line="290" w:lineRule="auto"/>
        <w:tabs>
          <w:tab w:leader="none" w:pos="2051"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Nominations of persons for election to the Board and the proposal of business to be transacted by the stockholders may be made at an annual meeting of stockholders (1) pursuant to the Corporation’s proxy materials with respect to such meeting, (1) by or at the direction of the Board, or (1) by any stockholder of record of the Corporation (the “</w:t>
      </w:r>
      <w:r>
        <w:rPr>
          <w:rFonts w:ascii="Arial" w:cs="Arial" w:eastAsia="Arial" w:hAnsi="Arial"/>
          <w:sz w:val="19"/>
          <w:szCs w:val="19"/>
          <w:u w:val="single" w:color="auto"/>
          <w:color w:val="auto"/>
        </w:rPr>
        <w:t>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Stockholder</w:t>
      </w:r>
      <w:r>
        <w:rPr>
          <w:rFonts w:ascii="Arial" w:cs="Arial" w:eastAsia="Arial" w:hAnsi="Arial"/>
          <w:sz w:val="19"/>
          <w:szCs w:val="19"/>
          <w:color w:val="auto"/>
        </w:rPr>
        <w:t>”) at the time of the giving of the notice required in the following paragraph, who is entitled to vote at the meeting and who has complied with the notice procedures set forth in this section. For the avoidance of doubt, the foregoing clause (3)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at an annual meeting of stockholders.</w:t>
      </w:r>
    </w:p>
    <w:p>
      <w:pPr>
        <w:spacing w:after="0" w:line="224" w:lineRule="exact"/>
        <w:rPr>
          <w:rFonts w:ascii="Arial" w:cs="Arial" w:eastAsia="Arial" w:hAnsi="Arial"/>
          <w:sz w:val="19"/>
          <w:szCs w:val="19"/>
          <w:color w:val="auto"/>
        </w:rPr>
      </w:pPr>
    </w:p>
    <w:p>
      <w:pPr>
        <w:jc w:val="both"/>
        <w:ind w:left="80" w:firstLine="1306"/>
        <w:spacing w:after="0" w:line="286" w:lineRule="auto"/>
        <w:tabs>
          <w:tab w:leader="none" w:pos="2017" w:val="left"/>
        </w:tabs>
        <w:numPr>
          <w:ilvl w:val="1"/>
          <w:numId w:val="17"/>
        </w:numPr>
        <w:rPr>
          <w:rFonts w:ascii="Arial" w:cs="Arial" w:eastAsia="Arial" w:hAnsi="Arial"/>
          <w:sz w:val="19"/>
          <w:szCs w:val="19"/>
          <w:color w:val="auto"/>
        </w:rPr>
      </w:pPr>
      <w:r>
        <w:rPr>
          <w:rFonts w:ascii="Arial" w:cs="Arial" w:eastAsia="Arial" w:hAnsi="Arial"/>
          <w:sz w:val="19"/>
          <w:szCs w:val="19"/>
          <w:color w:val="auto"/>
        </w:rPr>
        <w:t>For nominations or business to be properly brought before an annual meeting by a Record Stockholder pursuant to clause (3) of the foregoing paragraph, (1) the Record Stockholder must have given timely notice thereof in writing to the Secretary of the Corporation, (2) any such business must be a proper matter for stockholder action under Delaware law and (3)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90 or more than 120 days prior to the one-year anniversary of the preceding year’s annual meeting of stockholders; provided, however, that, subject to the last sentence of this Section 1.9 (B), if the meeting is convened more than 30 days prior to or delayed by more than 60 days after the anniversary of the preceding year’s annual meeting, or if no annual meeting was held in the preceding year, notice by the Record Stockholder to be timely must be so received not later than the close of business on the later of (a) the 90th day before such annual meeting or (b) the 10th day following the day on which public announcement of the date of such meeting is first made. In no event shall an adjournment, or postponement of an annual meeting for which notice has been given, commence a new time period for the giving of a Record Stockholder’s notice.</w:t>
      </w:r>
    </w:p>
    <w:p>
      <w:pPr>
        <w:spacing w:after="0" w:line="221" w:lineRule="exact"/>
        <w:rPr>
          <w:sz w:val="20"/>
          <w:szCs w:val="20"/>
          <w:color w:val="auto"/>
        </w:rPr>
      </w:pPr>
    </w:p>
    <w:p>
      <w:pPr>
        <w:ind w:left="1800" w:hanging="495"/>
        <w:spacing w:after="0"/>
        <w:tabs>
          <w:tab w:leader="none" w:pos="1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Such Record Stockholder’s notice shall set forth:</w:t>
      </w:r>
    </w:p>
    <w:p>
      <w:pPr>
        <w:spacing w:after="0" w:line="273" w:lineRule="exact"/>
        <w:rPr>
          <w:rFonts w:ascii="Arial" w:cs="Arial" w:eastAsia="Arial" w:hAnsi="Arial"/>
          <w:sz w:val="22"/>
          <w:szCs w:val="22"/>
          <w:color w:val="auto"/>
        </w:rPr>
      </w:pPr>
    </w:p>
    <w:p>
      <w:pPr>
        <w:jc w:val="both"/>
        <w:ind w:left="80" w:firstLine="1954"/>
        <w:spacing w:after="0" w:line="253" w:lineRule="auto"/>
        <w:tabs>
          <w:tab w:leader="none" w:pos="2512" w:val="left"/>
        </w:tabs>
        <w:numPr>
          <w:ilvl w:val="1"/>
          <w:numId w:val="18"/>
        </w:numPr>
        <w:rPr>
          <w:rFonts w:ascii="Arial" w:cs="Arial" w:eastAsia="Arial" w:hAnsi="Arial"/>
          <w:sz w:val="22"/>
          <w:szCs w:val="22"/>
          <w:color w:val="auto"/>
        </w:rPr>
      </w:pPr>
      <w:r>
        <w:rPr>
          <w:rFonts w:ascii="Arial" w:cs="Arial" w:eastAsia="Arial" w:hAnsi="Arial"/>
          <w:sz w:val="22"/>
          <w:szCs w:val="22"/>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42" w:name="page43"/>
    <w:bookmarkEnd w:id="42"/>
    <w:p>
      <w:pPr>
        <w:spacing w:after="0" w:line="263" w:lineRule="auto"/>
        <w:rPr>
          <w:sz w:val="20"/>
          <w:szCs w:val="20"/>
          <w:color w:val="auto"/>
        </w:rPr>
      </w:pPr>
      <w:r>
        <w:rPr>
          <w:rFonts w:ascii="Arial" w:cs="Arial" w:eastAsia="Arial" w:hAnsi="Arial"/>
          <w:sz w:val="22"/>
          <w:szCs w:val="22"/>
          <w:color w:val="auto"/>
        </w:rPr>
        <w:t>for the election of such nominees as directors pursuant to Regulation 14A under the Exchange Act, and such person’s written consent to serve as a director if elected;</w:t>
      </w:r>
    </w:p>
    <w:p>
      <w:pPr>
        <w:spacing w:after="0" w:line="242" w:lineRule="exact"/>
        <w:rPr>
          <w:sz w:val="20"/>
          <w:szCs w:val="20"/>
          <w:color w:val="auto"/>
        </w:rPr>
      </w:pPr>
    </w:p>
    <w:p>
      <w:pPr>
        <w:jc w:val="both"/>
        <w:ind w:firstLine="1954"/>
        <w:spacing w:after="0" w:line="248" w:lineRule="auto"/>
        <w:tabs>
          <w:tab w:leader="none" w:pos="26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to any business that the Record Stockholder proposes to bring before the meeting, a brief description of such business (including the text of any resolutions proposed for consideration and in the event that such business includes a proposal to amend these By-Laws, the text of the proposed amendment), the reasons for conducting such business at the meeting and any material interest in such business of such Record Stockholder and the beneficial owner, if any, on whose behalf the proposal is made; and</w:t>
      </w:r>
    </w:p>
    <w:p>
      <w:pPr>
        <w:spacing w:after="0" w:line="259" w:lineRule="exact"/>
        <w:rPr>
          <w:rFonts w:ascii="Arial" w:cs="Arial" w:eastAsia="Arial" w:hAnsi="Arial"/>
          <w:sz w:val="22"/>
          <w:szCs w:val="22"/>
          <w:color w:val="auto"/>
        </w:rPr>
      </w:pPr>
    </w:p>
    <w:p>
      <w:pPr>
        <w:ind w:firstLine="1954"/>
        <w:spacing w:after="0" w:line="263" w:lineRule="auto"/>
        <w:tabs>
          <w:tab w:leader="none" w:pos="2257"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to (a) the Record Stockholder giving the notice and (b) the beneficial owner, if any, on whose behalf the nomination or proposal is made (each,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ind w:left="3020" w:hanging="418"/>
        <w:spacing w:after="0"/>
        <w:tabs>
          <w:tab w:leader="none" w:pos="302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name and address of each such party;</w:t>
      </w:r>
    </w:p>
    <w:p>
      <w:pPr>
        <w:spacing w:after="0" w:line="287" w:lineRule="exact"/>
        <w:rPr>
          <w:rFonts w:ascii="Arial" w:cs="Arial" w:eastAsia="Arial" w:hAnsi="Arial"/>
          <w:sz w:val="22"/>
          <w:szCs w:val="22"/>
          <w:color w:val="auto"/>
        </w:rPr>
      </w:pPr>
    </w:p>
    <w:p>
      <w:pPr>
        <w:jc w:val="both"/>
        <w:ind w:firstLine="2602"/>
        <w:spacing w:after="0" w:line="284" w:lineRule="auto"/>
        <w:tabs>
          <w:tab w:leader="none" w:pos="3204"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the class, series, and number of shares of the Corporation that are owned, directly or indirectly, beneficially and of record by each such party,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directly or indirectly owned beneficially by each such party, and any other direct or indirect opportunity to profit or share in any profit derived from any increase or decrease in the value of shares of the Corporation (a “</w:t>
      </w:r>
      <w:r>
        <w:rPr>
          <w:rFonts w:ascii="Arial" w:cs="Arial" w:eastAsia="Arial" w:hAnsi="Arial"/>
          <w:sz w:val="19"/>
          <w:szCs w:val="19"/>
          <w:u w:val="single" w:color="auto"/>
          <w:color w:val="auto"/>
        </w:rPr>
        <w:t>Derivative Instrument</w:t>
      </w:r>
      <w:r>
        <w:rPr>
          <w:rFonts w:ascii="Arial" w:cs="Arial" w:eastAsia="Arial" w:hAnsi="Arial"/>
          <w:sz w:val="19"/>
          <w:szCs w:val="19"/>
          <w:color w:val="auto"/>
        </w:rPr>
        <w:t>”), (C) any proxy, contract, arrangement, understanding, or relationship pursuant to which either party has a right to vote, directly or indirectly, any shares of any security of the Corporation, (D) any short interest in any security of the Corporation held by each such party (for purposes of this Section 1.9 (C),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directly or indirectly by each such party that are separated or separable from the underlying shares of the Corporation, (F) any proportionate interest in shares of the Corporation or Derivative Instruments held, directly or indirectly, by a general or limited partnership in which either party is a general partner or, directly or indirectly, beneficially owns an interest in a general partner and (G)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10 days after the record date for determining the stockholders entitled to vote at the meeting; provided, that if such date is after the date of the meeting, not later than the day prior to the meeting);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40"/>
          </w:cols>
          <w:pgMar w:left="320" w:top="388" w:right="239" w:bottom="1440" w:gutter="0" w:footer="0" w:header="0"/>
        </w:sectPr>
      </w:pPr>
    </w:p>
    <w:bookmarkStart w:id="43" w:name="page44"/>
    <w:bookmarkEnd w:id="43"/>
    <w:p>
      <w:pPr>
        <w:jc w:val="both"/>
        <w:ind w:left="80" w:firstLine="2602"/>
        <w:spacing w:after="0" w:line="271" w:lineRule="auto"/>
        <w:tabs>
          <w:tab w:leader="none" w:pos="3264" w:val="left"/>
        </w:tabs>
        <w:numPr>
          <w:ilvl w:val="1"/>
          <w:numId w:val="20"/>
        </w:numPr>
        <w:rPr>
          <w:rFonts w:ascii="Arial" w:cs="Arial" w:eastAsia="Arial" w:hAnsi="Arial"/>
          <w:sz w:val="21"/>
          <w:szCs w:val="21"/>
          <w:color w:val="auto"/>
        </w:rPr>
      </w:pPr>
      <w:r>
        <w:rPr>
          <w:rFonts w:ascii="Arial" w:cs="Arial" w:eastAsia="Arial" w:hAnsi="Arial"/>
          <w:sz w:val="21"/>
          <w:szCs w:val="21"/>
          <w:color w:val="auto"/>
        </w:rPr>
        <w:t>any other information relating to each such party that would be required to be disclosed in a proxy statement or other filings required to be made in connection with solicitations of proxies for, as applicable, the proposal and/or the election of directors in a contested election pursuant to Section 14 of the Exchange Act; and</w:t>
      </w:r>
    </w:p>
    <w:p>
      <w:pPr>
        <w:spacing w:after="0" w:line="235" w:lineRule="exact"/>
        <w:rPr>
          <w:rFonts w:ascii="Arial" w:cs="Arial" w:eastAsia="Arial" w:hAnsi="Arial"/>
          <w:sz w:val="21"/>
          <w:szCs w:val="21"/>
          <w:color w:val="auto"/>
        </w:rPr>
      </w:pPr>
    </w:p>
    <w:p>
      <w:pPr>
        <w:jc w:val="both"/>
        <w:ind w:left="80" w:firstLine="2602"/>
        <w:spacing w:after="0" w:line="261" w:lineRule="auto"/>
        <w:tabs>
          <w:tab w:leader="none" w:pos="3206" w:val="left"/>
        </w:tabs>
        <w:numPr>
          <w:ilvl w:val="1"/>
          <w:numId w:val="20"/>
        </w:numPr>
        <w:rPr>
          <w:rFonts w:ascii="Arial" w:cs="Arial" w:eastAsia="Arial" w:hAnsi="Arial"/>
          <w:sz w:val="21"/>
          <w:szCs w:val="21"/>
          <w:color w:val="auto"/>
        </w:rPr>
      </w:pPr>
      <w:r>
        <w:rPr>
          <w:rFonts w:ascii="Arial" w:cs="Arial" w:eastAsia="Arial" w:hAnsi="Arial"/>
          <w:sz w:val="21"/>
          <w:szCs w:val="21"/>
          <w:color w:val="auto"/>
        </w:rPr>
        <w:t>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beneficial holder, as the case may be, to be sufficient to elect the nominee or nominees proposed to be nominated by the Record Stockholder (such statement, a “</w:t>
      </w:r>
      <w:r>
        <w:rPr>
          <w:rFonts w:ascii="Arial" w:cs="Arial" w:eastAsia="Arial" w:hAnsi="Arial"/>
          <w:sz w:val="21"/>
          <w:szCs w:val="21"/>
          <w:u w:val="single" w:color="auto"/>
          <w:color w:val="auto"/>
        </w:rPr>
        <w:t>Solicitation Statement</w:t>
      </w:r>
      <w:r>
        <w:rPr>
          <w:rFonts w:ascii="Arial" w:cs="Arial" w:eastAsia="Arial" w:hAnsi="Arial"/>
          <w:sz w:val="21"/>
          <w:szCs w:val="21"/>
          <w:color w:val="auto"/>
        </w:rPr>
        <w:t>”).</w:t>
      </w:r>
    </w:p>
    <w:p>
      <w:pPr>
        <w:spacing w:after="0" w:line="247" w:lineRule="exact"/>
        <w:rPr>
          <w:rFonts w:ascii="Arial" w:cs="Arial" w:eastAsia="Arial" w:hAnsi="Arial"/>
          <w:sz w:val="21"/>
          <w:szCs w:val="21"/>
          <w:color w:val="auto"/>
        </w:rPr>
      </w:pPr>
    </w:p>
    <w:p>
      <w:pPr>
        <w:jc w:val="both"/>
        <w:ind w:firstLine="1305"/>
        <w:spacing w:after="0" w:line="284" w:lineRule="auto"/>
        <w:tabs>
          <w:tab w:leader="none" w:pos="1891"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person shall not be eligible for election or re-election as a director at a meeting unless (1) the person is nominated by a Record Stockholder in accordance with Section 1.9 (A)(3) or (2) the person is nominated by or at the direction of the Board. To be eligible to be a nominee for election or re-election as a director of the Corporation, a person must deliver to the Secretary of the Corporation at the principal executive offices of the Corporation the following information: (a) a written representation and agreement, which shall be signed by such person and pursuant to which such person shall represent and agree that such person: (i) consents to serving as a director if elected and currently intends to serve as a director for the full term for which such person is standing for election; (ii) is not and will not become a party to any agreement, arrangement or understanding with, and has not given any commitment or assurance to, any person or entity: (A) as to how the person, if elected as a director, will act or vote on any issue or question that has not been disclosed to the Corporation; or (B) that could limit or interfere with the person’s ability to comply, if elected as director, with such person’s fiduciary duties under applicable law; (iii)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(iv) if elected as a director, will comply with all of the Corporation’s corporate governance, conflict of interest, confidentiality, and stock ownership and trading policies and guidelines, and any other Corporation policies and guidelines applicable to directors (which will be provided to such person promptly following a request therefor); and (b) all completed and signed questionnaires required of the Corporation’s directors (which will be provided to such person promptly following a request therefor). A nominee for election or re-election as a director of the Corporation shall also provide to the Corporation such other information as the Corporation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 Notwithstanding any other provision of these By-Laws, if a stockholder has submitted notice of an intent to nominate a candidate for election or re-election as a director pursuant to Section 1.9(B), the questionnaires and the additional information required by this Section 1.9(D) shall be considered timely if provided to the Corporation promptly upon request by the Corporation, but in any event within five business days after such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88" w:right="2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22"/>
          <w:szCs w:val="22"/>
          <w:color w:val="auto"/>
        </w:rPr>
        <w:t>request, and all information provided pursuant to this Section 1.9(D) shall be deemed part of the stockholder’s notice submitted pursuant to Section 1.9(B).</w:t>
      </w:r>
    </w:p>
    <w:p>
      <w:pPr>
        <w:spacing w:after="0" w:line="229" w:lineRule="exact"/>
        <w:rPr>
          <w:sz w:val="20"/>
          <w:szCs w:val="20"/>
          <w:color w:val="auto"/>
        </w:rPr>
      </w:pPr>
    </w:p>
    <w:p>
      <w:pPr>
        <w:jc w:val="both"/>
        <w:ind w:firstLine="1305"/>
        <w:spacing w:after="0" w:line="247" w:lineRule="auto"/>
        <w:tabs>
          <w:tab w:leader="none" w:pos="16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Only such business shall be conducted at an annual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93" w:lineRule="exact"/>
        <w:rPr>
          <w:rFonts w:ascii="Arial" w:cs="Arial" w:eastAsia="Arial" w:hAnsi="Arial"/>
          <w:sz w:val="22"/>
          <w:szCs w:val="22"/>
          <w:color w:val="auto"/>
        </w:rPr>
      </w:pPr>
    </w:p>
    <w:p>
      <w:pPr>
        <w:jc w:val="both"/>
        <w:ind w:firstLine="1305"/>
        <w:spacing w:after="0" w:line="271" w:lineRule="auto"/>
        <w:tabs>
          <w:tab w:leader="none" w:pos="1615" w:val="left"/>
        </w:tabs>
        <w:numPr>
          <w:ilvl w:val="0"/>
          <w:numId w:val="22"/>
        </w:numPr>
        <w:rPr>
          <w:rFonts w:ascii="Arial" w:cs="Arial" w:eastAsia="Arial" w:hAnsi="Arial"/>
          <w:sz w:val="21"/>
          <w:szCs w:val="21"/>
          <w:color w:val="auto"/>
        </w:rPr>
      </w:pPr>
      <w:r>
        <w:rPr>
          <w:rFonts w:ascii="Arial" w:cs="Arial" w:eastAsia="Arial" w:hAnsi="Arial"/>
          <w:sz w:val="21"/>
          <w:szCs w:val="21"/>
          <w:color w:val="auto"/>
        </w:rPr>
        <w:t>For purposes of these By-Laws, “</w:t>
      </w:r>
      <w:r>
        <w:rPr>
          <w:rFonts w:ascii="Arial" w:cs="Arial" w:eastAsia="Arial" w:hAnsi="Arial"/>
          <w:sz w:val="21"/>
          <w:szCs w:val="21"/>
          <w:u w:val="single" w:color="auto"/>
          <w:color w:val="auto"/>
        </w:rPr>
        <w:t>public announcement</w:t>
      </w:r>
      <w:r>
        <w:rPr>
          <w:rFonts w:ascii="Arial" w:cs="Arial" w:eastAsia="Arial" w:hAnsi="Arial"/>
          <w:sz w:val="21"/>
          <w:szCs w:val="21"/>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67" w:lineRule="exact"/>
        <w:rPr>
          <w:rFonts w:ascii="Arial" w:cs="Arial" w:eastAsia="Arial" w:hAnsi="Arial"/>
          <w:sz w:val="21"/>
          <w:szCs w:val="21"/>
          <w:color w:val="auto"/>
        </w:rPr>
      </w:pPr>
    </w:p>
    <w:p>
      <w:pPr>
        <w:jc w:val="both"/>
        <w:ind w:firstLine="1305"/>
        <w:spacing w:after="0" w:line="250" w:lineRule="auto"/>
        <w:tabs>
          <w:tab w:leader="none" w:pos="165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1.9, a stockholder shall also comply with all applicable requirements of the Exchange Act and the rules and regulations thereunder with respect to matters set forth in this Section 1.9. Nothing in this Section 1.9 shall be deemed to affect any rights of stockholders to request inclusion of proposals in the Corporation’s proxy statement pursuant to Rule 14a-8 under the Exchange Act.</w:t>
      </w:r>
    </w:p>
    <w:p>
      <w:pPr>
        <w:spacing w:after="0" w:line="18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Special Meetings.</w:t>
      </w:r>
    </w:p>
    <w:p>
      <w:pPr>
        <w:spacing w:after="0" w:line="247" w:lineRule="exact"/>
        <w:rPr>
          <w:sz w:val="20"/>
          <w:szCs w:val="20"/>
          <w:color w:val="auto"/>
        </w:rPr>
      </w:pPr>
    </w:p>
    <w:p>
      <w:pPr>
        <w:jc w:val="both"/>
        <w:ind w:firstLine="1210"/>
        <w:spacing w:after="0" w:line="247" w:lineRule="auto"/>
        <w:tabs>
          <w:tab w:leader="none" w:pos="155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Special meetings of the stockholders may be called by the affirmative vote of a majority of the entire Board or by the Chairman and shall be called by the Secretary upon the written request of the holders of at least 20% (the “</w:t>
      </w:r>
      <w:r>
        <w:rPr>
          <w:rFonts w:ascii="Arial" w:cs="Arial" w:eastAsia="Arial" w:hAnsi="Arial"/>
          <w:sz w:val="22"/>
          <w:szCs w:val="22"/>
          <w:u w:val="single" w:color="auto"/>
          <w:color w:val="auto"/>
        </w:rPr>
        <w:t>Requisite Percent</w:t>
      </w:r>
      <w:r>
        <w:rPr>
          <w:rFonts w:ascii="Arial" w:cs="Arial" w:eastAsia="Arial" w:hAnsi="Arial"/>
          <w:sz w:val="22"/>
          <w:szCs w:val="22"/>
          <w:color w:val="auto"/>
        </w:rPr>
        <w:t>”) of the outstanding shares entitled to vote, provided that a special meeting called at the request of one or more stockholders (a “</w:t>
      </w:r>
      <w:r>
        <w:rPr>
          <w:rFonts w:ascii="Arial" w:cs="Arial" w:eastAsia="Arial" w:hAnsi="Arial"/>
          <w:sz w:val="22"/>
          <w:szCs w:val="22"/>
          <w:u w:val="single" w:color="auto"/>
          <w:color w:val="auto"/>
        </w:rPr>
        <w:t>Stockholder Requested Special Meeting</w:t>
      </w:r>
      <w:r>
        <w:rPr>
          <w:rFonts w:ascii="Arial" w:cs="Arial" w:eastAsia="Arial" w:hAnsi="Arial"/>
          <w:sz w:val="22"/>
          <w:szCs w:val="22"/>
          <w:color w:val="auto"/>
        </w:rPr>
        <w:t>”) shall be called by the Secretary of the Corporation only if each of the stockholder(s) requesting such meeting is a stockholder of record at the time of the request, is entitled to vote at the special meeting and complies with the notice procedures set forth in this section.</w:t>
      </w:r>
    </w:p>
    <w:p>
      <w:pPr>
        <w:spacing w:after="0" w:line="261" w:lineRule="exact"/>
        <w:rPr>
          <w:rFonts w:ascii="Arial" w:cs="Arial" w:eastAsia="Arial" w:hAnsi="Arial"/>
          <w:sz w:val="22"/>
          <w:szCs w:val="22"/>
          <w:color w:val="auto"/>
        </w:rPr>
      </w:pPr>
    </w:p>
    <w:p>
      <w:pPr>
        <w:jc w:val="both"/>
        <w:ind w:firstLine="1210"/>
        <w:spacing w:after="0" w:line="265" w:lineRule="auto"/>
        <w:tabs>
          <w:tab w:leader="none" w:pos="1565"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 order for a Stockholder Requested Special Meeting to be called by the Secretary of the Corporation, one or more written requests for a special meeting (individually or collectively, a “</w:t>
      </w:r>
      <w:r>
        <w:rPr>
          <w:rFonts w:ascii="Arial" w:cs="Arial" w:eastAsia="Arial" w:hAnsi="Arial"/>
          <w:sz w:val="21"/>
          <w:szCs w:val="21"/>
          <w:u w:val="single" w:color="auto"/>
          <w:color w:val="auto"/>
        </w:rPr>
        <w:t>Special Meeting Request</w:t>
      </w:r>
      <w:r>
        <w:rPr>
          <w:rFonts w:ascii="Arial" w:cs="Arial" w:eastAsia="Arial" w:hAnsi="Arial"/>
          <w:sz w:val="21"/>
          <w:szCs w:val="21"/>
          <w:color w:val="auto"/>
        </w:rPr>
        <w:t>”) signed and dated by stockholders of record that own the Requisite Percent of outstanding stock of the Corporation, must be delivered to the Secretary at the principal executive offices of the Corporation and must be accompanied by:</w:t>
      </w:r>
    </w:p>
    <w:p>
      <w:pPr>
        <w:spacing w:after="0" w:line="243" w:lineRule="exact"/>
        <w:rPr>
          <w:rFonts w:ascii="Arial" w:cs="Arial" w:eastAsia="Arial" w:hAnsi="Arial"/>
          <w:sz w:val="21"/>
          <w:szCs w:val="21"/>
          <w:color w:val="auto"/>
        </w:rPr>
      </w:pPr>
    </w:p>
    <w:p>
      <w:pPr>
        <w:ind w:right="20" w:firstLine="1305"/>
        <w:spacing w:after="0" w:line="263" w:lineRule="auto"/>
        <w:tabs>
          <w:tab w:leader="none" w:pos="1827"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 the case of any Stockholder Requested Special Meeting at which director nominations are proposed to be presented, the information required by Sections 1.9(C)(1) and 1.9(D);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88" w:right="239" w:bottom="1440" w:gutter="0" w:footer="0" w:header="0"/>
        </w:sectPr>
      </w:pPr>
    </w:p>
    <w:bookmarkStart w:id="45" w:name="page46"/>
    <w:bookmarkEnd w:id="45"/>
    <w:p>
      <w:pPr>
        <w:ind w:right="20" w:firstLine="1305"/>
        <w:spacing w:after="0" w:line="263" w:lineRule="auto"/>
        <w:tabs>
          <w:tab w:leader="none" w:pos="1975" w:val="left"/>
        </w:tabs>
        <w:numPr>
          <w:ilvl w:val="2"/>
          <w:numId w:val="24"/>
        </w:numPr>
        <w:rPr>
          <w:rFonts w:ascii="Arial" w:cs="Arial" w:eastAsia="Arial" w:hAnsi="Arial"/>
          <w:sz w:val="22"/>
          <w:szCs w:val="22"/>
          <w:color w:val="auto"/>
        </w:rPr>
      </w:pPr>
      <w:r>
        <w:rPr>
          <w:rFonts w:ascii="Arial" w:cs="Arial" w:eastAsia="Arial" w:hAnsi="Arial"/>
          <w:sz w:val="22"/>
          <w:szCs w:val="22"/>
          <w:color w:val="auto"/>
        </w:rPr>
        <w:t>In the case of any Stockholder Requested Special Meeting at which any business other than director nominations is proposed to be presented, the information required by Section 1.9(C)(2); and</w:t>
      </w:r>
    </w:p>
    <w:p>
      <w:pPr>
        <w:spacing w:after="0" w:line="242" w:lineRule="exact"/>
        <w:rPr>
          <w:rFonts w:ascii="Arial" w:cs="Arial" w:eastAsia="Arial" w:hAnsi="Arial"/>
          <w:sz w:val="22"/>
          <w:szCs w:val="22"/>
          <w:color w:val="auto"/>
        </w:rPr>
      </w:pPr>
    </w:p>
    <w:p>
      <w:pPr>
        <w:ind w:right="20" w:firstLine="1305"/>
        <w:spacing w:after="0" w:line="287" w:lineRule="auto"/>
        <w:tabs>
          <w:tab w:leader="none" w:pos="1817" w:val="left"/>
        </w:tabs>
        <w:numPr>
          <w:ilvl w:val="2"/>
          <w:numId w:val="24"/>
        </w:numPr>
        <w:rPr>
          <w:rFonts w:ascii="Arial" w:cs="Arial" w:eastAsia="Arial" w:hAnsi="Arial"/>
          <w:sz w:val="21"/>
          <w:szCs w:val="21"/>
          <w:color w:val="auto"/>
        </w:rPr>
      </w:pPr>
      <w:r>
        <w:rPr>
          <w:rFonts w:ascii="Arial" w:cs="Arial" w:eastAsia="Arial" w:hAnsi="Arial"/>
          <w:sz w:val="21"/>
          <w:szCs w:val="21"/>
          <w:color w:val="auto"/>
        </w:rPr>
        <w:t>As to (a) each stockholder of record of the Corporation signing such request and (b) the beneficial owner, if any, on whose behalf the Stockholder Special Meeting Request is made, the information required by 1.9(C)(3).</w:t>
      </w:r>
    </w:p>
    <w:p>
      <w:pPr>
        <w:spacing w:after="0" w:line="219" w:lineRule="exact"/>
        <w:rPr>
          <w:rFonts w:ascii="Arial" w:cs="Arial" w:eastAsia="Arial" w:hAnsi="Arial"/>
          <w:sz w:val="21"/>
          <w:szCs w:val="21"/>
          <w:color w:val="auto"/>
        </w:rPr>
      </w:pPr>
    </w:p>
    <w:p>
      <w:pPr>
        <w:jc w:val="both"/>
        <w:ind w:firstLine="1210"/>
        <w:spacing w:after="0" w:line="288" w:lineRule="auto"/>
        <w:tabs>
          <w:tab w:leader="none" w:pos="1776" w:val="left"/>
        </w:tabs>
        <w:numPr>
          <w:ilvl w:val="1"/>
          <w:numId w:val="25"/>
        </w:numPr>
        <w:rPr>
          <w:rFonts w:ascii="Arial" w:cs="Arial" w:eastAsia="Arial" w:hAnsi="Arial"/>
          <w:sz w:val="19"/>
          <w:szCs w:val="19"/>
          <w:color w:val="auto"/>
        </w:rPr>
      </w:pPr>
      <w:r>
        <w:rPr>
          <w:rFonts w:ascii="Arial" w:cs="Arial" w:eastAsia="Arial" w:hAnsi="Arial"/>
          <w:sz w:val="19"/>
          <w:szCs w:val="19"/>
          <w:color w:val="auto"/>
        </w:rPr>
        <w:t>One or more written requests for a special meeting delivered to the Secretary shall constitute a valid Special Meeting Request only if such written request satisfies the requirements set forth above and has been dated and delivered to the Secretary within sixty (60) days of the earliest valid, dated request. The determination of the validity of a Special Meeting Request shall be made in good faith by the Board of Directors, which determination shall be conclusive and binding on the Corporation and the stockholders, and the date of such determination is referred to herein as the “</w:t>
      </w:r>
      <w:r>
        <w:rPr>
          <w:rFonts w:ascii="Arial" w:cs="Arial" w:eastAsia="Arial" w:hAnsi="Arial"/>
          <w:sz w:val="19"/>
          <w:szCs w:val="19"/>
          <w:u w:val="single" w:color="auto"/>
          <w:color w:val="auto"/>
        </w:rPr>
        <w:t>Request Receipt Date</w:t>
      </w:r>
      <w:r>
        <w:rPr>
          <w:rFonts w:ascii="Arial" w:cs="Arial" w:eastAsia="Arial" w:hAnsi="Arial"/>
          <w:sz w:val="19"/>
          <w:szCs w:val="19"/>
          <w:color w:val="auto"/>
        </w:rPr>
        <w:t>.” A Special Meeting Request shall not be valid if: (1) such request relates to an item of business that is not a matter on which stockholders are authorized to act under, or that involves a violation of, applicable law, (2) such request relates to an item of business that is the same or substantially similar to any item of business that was voted on at a meeting of stockholders occurring within ninety (90) days preceding the earliest dated request for a special meeting, (3) such request does not comply with the requirements of the By-Laws, or (4) such request is received during the period commencing ninety (90) days prior to the first anniversary of the date of the most recent annual meeting of stockholders and ending on the date of the next annual meeting of stockholders.</w:t>
      </w:r>
    </w:p>
    <w:p>
      <w:pPr>
        <w:spacing w:after="0" w:line="222" w:lineRule="exact"/>
        <w:rPr>
          <w:rFonts w:ascii="Arial" w:cs="Arial" w:eastAsia="Arial" w:hAnsi="Arial"/>
          <w:sz w:val="19"/>
          <w:szCs w:val="19"/>
          <w:color w:val="auto"/>
        </w:rPr>
      </w:pPr>
    </w:p>
    <w:p>
      <w:pPr>
        <w:jc w:val="both"/>
        <w:ind w:left="80" w:firstLine="657"/>
        <w:spacing w:after="0" w:line="265" w:lineRule="auto"/>
        <w:tabs>
          <w:tab w:leader="none" w:pos="1343"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stockholder may revoke a Special Meeting Request by delivering a written revocation to the Secretary of the Corporation at any time prior to the Stockholder Requested Special Meeting, but if as a result of such revocation(s), there no longer are unrevoked requests from the Requisite Percent to call a Stockholder Requested Special Meeting, the Board shall have the discretion to determine whether or not to proceed with the Stockholder Requested Special Meeting.</w:t>
      </w:r>
    </w:p>
    <w:p>
      <w:pPr>
        <w:spacing w:after="0" w:line="243" w:lineRule="exact"/>
        <w:rPr>
          <w:rFonts w:ascii="Arial" w:cs="Arial" w:eastAsia="Arial" w:hAnsi="Arial"/>
          <w:sz w:val="21"/>
          <w:szCs w:val="21"/>
          <w:color w:val="auto"/>
        </w:rPr>
      </w:pPr>
    </w:p>
    <w:p>
      <w:pPr>
        <w:jc w:val="both"/>
        <w:ind w:left="80" w:firstLine="657"/>
        <w:spacing w:after="0" w:line="258" w:lineRule="auto"/>
        <w:tabs>
          <w:tab w:leader="none" w:pos="1297" w:val="left"/>
        </w:tabs>
        <w:numPr>
          <w:ilvl w:val="0"/>
          <w:numId w:val="26"/>
        </w:numPr>
        <w:rPr>
          <w:rFonts w:ascii="Arial" w:cs="Arial" w:eastAsia="Arial" w:hAnsi="Arial"/>
          <w:sz w:val="21"/>
          <w:szCs w:val="21"/>
          <w:color w:val="auto"/>
        </w:rPr>
      </w:pPr>
      <w:r>
        <w:rPr>
          <w:rFonts w:ascii="Arial" w:cs="Arial" w:eastAsia="Arial" w:hAnsi="Arial"/>
          <w:sz w:val="21"/>
          <w:szCs w:val="21"/>
          <w:color w:val="auto"/>
        </w:rPr>
        <w:t>Business and nominations to be transacted at a Stockholder Requested Special Meeting shall be limited to (1) the business stated in the valid Special Meeting Request(s) received from the Requisite Percent of stockholders and (2) any additional business that the Board of directors determines to include in the Corporation’s notice of meeting. In addition to the other requirements set forth in these By-Laws, for nominations and business to be properly brought before a special meeting, the record stockholder and beneficial owner, if any, on whose behalf such proposal or nomination is made, must have acted in accordance with the representations set forth in the Solicitation Statement required by these By-Laws. If none of the stockholders who submitted Special Meeting Request(s) (or their qualified representatives) appears at the Stockholder Requested Special Meeting to present the matter or matters to be brought before the special meeting that were specified in the Special Meeting Request(s), the Corporation need not present the matter or matters for a vote at the meeting, notwithstanding that proxies in respect of such vote may have been received by the Corporation.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88" w:right="239" w:bottom="1440" w:gutter="0" w:footer="0" w:header="0"/>
        </w:sectPr>
      </w:pPr>
    </w:p>
    <w:bookmarkStart w:id="46" w:name="page47"/>
    <w:bookmarkEnd w:id="46"/>
    <w:p>
      <w:pPr>
        <w:jc w:val="both"/>
        <w:ind w:left="80" w:firstLine="657"/>
        <w:spacing w:after="0" w:line="263" w:lineRule="auto"/>
        <w:tabs>
          <w:tab w:leader="none" w:pos="1215" w:val="left"/>
        </w:tabs>
        <w:numPr>
          <w:ilvl w:val="1"/>
          <w:numId w:val="27"/>
        </w:numPr>
        <w:rPr>
          <w:rFonts w:ascii="Arial" w:cs="Arial" w:eastAsia="Arial" w:hAnsi="Arial"/>
          <w:sz w:val="21"/>
          <w:szCs w:val="21"/>
          <w:color w:val="auto"/>
        </w:rPr>
      </w:pPr>
      <w:r>
        <w:rPr>
          <w:rFonts w:ascii="Arial" w:cs="Arial" w:eastAsia="Arial" w:hAnsi="Arial"/>
          <w:sz w:val="21"/>
          <w:szCs w:val="21"/>
          <w:color w:val="auto"/>
        </w:rPr>
        <w:t>Any special meeting of stockholders shall be held at such date and time as may be fixed by the Board of Directors in accordance with these By-Laws and Section 213 of the Delaware General Corporation Law (the “</w:t>
      </w:r>
      <w:r>
        <w:rPr>
          <w:rFonts w:ascii="Arial" w:cs="Arial" w:eastAsia="Arial" w:hAnsi="Arial"/>
          <w:sz w:val="21"/>
          <w:szCs w:val="21"/>
          <w:u w:val="single" w:color="auto"/>
          <w:color w:val="auto"/>
        </w:rPr>
        <w:t>DGCL</w:t>
      </w:r>
      <w:r>
        <w:rPr>
          <w:rFonts w:ascii="Arial" w:cs="Arial" w:eastAsia="Arial" w:hAnsi="Arial"/>
          <w:sz w:val="21"/>
          <w:szCs w:val="21"/>
          <w:color w:val="auto"/>
        </w:rPr>
        <w:t>”); provided, however, that a Stockholder Requested Special Meeting shall be called for a date not later than the date that is (1) ninety (90) days after the Request Receipt Date, or (2) fifty (50) days after the date the Corporation files definitive soliciting materials with respect to such meeting pursuant to Schedule 14A under the Exchange Act, whichever is latest.</w:t>
      </w:r>
    </w:p>
    <w:p>
      <w:pPr>
        <w:spacing w:after="0" w:line="243" w:lineRule="exact"/>
        <w:rPr>
          <w:rFonts w:ascii="Arial" w:cs="Arial" w:eastAsia="Arial" w:hAnsi="Arial"/>
          <w:sz w:val="21"/>
          <w:szCs w:val="21"/>
          <w:color w:val="auto"/>
        </w:rPr>
      </w:pPr>
    </w:p>
    <w:p>
      <w:pPr>
        <w:jc w:val="both"/>
        <w:ind w:left="80" w:firstLine="657"/>
        <w:spacing w:after="0" w:line="288" w:lineRule="auto"/>
        <w:tabs>
          <w:tab w:leader="none" w:pos="1270" w:val="left"/>
        </w:tabs>
        <w:numPr>
          <w:ilvl w:val="1"/>
          <w:numId w:val="27"/>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shall have been included in the notice of the meeting, which shall describe the purpose for which the meeting is called. Nominations of persons for election to the Board may be made at a special meeting of stockholders at which directors are to be elected (1) by or at the direction of the Board, and</w:t>
      </w:r>
    </w:p>
    <w:p>
      <w:pPr>
        <w:spacing w:after="0" w:line="1" w:lineRule="exact"/>
        <w:rPr>
          <w:rFonts w:ascii="Arial" w:cs="Arial" w:eastAsia="Arial" w:hAnsi="Arial"/>
          <w:sz w:val="19"/>
          <w:szCs w:val="19"/>
          <w:color w:val="auto"/>
        </w:rPr>
      </w:pPr>
    </w:p>
    <w:p>
      <w:pPr>
        <w:jc w:val="both"/>
        <w:ind w:left="80" w:firstLine="9"/>
        <w:spacing w:after="0" w:line="285" w:lineRule="auto"/>
        <w:tabs>
          <w:tab w:leader="none" w:pos="391"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the case of a special meeting other than a Stockholder Requested Special Meeting, or in the case of a special meeting that is a Stockholder Requested Special Meeting if the stockholder wishing to make such nomination did not deliver a Stockholder Meeting Request with respect to such meeting, by such stockholder of record at the time of giving of notice provided for in this paragraph, who shall be entitled to vote at the meeting and who delivers a written notice to the Secretary setting forth the information set forth in Section 1.9 and 1.10 above. Nominations by stockholders of persons for election to the Board may be made at such special meeting of stockholders only if such stockholder of record’s notice required by the preceding sentence shall be received by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otherwise proposed to be elected at such meeting. In no event shall an adjournment, or postponement of a special meeting for which notice has been given, commence a new time period for the giving of a stockholder of record’s notice. A person shall not be eligible for election or reelection as a director at a special meeting unless the person is nominated (i) by or at the direction of the Board or (ii) by a stockholder of record in accordance with the notice procedures set forth in this Section 1.10.</w:t>
      </w:r>
    </w:p>
    <w:p>
      <w:pPr>
        <w:spacing w:after="0" w:line="200" w:lineRule="exact"/>
        <w:rPr>
          <w:rFonts w:ascii="Arial" w:cs="Arial" w:eastAsia="Arial" w:hAnsi="Arial"/>
          <w:sz w:val="19"/>
          <w:szCs w:val="19"/>
          <w:color w:val="auto"/>
        </w:rPr>
      </w:pPr>
    </w:p>
    <w:p>
      <w:pPr>
        <w:spacing w:after="0" w:line="288" w:lineRule="exact"/>
        <w:rPr>
          <w:rFonts w:ascii="Arial" w:cs="Arial" w:eastAsia="Arial" w:hAnsi="Arial"/>
          <w:sz w:val="19"/>
          <w:szCs w:val="19"/>
          <w:color w:val="auto"/>
        </w:rPr>
      </w:pPr>
    </w:p>
    <w:p>
      <w:pPr>
        <w:jc w:val="both"/>
        <w:ind w:firstLine="1210"/>
        <w:spacing w:after="0" w:line="247" w:lineRule="auto"/>
        <w:tabs>
          <w:tab w:leader="none" w:pos="1767" w:val="left"/>
        </w:tabs>
        <w:numPr>
          <w:ilvl w:val="2"/>
          <w:numId w:val="28"/>
        </w:numPr>
        <w:rPr>
          <w:rFonts w:ascii="Arial" w:cs="Arial" w:eastAsia="Arial" w:hAnsi="Arial"/>
          <w:sz w:val="22"/>
          <w:szCs w:val="22"/>
          <w:color w:val="auto"/>
        </w:rPr>
      </w:pPr>
      <w:r>
        <w:rPr>
          <w:rFonts w:ascii="Arial" w:cs="Arial" w:eastAsia="Arial" w:hAnsi="Arial"/>
          <w:sz w:val="22"/>
          <w:szCs w:val="22"/>
          <w:color w:val="auto"/>
        </w:rPr>
        <w:t>Only such business shall be conducted at a special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261" w:lineRule="exact"/>
        <w:rPr>
          <w:rFonts w:ascii="Arial" w:cs="Arial" w:eastAsia="Arial" w:hAnsi="Arial"/>
          <w:sz w:val="22"/>
          <w:szCs w:val="22"/>
          <w:color w:val="auto"/>
        </w:rPr>
      </w:pPr>
    </w:p>
    <w:p>
      <w:pPr>
        <w:jc w:val="both"/>
        <w:ind w:firstLine="1210"/>
        <w:spacing w:after="0" w:line="250" w:lineRule="auto"/>
        <w:tabs>
          <w:tab w:leader="none" w:pos="1832" w:val="left"/>
        </w:tabs>
        <w:numPr>
          <w:ilvl w:val="2"/>
          <w:numId w:val="28"/>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1.10, a stockholder shall also comply with all applicable requirements of the Exchange Act and the rules and regulations thereunder with respect to matters set forth in this Section 1.10. Nothing in this Section 1.10 shall be deemed to affect any rights of stockholders to request inclusion of proposals in the Corporation’s proxy statement pursuant to Rule 14a-8 under the Exchange Act.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58" w:right="239" w:bottom="1440" w:gutter="0" w:footer="0" w:header="0"/>
        </w:sectPr>
      </w:pPr>
    </w:p>
    <w:bookmarkStart w:id="47" w:name="page48"/>
    <w:bookmarkEnd w:id="47"/>
    <w:p>
      <w:pPr>
        <w:jc w:val="both"/>
        <w:ind w:firstLine="1297"/>
        <w:spacing w:after="0" w:line="266" w:lineRule="auto"/>
        <w:rPr>
          <w:sz w:val="20"/>
          <w:szCs w:val="20"/>
          <w:color w:val="auto"/>
        </w:rPr>
      </w:pPr>
      <w:r>
        <w:rPr>
          <w:rFonts w:ascii="Arial" w:cs="Arial" w:eastAsia="Arial" w:hAnsi="Arial"/>
          <w:sz w:val="21"/>
          <w:szCs w:val="21"/>
          <w:color w:val="auto"/>
        </w:rPr>
        <w:t>1.11 Organization. Such person as the Board may have designated or, in the absence of such a person, the Chairman of the Board or, in his or her absence, the President of the Corporation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244"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BOARD OF DIRECTORS.</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2.1 Number, Qualification, Election and Term of Directors. The business of the Corporation shall be managed by the entire Board, which shall consist of such number of directors as shall be determined from time to time by the affirmative vote of a majority of the entire Board. A nominee for director shall be elected (a) where there is an uncontested election, if the votes cast for nominee’s election exceed the votes cast against such nominee’s election, with any incumbent director who fails to receive such a majority vote obligated to tender his or her resignation, and the Board obligated to decide and state publicly within 90 days whether it has accepted that resignation and the reasons for that decision and (b) where there is a contested election, by a plurality of the votes cast with respect to that director. For purposes of these By-Laws, there shall be a “</w:t>
      </w:r>
      <w:r>
        <w:rPr>
          <w:rFonts w:ascii="Arial" w:cs="Arial" w:eastAsia="Arial" w:hAnsi="Arial"/>
          <w:sz w:val="19"/>
          <w:szCs w:val="19"/>
          <w:u w:val="single" w:color="auto"/>
          <w:color w:val="auto"/>
        </w:rPr>
        <w:t>contested election</w:t>
      </w:r>
      <w:r>
        <w:rPr>
          <w:rFonts w:ascii="Arial" w:cs="Arial" w:eastAsia="Arial" w:hAnsi="Arial"/>
          <w:sz w:val="19"/>
          <w:szCs w:val="19"/>
          <w:color w:val="auto"/>
        </w:rPr>
        <w:t>” where the Secretary of the Corporation receives a notice that a stockholder has nominated a person for election to the Board in compliance with the advance notice requirements for stockholder nominees for director set forth in these By-Laws and such nomination has not been withdrawn by such stockholder on or before the tenth day before the Corporation first mails its notice of meeting for such meeting to the stockholders. Each director elected shall hold office until the next annual meeting of stockholders and until the election and qualification of their respective successors, subject to the provisions of Section 2.9 of these By-Laws. As used in these By-Laws, the term “</w:t>
      </w:r>
      <w:r>
        <w:rPr>
          <w:rFonts w:ascii="Arial" w:cs="Arial" w:eastAsia="Arial" w:hAnsi="Arial"/>
          <w:sz w:val="19"/>
          <w:szCs w:val="19"/>
          <w:u w:val="single" w:color="auto"/>
          <w:color w:val="auto"/>
        </w:rPr>
        <w:t>entire Board</w:t>
      </w:r>
      <w:r>
        <w:rPr>
          <w:rFonts w:ascii="Arial" w:cs="Arial" w:eastAsia="Arial" w:hAnsi="Arial"/>
          <w:sz w:val="19"/>
          <w:szCs w:val="19"/>
          <w:color w:val="auto"/>
        </w:rPr>
        <w:t>” means the total number of authorized directors the Corporation would have if there were no vacancies on the Board.</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2.2 Quorum and Manner of Acting. A majority of the entire Board shall constitute a quorum for the transaction of business at any meeting. Action of the Board shall be authorized by the affirmative vote of the majority of the directors present at the meeting, if there is a quorum, unless otherwise required by law, by the Certificate of Incorporation, or by these By-Laws. To the fullest extent permitted by law, in the absence of a quorum, a majority of the directors present may adjourn any meeting from time to time until a quorum is present, without further notice or waiver of notice.</w:t>
      </w:r>
    </w:p>
    <w:p>
      <w:pPr>
        <w:spacing w:after="0" w:line="17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Place of Meetings. Meetings of the Board may be held in or outside Delaware as determined by the Board from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time to time.</w:t>
      </w:r>
    </w:p>
    <w:p>
      <w:pPr>
        <w:spacing w:after="0" w:line="21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2.4 Annual and Regular Meetings. Annual meetings of the Board, for the election of officers and consideration of other matters, shall be held either (a) without notice immediately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185" w:right="2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22"/>
          <w:szCs w:val="22"/>
          <w:color w:val="auto"/>
        </w:rPr>
        <w:t>after the annual meeting of stockholders and at the same place, or (b) as soon as practicable after the annual meeting of stockholders, on notice as provided in Section 2.6. Regular meetings of the Board may be held without notice at such times and places as the Board determines. If the day fixed for a regular meeting is a legal holiday, the meeting shall be held on the next business day.</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2.5 Special Meetings. Special meetings of the Board may be called by the Chairman, the Chief Executive Officer or by any two directors of the Board.</w:t>
      </w:r>
    </w:p>
    <w:p>
      <w:pPr>
        <w:spacing w:after="0" w:line="16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2.6 Notice of Meetings; Waiver of Notice. Notice of the time, date and place of each special meeting of the Board, and of each annual meeting not held immediately after the annual meeting of stockholders and at the same place, shall be given to each director by whom it is not waived by mailing written notice to such director at his or her residence or usual place of business at least three days before the meeting, or by delivering notice by facsimile or other electronic transmission or by telephone at least two days before the meeting. Notice need not be given to any director who submits a waiver of notice before or after the meeting or who attends the meeting without protesting at the beginning of the meeting the transaction of any business because the meeting was not lawfully called or convened. To the fullest extent permitted by law, notice of any adjourned meeting need not be given, other than by announcement at the meeting at which the adjournment is taken.</w:t>
      </w:r>
    </w:p>
    <w:p>
      <w:pPr>
        <w:spacing w:after="0" w:line="156"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2.7 Board or Committee Action Without a Meeting. Any action required or permitted to be taken by the Board or by any committee of the Board may be taken without a meeting, if all the members of the Board or the committee consent in writing or by electronic transmission to the adoption of a resolution authorizing the action. The resolution and the consents by the members of the Board or the committee shall be filed with the minutes of the proceedings of the Board or the committee.</w:t>
      </w:r>
    </w:p>
    <w:p>
      <w:pPr>
        <w:spacing w:after="0" w:line="13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2.8 Participation in Board or Committee Meetings by Conference Telephone. Any or all members of the Board or any committee of the Board may participate in a meeting of the Board or the committee by means of a conference telephone or other communications equipment allowing all persons participating in the meeting to hear each other at the same time. Participation by such means shall constitute presence in person at the meeting.</w:t>
      </w:r>
    </w:p>
    <w:p>
      <w:pPr>
        <w:spacing w:after="0" w:line="185"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2.9 Resignation and Removal of Directors. Any director may resign at any time by delivering his or her resignation, in writing or by electronic transmission, to the Chairman, President or Secretary of the Corporation, to take effect at the time specified in the resignation; the acceptance of a resignation, unless required by its terms, shall not be necessary to make it effective. Any or all of the directors may be removed at any time, either with or without cause, by vote of the stockholders.</w:t>
      </w:r>
    </w:p>
    <w:p>
      <w:pPr>
        <w:spacing w:after="0" w:line="13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2.10 Vacancies and Newly Created Directorships. Subject to the rights of the holders of any series of preferred stock then outstanding, newly created directorships resulting from any increase in the authorized number of directors or any vacancies in the Board resulting from death, resignation, disqualification, removal from office or other cause shall, unless otherwise required by law or by resolution of the Board, be filled only by a majority vote of the directors then in office, though less than a quorum (and not by stockholders), and directors so chosen shall serve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75" w:right="2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22"/>
          <w:szCs w:val="22"/>
          <w:color w:val="auto"/>
        </w:rPr>
        <w:t>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2.11 Compensation. Directors shall receive such compensation as the Board determines, together with reimbursement of their reasonable expenses in connection with the performance of their duties. A director also may be paid for serving the Corporation or its affiliates or subsidiaries in other capacities.</w:t>
      </w:r>
    </w:p>
    <w:p>
      <w:pPr>
        <w:spacing w:after="0" w:line="177"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COMMITTEES.</w:t>
      </w:r>
    </w:p>
    <w:p>
      <w:pPr>
        <w:spacing w:after="0" w:line="22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3.1 Executive Committee. The Board, by resolution adopted by the affirmative vote of a majority of the entire Board, may designate an executive committee of one or more directors, which shall have all the powers and authority of the Board, except as otherwise provided in the resolution, Section 141(c) of the DGCL or any other applicable law. The members of the executive committee shall serve at the pleasure of the Board.</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3.2 Other Committees. The Board, by resolution adopted by the affirmative vote of a majority of the entire Board, may designate other committees of one or more directors, which shall serve at the Board’s pleasure and have such powers and duties as the Board determines.</w:t>
      </w:r>
    </w:p>
    <w:p>
      <w:pPr>
        <w:spacing w:after="0" w:line="177"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3.3 Rules Applicable to Committees. The Board may designate one or more directors as alternate members of any committee, who may replace any absent or disqualified member at any meeting of the committee. In case of the absence or disqualification of any member of a committee, the member or members present at a meeting of the committee and not disqualified, whether or not a quorum, may unanimously appoint another director to act at the meeting in place of the absent or disqualified member. Each committee shall adopt rules of procedure and shall meet as provided by those rules or by resolutions of the Board.</w:t>
      </w:r>
    </w:p>
    <w:p>
      <w:pPr>
        <w:spacing w:after="0" w:line="14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OFFICERS.</w:t>
      </w:r>
    </w:p>
    <w:p>
      <w:pPr>
        <w:spacing w:after="0" w:line="220"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auto"/>
        </w:rPr>
        <w:t>4.1 Number; Security. The officers of the Corporation shall be the Chairman, the Chief Executive Officer, the President, the Chief Operating Officer, the Chief Financial Officer, the Secretary and such other officers as may be appointed from time to time by or in the manner determined by the Board. Any two or more offices may be held by the same person. The Board may require any officer, agent or employee to give security for the faithful performance of his or her duties.</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4.2 Election; Term of Office. The officers of the Corporation shall be elected by or in the manner determined by the Board, and each such officer shall hold office until the next annual meeting of the Board and until the election of his or her successor.</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4.3 Subordinate Officers. The Board may appoint subordinate officers (including assistant secretaries and assistant treasurers), agents or employees, each of whom shall hold office for such period and have such powers and duties as the Board determines.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75" w:right="239" w:bottom="1440" w:gutter="0" w:footer="0" w:header="0"/>
        </w:sectPr>
      </w:pPr>
    </w:p>
    <w:bookmarkStart w:id="50" w:name="page51"/>
    <w:bookmarkEnd w:id="50"/>
    <w:p>
      <w:pPr>
        <w:jc w:val="both"/>
        <w:ind w:firstLine="1297"/>
        <w:spacing w:after="0" w:line="307" w:lineRule="auto"/>
        <w:rPr>
          <w:sz w:val="20"/>
          <w:szCs w:val="20"/>
          <w:color w:val="auto"/>
        </w:rPr>
      </w:pPr>
      <w:r>
        <w:rPr>
          <w:rFonts w:ascii="Arial" w:cs="Arial" w:eastAsia="Arial" w:hAnsi="Arial"/>
          <w:sz w:val="19"/>
          <w:szCs w:val="19"/>
          <w:color w:val="auto"/>
        </w:rPr>
        <w:t>4.4 Resignation and Removal of Officers. Any officer may resign at any time by delivering his or her resignation, in writing or by electronic transmission, to the Chairman, President or Secretary of the Corporation, to take effect at the time specified in the resignation; the acceptance of a resignation, unless required by its terms, shall not be necessary to make it effective. Any officer may be removed by or in the manner determined by the Board either with or without cause.</w:t>
      </w:r>
    </w:p>
    <w:p>
      <w:pPr>
        <w:spacing w:after="0" w:line="13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Vacancies. A vacancy in any office may be filled for the unexpired term in the manner prescribed in Sections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4.2 and 4.3 for election or appointment to the office.</w:t>
      </w:r>
    </w:p>
    <w:p>
      <w:pPr>
        <w:spacing w:after="0" w:line="21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4.6 The Chairman. The Chairman of the Board shall preside over all meetings of the Board at which he or she is present, and shall have such other powers and duties as chairmen of the boards of corporations usually have or the Board assigns to him or her.</w:t>
      </w:r>
    </w:p>
    <w:p>
      <w:pPr>
        <w:spacing w:after="0" w:line="17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4.7 The Chief Executive Officer. Subject to the control of the Board, the Chief Executive Officer of the Corporation shall manage and direct the daily business and affairs of the Corporation and shall communicate to the Board reports, proposals and recommendations for the Board’s consideration or action. He or she may do and perform all acts on behalf of the Corporation and shall have such powers and perform such duties as the Board may from time to time prescribe or as may be prescribed in these By-Laws, and in the event of the absence, incapacity or inability to act of the Chairman, then the Chief Executive Officer shall perform the duties and exercise the powers of the Chairman.</w:t>
      </w:r>
    </w:p>
    <w:p>
      <w:pPr>
        <w:spacing w:after="0" w:line="17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4.8 President. The President shall have such powers and perform such duties as the Board or the Chairman may from time to time prescribe or as may be prescribed in these By-Laws.</w:t>
      </w:r>
    </w:p>
    <w:p>
      <w:pPr>
        <w:spacing w:after="0" w:line="16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4.9 Chief Operating Officer. The Chief Operating Officer shall have such powers and duties as the Board or the Chairman may from time to time prescribe.</w:t>
      </w:r>
    </w:p>
    <w:p>
      <w:pPr>
        <w:spacing w:after="0" w:line="16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4.10 Chief Financial Officer. The Chief Financial Officer shall have such other powers and duties as the Board or the President may from time to time prescribe.</w:t>
      </w:r>
    </w:p>
    <w:p>
      <w:pPr>
        <w:spacing w:after="0" w:line="16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4.11 The Secretary. The Secretary shall be the Secretary of, and keep the minutes of, all meetings of the Board and the stockholders, shall be responsible for giving notice of all meetings of stockholders and the Board, and shall keep the seal and, when authorized by the Board, apply it to any instrument requiring it. The Secretary shall have such powers and duties as the Board or the President may from time to time prescribe. In the absence of the Secretary from any meeting, the minutes shall be kept by the person appointed for that purpose by the presiding officer.</w:t>
      </w:r>
    </w:p>
    <w:p>
      <w:pPr>
        <w:spacing w:after="0" w:line="174"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SHARES.</w:t>
      </w:r>
    </w:p>
    <w:p>
      <w:pPr>
        <w:spacing w:after="0" w:line="220"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auto"/>
        </w:rPr>
        <w:t>5.1 Certificates. Each holder of stock represented by certificates shall be entitled to a certificate signed by, or in the name of the Corporation. Each certificate shall be signed by the Chairman, Chief Executive Officer, President, a Vice President, the Secretary, an Assistant Secretary, the Treasurer, an Assistant Treasurer or any two authorized officers, and shall be sealed with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75" w:right="239" w:bottom="1440" w:gutter="0" w:footer="0" w:header="0"/>
        </w:sectPr>
      </w:pPr>
    </w:p>
    <w:bookmarkStart w:id="51" w:name="page52"/>
    <w:bookmarkEnd w:id="51"/>
    <w:p>
      <w:pPr>
        <w:jc w:val="both"/>
        <w:spacing w:after="0" w:line="265" w:lineRule="auto"/>
        <w:rPr>
          <w:sz w:val="20"/>
          <w:szCs w:val="20"/>
          <w:color w:val="auto"/>
        </w:rPr>
      </w:pPr>
      <w:r>
        <w:rPr>
          <w:rFonts w:ascii="Arial" w:cs="Arial" w:eastAsia="Arial" w:hAnsi="Arial"/>
          <w:sz w:val="21"/>
          <w:szCs w:val="21"/>
          <w:color w:val="auto"/>
        </w:rPr>
        <w:t>Corporation’s seal or a facsimile of the seal.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issued, it may be issued by the Corporation with the same effect as if he were such officer, transfer agent or registrar at the date of issue.</w:t>
      </w:r>
    </w:p>
    <w:p>
      <w:pPr>
        <w:spacing w:after="0" w:line="17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auto"/>
        </w:rPr>
        <w:t>5.2 Transfers. Upon compliance with provisions restricting the transfer or registration of transfer of shares of capital stock, if any, share of the capital stock of the Corporation may be transferred on the books of the Corporation only by the holder of such shares or by its duly authorized attorney, upon the surrender to the Corporation or its transfer agent of the certificate representing such stock properly endorsed and the payment of taxes due thereon.</w:t>
      </w:r>
    </w:p>
    <w:p>
      <w:pPr>
        <w:spacing w:after="0" w:line="16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5.3 The Board or any transfer agent of the Corporation may direct one or more new certificate(s) representing stock of the Corporation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the Board (or any transfer agent of the Corporation authorized to do so by a resolution of the Board) may, in its discretion and as a condition precedent to the issuance thereof, require the owner of such lost, stolen, or destroyed certificate or certificates, or such owner’s legal representative, to give the Corporation a bond in such sum as the Board (or any transfer agent so authorized) shall direct to indemnify the Corporation against any claim that may be made against the Corporation with respect to the certificate alleged to have been lost, stolen, or destroyed or the issuance of such new certificates, and such requirement may be general or confined to specific instances.</w:t>
      </w:r>
    </w:p>
    <w:p>
      <w:pPr>
        <w:spacing w:after="0" w:line="15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5.4 Determination of Stockholders of Record. The Board may fix, in advance, a date as the record date for the determination of stockholders entitled to notice of or to vote at any meeting of the stockholders, or any adjournment thereof, or to express consent to or dissent from any proposal without a meeting, or to receive payment of any dividend or the allotment of any rights, or for the purpose of any other action.</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5.5 Regulations. The Board shall have power and authority to make all such rules and regulations as it may deem expedient concerning the issue, transfer, registration, cancellation, and replacement of certificates representing stock of the Corporation.</w:t>
      </w:r>
    </w:p>
    <w:p>
      <w:pPr>
        <w:spacing w:after="0" w:line="17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INDEMNIFICATION AND INSURANCE.</w:t>
      </w:r>
    </w:p>
    <w:p>
      <w:pPr>
        <w:spacing w:after="0" w:line="220"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6.1 Right to Indemnification. Each person who was or is a party or is threatened to be made a party to or is involved in any action, suit or proceeding,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or a person of whom he or she is the legal representative, is or was a director or officer of the Corporation or is or was serving at the request of the Corporation as a director, officer or employee of another corporation or of a partnership, joint venture, trust or other enterprise, including service with respect to employee benefit plans, whether the basis of such proceeding is alleged action or inaction in an official capacity or in any other capacity while serving as director, officer or employee (any such person, an “</w:t>
      </w:r>
      <w:r>
        <w:rPr>
          <w:rFonts w:ascii="Arial" w:cs="Arial" w:eastAsia="Arial" w:hAnsi="Arial"/>
          <w:sz w:val="19"/>
          <w:szCs w:val="19"/>
          <w:u w:val="single" w:color="auto"/>
          <w:color w:val="auto"/>
        </w:rPr>
        <w:t>indemnitee</w:t>
      </w:r>
      <w:r>
        <w:rPr>
          <w:rFonts w:ascii="Arial" w:cs="Arial" w:eastAsia="Arial" w:hAnsi="Arial"/>
          <w:sz w:val="19"/>
          <w:szCs w:val="19"/>
          <w:color w:val="auto"/>
        </w:rPr>
        <w:t>”) shall be indemnified and held harmless by the Corporation to the fullest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75" w:right="2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9"/>
          <w:szCs w:val="19"/>
          <w:color w:val="auto"/>
        </w:rPr>
        <w:t>extent permitted by the DGCL, as amended from time to time, against all costs, charges, expenses, liabilities and losses (including attorneys’ fees, judgments, fines, ERISA excise taxes or penalties and amounts paid or to be paid in settlement) reasonably incurred or suffered by such person in connection therewith, and that indemnification shall continue as to a person who has ceased to be a director, officer or employee and shall inure to the benefit of such person’s heirs, executors and administrators; provided, however, that, except as provided in Section 6.2, the Corporation shall indemnify any such person seeking indemnification in connection with a proceeding (or part thereof) initiated by that person, only if that proceeding (or part thereof) was authorized by the Board. In addition to the right to indemnification, the indemnitees above shall have the right to be paid by the Corporation the expenses (including attorney’s fees) incurred in defending any such proceeding in advance of its final disposition; provided, however, that, if the DGCL requires, the payment of such expenses incurred by a director or officer in his or her capacity as a director or officer (and not in any other capacity in which service was or is rendered by that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these By-Laws or otherwise. The Corporation may, by action of its Board, provide indemnification to employees and agents of the Corporation with the same scope and effect as the foregoing indemnification of directors and officers.</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6.2 Right of Claimant to Bring Suit. If a claim under Section 6.1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to the fullest extent permitted by law. It shall be a defense to any such action (other than an action brought to enforce a claim for expenses incurred in defending any proceeding in advance of its final disposition, where the required undertaking, if any, is required and has been tendered to the Corporation) that the claimant has failed to meet a standard of conduct that makes it permissible under Delaware law for the Corporation to indemnify the claimant for the amount claimed. Neither the failure of the Corporation (including its Board, its independent legal counsel or its stockholders) to have made a determination prior to the commencement of such action that indemnification of the claimant is permissible in the circumstances because he has met that standard of conduct, nor an actual determination by the Corporation (including its Board, its independent counsel or its stockholders) that the claimant has not met that standard of conduct, shall be a defense to the action or create a presumption that the claimant has failed to meet that standard of conduct.</w:t>
      </w:r>
    </w:p>
    <w:p>
      <w:pPr>
        <w:spacing w:after="0" w:line="163"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19"/>
          <w:szCs w:val="19"/>
          <w:color w:val="auto"/>
        </w:rPr>
        <w:t>6.3 Non-Exclusivity of Rights. The right to indemnification and the advancement of expenses conferred in this Section 6 shall not be exclusive of any other right any person may have or hereafter acquire under any statute, provision of the Certificate of Incorporation, By-Law, agreement, vote of stockholders or disinterested directors or otherwise.</w:t>
      </w:r>
    </w:p>
    <w:p>
      <w:pPr>
        <w:spacing w:after="0" w:line="1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6.4 Insurance. The Corporation may maintain insurance, at its expense, to protect itself and any director, officer, employee or agent of the Corporation or another corporation,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375" w:right="239" w:bottom="1440" w:gutter="0" w:footer="0" w:header="0"/>
        </w:sectPr>
      </w:pPr>
    </w:p>
    <w:bookmarkStart w:id="53" w:name="page54"/>
    <w:bookmarkEnd w:id="53"/>
    <w:p>
      <w:pPr>
        <w:jc w:val="both"/>
        <w:spacing w:after="0" w:line="287" w:lineRule="auto"/>
        <w:rPr>
          <w:sz w:val="20"/>
          <w:szCs w:val="20"/>
          <w:color w:val="auto"/>
        </w:rPr>
      </w:pPr>
      <w:r>
        <w:rPr>
          <w:rFonts w:ascii="Arial" w:cs="Arial" w:eastAsia="Arial" w:hAnsi="Arial"/>
          <w:sz w:val="21"/>
          <w:szCs w:val="21"/>
          <w:color w:val="auto"/>
        </w:rPr>
        <w:t>partnership, joint venture, trust or other enterprise against any such expense, liability or loss, whether or not the Corporation would have the power to indemnify such person against that expense, liability or loss under Delaware law.</w:t>
      </w:r>
    </w:p>
    <w:p>
      <w:pPr>
        <w:spacing w:after="0" w:line="15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6.5 Expenses as a Witness. To the extent any director, officer or employee is by reason of such position, or a position with another entity at the request of the Corporation, a witness in any action, suit or proceeding, such person shall be indemnified against all costs and expenses actually and reasonably incurred by such person or on such person’s behalf in connection therewith.</w:t>
      </w:r>
    </w:p>
    <w:p>
      <w:pPr>
        <w:spacing w:after="0" w:line="18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6.6 Indemnity Agreements. The Corporation may enter into agreement with any director, officer, employee or agent of the Corporation providing for indemnification to the fullest extent permitted by Delaware law.</w:t>
      </w:r>
    </w:p>
    <w:p>
      <w:pPr>
        <w:spacing w:after="0" w:line="161"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19"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1"/>
          <w:szCs w:val="21"/>
          <w:color w:val="auto"/>
        </w:rPr>
        <w:t>7.1  Seal. The Board shall adopt a corporate seal, which shall be in the form of as the Board shall determine.</w:t>
      </w:r>
    </w:p>
    <w:p>
      <w:pPr>
        <w:spacing w:after="0" w:line="24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7.2 Fiscal Year. The Board may determine the Corporation’s fiscal year. Until changed by the Board, the last day of the Corporation’s fiscal year shall be December 31.</w:t>
      </w:r>
    </w:p>
    <w:p>
      <w:pPr>
        <w:spacing w:after="0" w:line="161" w:lineRule="exact"/>
        <w:rPr>
          <w:sz w:val="20"/>
          <w:szCs w:val="20"/>
          <w:color w:val="auto"/>
        </w:rPr>
      </w:pPr>
    </w:p>
    <w:p>
      <w:pPr>
        <w:jc w:val="both"/>
        <w:ind w:firstLine="1297"/>
        <w:spacing w:after="0" w:line="358" w:lineRule="auto"/>
        <w:rPr>
          <w:sz w:val="20"/>
          <w:szCs w:val="20"/>
          <w:color w:val="auto"/>
        </w:rPr>
      </w:pPr>
      <w:r>
        <w:rPr>
          <w:rFonts w:ascii="Arial" w:cs="Arial" w:eastAsia="Arial" w:hAnsi="Arial"/>
          <w:sz w:val="19"/>
          <w:szCs w:val="19"/>
          <w:color w:val="auto"/>
        </w:rPr>
        <w:t>7.3 Voting of Shares in Other Entities. Unless the Board otherwise determines, shares in other entities held by the Corporation may be represented and voted by any officer of this Corporation or by a proxy or proxies appointed by an officer.</w:t>
      </w:r>
    </w:p>
    <w:p>
      <w:pPr>
        <w:spacing w:after="0" w:line="9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7.4 Amendments. The Board or the stockholders may adopt, amend and repeal By-Laws of the Corporation as set forth below. Notwithstanding any other provision of these By-Laws or any provision of law which might otherwise permit a lesser vote or no vote, but in addition to any affirmative vote of the holders of any particular class or series of the capital stock of the Corporation required by law, these By-Laws or any preferred stock, the affirmative vote of a majority of the outstanding voting power of all of the then-outstanding shares entitled to vote thereon, voting together as a single class, shall be required to adopt, amend or repeal any provision of these By-Laws.</w:t>
      </w:r>
    </w:p>
    <w:p>
      <w:pPr>
        <w:spacing w:after="0" w:line="22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7.5 Electronic Transmission. For purposes of these By-Laws,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means any form of communication, not directly involving the physical transmission of paper, including the use of, or participation in, 1 or more electronic networks or databases (including 1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24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7.6 Time Periods.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75" w:right="2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11587011</w:t>
      </w:r>
    </w:p>
    <w:p>
      <w:pPr>
        <w:spacing w:after="0" w:line="200" w:lineRule="exact"/>
        <w:rPr>
          <w:sz w:val="20"/>
          <w:szCs w:val="20"/>
          <w:color w:val="auto"/>
        </w:rPr>
      </w:pPr>
    </w:p>
    <w:p>
      <w:pPr>
        <w:spacing w:after="0" w:line="316"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139"/>
          </w:cols>
          <w:pgMar w:left="320" w:top="918"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Pizzi,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June 30, 2018,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June 30, 2018, (the "Periodic Report"), I, Christopher R. Pizzi, SVP &amp;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6"/>
          <w:szCs w:val="16"/>
          <w:color w:val="auto"/>
        </w:rPr>
        <w:t>/s/ Christopher R. Pizzi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Christopher R. Pizzi</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6"/>
    </w:lvl>
  </w:abstractNum>
  <w:abstractNum w:abstractNumId="6">
    <w:nsid w:val="333AB105"/>
    <w:multiLevelType w:val="hybridMultilevel"/>
    <w:lvl w:ilvl="0">
      <w:lvlJc w:val="left"/>
      <w:lvlText w:val="%1."/>
      <w:numFmt w:val="decimal"/>
      <w:start w:val="10"/>
    </w:lvl>
  </w:abstractNum>
  <w:abstractNum w:abstractNumId="7">
    <w:nsid w:val="721DA317"/>
    <w:multiLevelType w:val="hybridMultilevel"/>
    <w:lvl w:ilvl="0">
      <w:lvlJc w:val="left"/>
      <w:lvlText w:val="%1."/>
      <w:numFmt w:val="decimal"/>
      <w:start w:val="11"/>
    </w:lvl>
  </w:abstractNum>
  <w:abstractNum w:abstractNumId="8">
    <w:nsid w:val="2443A858"/>
    <w:multiLevelType w:val="hybridMultilevel"/>
    <w:lvl w:ilvl="0">
      <w:lvlJc w:val="left"/>
      <w:lvlText w:val="%1."/>
      <w:numFmt w:val="decimal"/>
      <w:start w:val="12"/>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4"/>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upperLetter"/>
      <w:start w:val="1"/>
    </w:lvl>
    <w:lvl w:ilvl="1">
      <w:lvlJc w:val="left"/>
      <w:lvlText w:val="(%2)"/>
      <w:numFmt w:val="upperLetter"/>
      <w:start w:val="2"/>
    </w:lvl>
  </w:abstractNum>
  <w:abstractNum w:abstractNumId="17">
    <w:nsid w:val="54E49EB4"/>
    <w:multiLevelType w:val="hybridMultilevel"/>
    <w:lvl w:ilvl="0">
      <w:lvlJc w:val="left"/>
      <w:lvlText w:val="(%1)"/>
      <w:numFmt w:val="upperLetter"/>
      <w:start w:val="3"/>
    </w:lvl>
    <w:lvl w:ilvl="1">
      <w:lvlJc w:val="left"/>
      <w:lvlText w:val="(%2)"/>
      <w:numFmt w:val="decimal"/>
      <w:start w:val="1"/>
    </w:lvl>
  </w:abstractNum>
  <w:abstractNum w:abstractNumId="18">
    <w:nsid w:val="71F32454"/>
    <w:multiLevelType w:val="hybridMultilevel"/>
    <w:lvl w:ilvl="0">
      <w:lvlJc w:val="left"/>
      <w:lvlText w:val="(%1)"/>
      <w:numFmt w:val="decimal"/>
      <w:start w:val="2"/>
    </w:lvl>
    <w:lvl w:ilvl="1">
      <w:lvlJc w:val="left"/>
      <w:lvlText w:val="(%2)"/>
      <w:numFmt w:val="lowerRoman"/>
      <w:start w:val="1"/>
    </w:lvl>
  </w:abstractNum>
  <w:abstractNum w:abstractNumId="19">
    <w:nsid w:val="2CA88611"/>
    <w:multiLevelType w:val="hybridMultilevel"/>
    <w:lvl w:ilvl="0">
      <w:lvlJc w:val="left"/>
      <w:lvlText w:val="%1"/>
      <w:numFmt w:val="upperLetter"/>
      <w:start w:val="1"/>
    </w:lvl>
    <w:lvl w:ilvl="1">
      <w:lvlJc w:val="left"/>
      <w:lvlText w:val="(%2)"/>
      <w:numFmt w:val="lowerRoman"/>
      <w:start w:val="3"/>
    </w:lvl>
  </w:abstractNum>
  <w:abstractNum w:abstractNumId="20">
    <w:nsid w:val="836C40E"/>
    <w:multiLevelType w:val="hybridMultilevel"/>
    <w:lvl w:ilvl="0">
      <w:lvlJc w:val="left"/>
      <w:lvlText w:val="(%1)"/>
      <w:numFmt w:val="upperLetter"/>
      <w:start w:val="4"/>
    </w:lvl>
    <w:lvl w:ilvl="1">
      <w:lvlJc w:val="left"/>
      <w:lvlText w:val="%2"/>
      <w:numFmt w:val="lowerRoman"/>
      <w:start w:val="1"/>
    </w:lvl>
  </w:abstractNum>
  <w:abstractNum w:abstractNumId="21">
    <w:nsid w:val="2901D82"/>
    <w:multiLevelType w:val="hybridMultilevel"/>
    <w:lvl w:ilvl="0">
      <w:lvlJc w:val="left"/>
      <w:lvlText w:val="(%1)"/>
      <w:numFmt w:val="upperLetter"/>
      <w:start w:val="5"/>
    </w:lvl>
  </w:abstractNum>
  <w:abstractNum w:abstractNumId="22">
    <w:nsid w:val="3A95F874"/>
    <w:multiLevelType w:val="hybridMultilevel"/>
    <w:lvl w:ilvl="0">
      <w:lvlJc w:val="left"/>
      <w:lvlText w:val="(%1)"/>
      <w:numFmt w:val="upperLetter"/>
      <w:start w:val="1"/>
    </w:lvl>
    <w:lvl w:ilvl="1">
      <w:lvlJc w:val="left"/>
      <w:lvlText w:val="(%2)"/>
      <w:numFmt w:val="decimal"/>
      <w:start w:val="1"/>
    </w:lvl>
  </w:abstractNum>
  <w:abstractNum w:abstractNumId="23">
    <w:nsid w:val="813864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24">
    <w:nsid w:val="1E7FF521"/>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25">
    <w:nsid w:val="7C3DBD3D"/>
    <w:multiLevelType w:val="hybridMultilevel"/>
    <w:lvl w:ilvl="0">
      <w:lvlJc w:val="left"/>
      <w:lvlText w:val="(%1)"/>
      <w:numFmt w:val="upperLetter"/>
      <w:start w:val="4"/>
    </w:lvl>
    <w:lvl w:ilvl="1">
      <w:lvlJc w:val="left"/>
      <w:lvlText w:val="%2"/>
      <w:numFmt w:val="upperLetter"/>
      <w:start w:val="1"/>
    </w:lvl>
    <w:lvl w:ilvl="2">
      <w:lvlJc w:val="left"/>
      <w:lvlText w:val="%3"/>
      <w:numFmt w:val="decimal"/>
      <w:start w:val="1"/>
    </w:lvl>
  </w:abstractNum>
  <w:abstractNum w:abstractNumId="26">
    <w:nsid w:val="737B8DDC"/>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1"/>
    </w:lvl>
  </w:abstractNum>
  <w:abstractNum w:abstractNumId="27">
    <w:nsid w:val="6CEAF087"/>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8"/>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1."/>
      <w:numFmt w:val="decimal"/>
      <w:start w:val="4"/>
    </w:lvl>
  </w:abstractNum>
  <w:abstractNum w:abstractNumId="31">
    <w:nsid w:val="614FD4A1"/>
    <w:multiLevelType w:val="hybridMultilevel"/>
    <w:lvl w:ilvl="0">
      <w:lvlJc w:val="left"/>
      <w:lvlText w:val="%1."/>
      <w:numFmt w:val="decimal"/>
      <w:start w:val="5"/>
    </w:lvl>
  </w:abstractNum>
  <w:abstractNum w:abstractNumId="32">
    <w:nsid w:val="419AC241"/>
    <w:multiLevelType w:val="hybridMultilevel"/>
    <w:lvl w:ilvl="0">
      <w:lvlJc w:val="left"/>
      <w:lvlText w:val="%1."/>
      <w:numFmt w:val="decimal"/>
      <w:start w:val="6"/>
    </w:lvl>
  </w:abstractNum>
  <w:abstractNum w:abstractNumId="33">
    <w:nsid w:val="5577F8E1"/>
    <w:multiLevelType w:val="hybridMultilevel"/>
    <w:lvl w:ilvl="0">
      <w:lvlJc w:val="left"/>
      <w:lvlText w:val="%1."/>
      <w:numFmt w:val="decimal"/>
      <w:start w:val="7"/>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2019-12-28T20:20:13Z</dcterms:created>
  <dcterms:modified xsi:type="dcterms:W3CDTF">2019-12-28T20:20:13Z</dcterms:modified>
</cp:coreProperties>
</file>