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color w:val="000000"/>
        </w:rPr>
      </w:pPr>
      <w:r>
        <w:rPr>
          <w:color w:val="000000"/>
        </w:rPr>
        <w:t>———————</w:t>
      </w:r>
    </w:p>
    <w:p>
      <w:pPr>
        <w:pStyle w:val="TextBody"/>
        <w:bidi w:val="0"/>
        <w:spacing w:lineRule="auto" w:line="288" w:before="120" w:after="283"/>
        <w:jc w:val="center"/>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120" w:after="283"/>
        <w:jc w:val="center"/>
        <w:rPr/>
      </w:pP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60" w:after="283"/>
        <w:jc w:val="center"/>
        <w:rPr/>
      </w:pPr>
      <w:r>
        <w:rPr>
          <w:rFonts w:ascii="Times New Roman;serif" w:hAnsi="Times New Roman;serif"/>
          <w:b/>
          <w:color w:val="000000"/>
          <w:sz w:val="18"/>
        </w:rPr>
        <w:t>For the Transition Period From</w:t>
      </w:r>
      <w:r>
        <w:rPr>
          <w:color w:val="000000"/>
        </w:rPr>
        <w:t xml:space="preserve"> </w:t>
      </w:r>
      <w:r>
        <w:rPr>
          <w:rFonts w:ascii="Times New Roman;serif" w:hAnsi="Times New Roman;serif"/>
          <w:b w:val="false"/>
          <w:color w:val="000000"/>
          <w:sz w:val="18"/>
        </w:rPr>
        <w:t xml:space="preserve">_________ </w:t>
      </w:r>
      <w:r>
        <w:rPr>
          <w:rFonts w:ascii="Times New Roman;serif" w:hAnsi="Times New Roman;serif"/>
          <w:b/>
          <w:color w:val="000000"/>
          <w:sz w:val="18"/>
        </w:rPr>
        <w:t>to</w:t>
      </w:r>
      <w:r>
        <w:rPr>
          <w:color w:val="000000"/>
        </w:rPr>
        <w:t xml:space="preserve"> </w:t>
      </w:r>
      <w:r>
        <w:rPr>
          <w:rFonts w:ascii="Times New Roman;serif" w:hAnsi="Times New Roman;serif"/>
          <w:b w:val="false"/>
          <w:color w:val="000000"/>
          <w:sz w:val="18"/>
        </w:rPr>
        <w:t>_________</w:t>
      </w:r>
    </w:p>
    <w:p>
      <w:pPr>
        <w:pStyle w:val="TextBody"/>
        <w:bidi w:val="0"/>
        <w:spacing w:before="0" w:after="0"/>
        <w:jc w:val="center"/>
        <w:rPr/>
      </w:pPr>
      <w:r>
        <w:rPr/>
        <w:drawing>
          <wp:inline distT="0" distB="0" distL="0" distR="0">
            <wp:extent cx="237172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952500"/>
                    </a:xfrm>
                    <a:prstGeom prst="rect">
                      <a:avLst/>
                    </a:prstGeom>
                  </pic:spPr>
                </pic:pic>
              </a:graphicData>
            </a:graphic>
          </wp:inline>
        </w:drawing>
      </w:r>
      <w:bookmarkStart w:id="0" w:name="i-1"/>
      <w:bookmarkEnd w:id="0"/>
    </w:p>
    <w:p>
      <w:pPr>
        <w:pStyle w:val="TextBody"/>
        <w:bidi w:val="0"/>
        <w:spacing w:lineRule="auto" w:line="288"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CROSS COUNTRY HEALTHCARE, INC.</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p>
      <w:pPr>
        <w:pStyle w:val="TextBody"/>
        <w:bidi w:val="0"/>
        <w:spacing w:lineRule="auto" w:line="288" w:before="0" w:after="0"/>
        <w:jc w:val="center"/>
        <w:rPr>
          <w:color w:val="000000"/>
        </w:rPr>
      </w:pPr>
      <w:r>
        <w:rPr>
          <w:color w:val="000000"/>
        </w:rPr>
        <w:t>———————</w:t>
      </w:r>
    </w:p>
    <w:tbl>
      <w:tblPr>
        <w:tblW w:w="5131" w:type="dxa"/>
        <w:jc w:val="center"/>
        <w:tblInd w:w="0" w:type="dxa"/>
        <w:tblLayout w:type="fixed"/>
        <w:tblCellMar>
          <w:top w:w="28" w:type="dxa"/>
          <w:left w:w="28" w:type="dxa"/>
          <w:bottom w:w="28" w:type="dxa"/>
          <w:right w:w="28" w:type="dxa"/>
        </w:tblCellMar>
      </w:tblPr>
      <w:tblGrid>
        <w:gridCol w:w="851"/>
        <w:gridCol w:w="749"/>
        <w:gridCol w:w="755"/>
        <w:gridCol w:w="334"/>
        <w:gridCol w:w="334"/>
        <w:gridCol w:w="338"/>
        <w:gridCol w:w="516"/>
        <w:gridCol w:w="516"/>
        <w:gridCol w:w="738"/>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0-33169</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13-4066229</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 or organization)</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w:t>
              <w:br/>
              <w:t>file number</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Number)</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5201 Congress Avenue, Suite 160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Boca Raton, Florida 33487</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offices)(Zip Code)</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(561) 998-2232</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60" w:after="283"/>
        <w:jc w:val="center"/>
        <w:rPr>
          <w:rFonts w:ascii="Times New Roman;serif" w:hAnsi="Times New Roman;serif"/>
          <w:b w:val="false"/>
          <w:i/>
          <w:color w:val="000000"/>
          <w:sz w:val="18"/>
        </w:rPr>
      </w:pPr>
      <w:r>
        <w:rPr>
          <w:rFonts w:ascii="Times New Roman;serif" w:hAnsi="Times New Roman;serif"/>
          <w:b w:val="false"/>
          <w:i/>
          <w:color w:val="000000"/>
          <w:sz w:val="18"/>
        </w:rPr>
        <w:t>(Former name, former address and former fiscal year, if changed since last report)</w:t>
      </w:r>
    </w:p>
    <w:p>
      <w:pPr>
        <w:pStyle w:val="TextBody"/>
        <w:bidi w:val="0"/>
        <w:spacing w:lineRule="auto" w:line="288" w:before="0" w:after="0"/>
        <w:jc w:val="center"/>
        <w:rPr>
          <w:color w:val="000000"/>
        </w:rPr>
      </w:pPr>
      <w:r>
        <w:rPr>
          <w:color w:val="000000"/>
        </w:rPr>
        <w: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098" w:type="dxa"/>
        <w:jc w:val="center"/>
        <w:tblInd w:w="0" w:type="dxa"/>
        <w:tblLayout w:type="fixed"/>
        <w:tblCellMar>
          <w:top w:w="28" w:type="dxa"/>
          <w:left w:w="28" w:type="dxa"/>
          <w:bottom w:w="28" w:type="dxa"/>
          <w:right w:w="28" w:type="dxa"/>
        </w:tblCellMar>
      </w:tblPr>
      <w:tblGrid>
        <w:gridCol w:w="1177"/>
        <w:gridCol w:w="1036"/>
        <w:gridCol w:w="1042"/>
        <w:gridCol w:w="454"/>
        <w:gridCol w:w="454"/>
        <w:gridCol w:w="456"/>
        <w:gridCol w:w="1019"/>
        <w:gridCol w:w="1019"/>
        <w:gridCol w:w="1441"/>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CCRN</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120" w:after="283"/>
        <w:jc w:val="left"/>
        <w:rPr/>
      </w:pPr>
      <w:r>
        <w:rPr>
          <w:rFonts w:ascii="Times New Roman;serif" w:hAnsi="Times New Roman;serif"/>
          <w:b w:val="false"/>
          <w:color w:val="000000"/>
          <w:sz w:val="18"/>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color w:val="000000"/>
        </w:rPr>
        <w:t>☒ </w:t>
      </w:r>
      <w:r>
        <w:rPr>
          <w:rFonts w:ascii="Times New Roman;serif" w:hAnsi="Times New Roman;serif"/>
          <w:b w:val="false"/>
          <w:color w:val="000000"/>
          <w:sz w:val="18"/>
        </w:rPr>
        <w:t xml:space="preserve">Yes </w:t>
      </w:r>
      <w:r>
        <w:rPr>
          <w:color w:val="000000"/>
        </w:rPr>
        <w:t>☐ </w:t>
      </w:r>
      <w:r>
        <w:rPr>
          <w:rFonts w:ascii="Times New Roman;serif" w:hAnsi="Times New Roman;serif"/>
          <w:b w:val="false"/>
          <w:color w:val="000000"/>
          <w:sz w:val="18"/>
        </w:rPr>
        <w:t>No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jc w:val="center"/>
        <w:rPr/>
      </w:pPr>
      <w:r>
        <w:rPr>
          <w:rFonts w:ascii="Times New Roman;serif" w:hAnsi="Times New Roman;serif"/>
          <w:b w:val="false"/>
          <w:color w:val="000000"/>
          <w:sz w:val="18"/>
        </w:rPr>
        <w:t>Large accelerated filer </w:t>
      </w:r>
      <w:r>
        <w:rPr>
          <w:color w:val="000000"/>
        </w:rPr>
        <w:t xml:space="preserve">☐ </w:t>
      </w:r>
      <w:r>
        <w:rPr>
          <w:rFonts w:ascii="Times New Roman;serif" w:hAnsi="Times New Roman;serif"/>
          <w:b w:val="false"/>
          <w:color w:val="000000"/>
          <w:sz w:val="18"/>
        </w:rPr>
        <w:t xml:space="preserve">Accelerated filer </w:t>
      </w:r>
      <w:r>
        <w:rPr>
          <w:color w:val="000000"/>
        </w:rPr>
        <w:t xml:space="preserve">☒ </w:t>
      </w:r>
      <w:r>
        <w:rPr>
          <w:rFonts w:ascii="Times New Roman;serif" w:hAnsi="Times New Roman;serif"/>
          <w:b w:val="false"/>
          <w:color w:val="000000"/>
          <w:sz w:val="18"/>
        </w:rPr>
        <w:t>Non-accelerated filer </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18"/>
        </w:rPr>
        <w:t>Smaller reporting company </w:t>
      </w:r>
      <w:r>
        <w:rPr>
          <w:color w:val="000000"/>
        </w:rPr>
        <w:t xml:space="preserve">☐ </w:t>
      </w:r>
      <w:r>
        <w:rPr>
          <w:rFonts w:ascii="Times New Roman;serif" w:hAnsi="Times New Roman;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w:t>
      </w:r>
    </w:p>
    <w:p>
      <w:pPr>
        <w:pStyle w:val="TextBody"/>
        <w:bidi w:val="0"/>
        <w:spacing w:lineRule="auto" w:line="288" w:before="0" w:after="0"/>
        <w:jc w:val="left"/>
        <w:rPr/>
      </w:pPr>
      <w:r>
        <w:rPr>
          <w:rFonts w:ascii="Times New Roman;serif" w:hAnsi="Times New Roman;serif"/>
          <w:b w:val="false"/>
          <w:color w:val="000000"/>
          <w:sz w:val="18"/>
        </w:rPr>
        <w:t xml:space="preserve">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18"/>
        </w:rPr>
        <w:t>The registrant had outstandin</w:t>
      </w:r>
      <w:r>
        <w:rPr>
          <w:rFonts w:ascii="Times New Roman;serif" w:hAnsi="Times New Roman;serif"/>
          <w:b w:val="false"/>
          <w:color w:val="000000"/>
          <w:sz w:val="18"/>
          <w:shd w:fill="FFFFFF" w:val="clear"/>
        </w:rPr>
        <w:t xml:space="preserve">g </w:t>
      </w:r>
      <w:r>
        <w:rPr>
          <w:rFonts w:ascii="Times New Roman;serif" w:hAnsi="Times New Roman;serif"/>
          <w:b w:val="false"/>
          <w:color w:val="000000"/>
          <w:sz w:val="20"/>
          <w:shd w:fill="FFFFFF" w:val="clear"/>
        </w:rPr>
        <w:t>32,332,661</w:t>
      </w:r>
      <w:r>
        <w:rPr>
          <w:color w:val="000000"/>
          <w:shd w:fill="FFFFFF" w:val="clear"/>
        </w:rPr>
        <w:t xml:space="preserve"> </w:t>
      </w:r>
      <w:r>
        <w:rPr>
          <w:rFonts w:ascii="Times New Roman;serif" w:hAnsi="Times New Roman;serif"/>
          <w:b w:val="false"/>
          <w:color w:val="000000"/>
          <w:sz w:val="18"/>
        </w:rPr>
        <w:t>shares of common stock, par value $0.0001 per share, as of April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RELATING TO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w:t>
      </w:r>
      <w:r>
        <w:rPr>
          <w:rFonts w:ascii="Times New Roman;serif" w:hAnsi="Times New Roman;serif"/>
          <w:b w:val="false"/>
          <w:color w:val="000000"/>
          <w:sz w:val="20"/>
          <w:shd w:fill="FFFFFF" w:val="clear"/>
        </w:rPr>
        <w:t xml:space="preserve">ts. These factors include, but are not limited to, the following: the timing to consummate the proposed merger with KL Criss Cross Intermediate, LLC (Merger, as discussed below), the risk that a condition of closing of the proposed Merger may not be satisfied or that the closing of the proposed Merger might otherwise not occur, the risk that a regulatory approval that may be required for the proposed Merger is not obtained or is obtained subject to conditions that are not anticipated, the diversion of management time on transaction-related issues, risks related to disruption of management time from ongoing business operations due to the proposed Merger, the risk that any announcements relating to the proposed Merger could have adverse effects on the market price of the Company’s common stock, the risk that the proposed Merger and its announcement could have an adverse effect on the ability of the Company to retain customers and retain and hire key personnel and maintain relationships with its suppliers and customers, the occurrence of any event, change, or other circumstance or condition that could give rise to the termination of the agreement and plan of merger that contemplates the Merger, including in circumstances requiring the Company to pay a termination fee, the risk that competing offers will be made, unexpected costs, charges or expenses resulting from the Merger, potential litigation relating to the Merger that could be instituted against the parties to the agreement and plan of merger or their respective directors, managers, or officers, including the effects of any outcomes related thereto, worldwide economic or political changes that affect the markets that the Company’s businesses serve, which could have an effect on demand for the Company’s services and impact the Company’s profitability, effects from global pandemics, epidemics, or other public health crises, changes in marketplace conditions, such as alternative modes of healthcare delivery, reimbursement and customer needs, disruptions in the global credit and financial markets, including diminished liquidity and credit availability, changes in international trade agreements, including tariffs and trade restrictions, foreign currency volatility, swings in consumer confidence and spending, and the overall macroeconomic environment, the functioning of our information systems and the effect of cyber security risks and cyber incidents on our business, demand for the healthcare services that we provide, both nationally and in the regions in which we operate, leadership transitions and retention of key employees, our ability to attract and retain qualified nurses, physicians, and other healthcare personnel, costs and availability of short-term housing for our travel healthcare professionals, the effect of existing or future government regulation and federal and state legislative and enforcement initiatives on our business, and outcomes of regulatory and legal proceedings, claims, and investigations, </w:t>
      </w:r>
      <w:r>
        <w:rPr>
          <w:rFonts w:ascii="Times New Roman;serif" w:hAnsi="Times New Roman;serif"/>
          <w:b w:val="false"/>
          <w:color w:val="000000"/>
          <w:sz w:val="20"/>
        </w:rPr>
        <w:t>and other factors, including, without limitation, the risk factors set forth in Item 1A. “Risk Factors” in the Company’s Annual Report on Form 10-K (2025 Form 10-K) for the year ended December 31, 2025, as filed and updated in our subsequent Quarterly Reports on Form 10-Q and other filings with the Securities and Exchange Commission (SEC).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references to “the Company”, “we”, “us”, “our”, or “Cross Country” in this Quarterly Report on Form 10-Q mean Cross Country Healthcare,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CROSS COUNTRY HEALTHCARE,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tbl>
      <w:tblPr>
        <w:tblW w:w="9725" w:type="dxa"/>
        <w:jc w:val="center"/>
        <w:tblInd w:w="0" w:type="dxa"/>
        <w:tblLayout w:type="fixed"/>
        <w:tblCellMar>
          <w:top w:w="28" w:type="dxa"/>
          <w:left w:w="28" w:type="dxa"/>
          <w:bottom w:w="28" w:type="dxa"/>
          <w:right w:w="28" w:type="dxa"/>
        </w:tblCellMar>
      </w:tblPr>
      <w:tblGrid>
        <w:gridCol w:w="620"/>
        <w:gridCol w:w="547"/>
        <w:gridCol w:w="547"/>
        <w:gridCol w:w="2449"/>
        <w:gridCol w:w="2449"/>
        <w:gridCol w:w="2467"/>
        <w:gridCol w:w="189"/>
        <w:gridCol w:w="189"/>
        <w:gridCol w:w="268"/>
      </w:tblGrid>
      <w:tr>
        <w:trPr/>
        <w:tc>
          <w:tcPr>
            <w:tcW w:w="62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3">
              <w:r>
                <w:rPr>
                  <w:rStyle w:val="InternetLink"/>
                  <w:rFonts w:ascii="Times New Roman;serif" w:hAnsi="Times New Roman;serif"/>
                  <w:b w:val="false"/>
                  <w:color w:val="0000FF"/>
                  <w:sz w:val="20"/>
                  <w:u w:val="single"/>
                </w:rPr>
                <w:t>PART I. – FINANCIAL INFORMATION</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3">
              <w:r>
                <w:rPr>
                  <w:rStyle w:val="InternetLink"/>
                  <w:rFonts w:ascii="Times New Roman;serif" w:hAnsi="Times New Roman;serif"/>
                  <w:b w:val="false"/>
                  <w:color w:val="0000FF"/>
                  <w:sz w:val="20"/>
                  <w:u w:val="single"/>
                </w:rPr>
                <w:t>1</w:t>
              </w:r>
            </w:hyperlink>
          </w:p>
        </w:tc>
      </w:tr>
      <w:tr>
        <w:trPr/>
        <w:tc>
          <w:tcPr>
            <w:tcW w:w="90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6">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6">
              <w:r>
                <w:rPr>
                  <w:rStyle w:val="InternetLink"/>
                  <w:rFonts w:ascii="Times New Roman;serif" w:hAnsi="Times New Roman;serif"/>
                  <w:b w:val="false"/>
                  <w:color w:val="0000FF"/>
                  <w:sz w:val="20"/>
                  <w:u w:val="single"/>
                </w:rPr>
                <w:t>Condensed Consolidated Financial Statements</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6">
              <w:r>
                <w:rPr>
                  <w:rStyle w:val="InternetLink"/>
                  <w:rFonts w:ascii="Times New Roman;serif" w:hAnsi="Times New Roman;serif"/>
                  <w:b w:val="false"/>
                  <w:color w:val="0000FF"/>
                  <w:sz w:val="20"/>
                  <w:u w:val="single"/>
                </w:rPr>
                <w:t>1</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9">
              <w:r>
                <w:rPr>
                  <w:rStyle w:val="InternetLink"/>
                  <w:rFonts w:ascii="Times New Roman;serif" w:hAnsi="Times New Roman;serif"/>
                  <w:b w:val="false"/>
                  <w:color w:val="0000FF"/>
                  <w:sz w:val="20"/>
                  <w:u w:val="single"/>
                </w:rPr>
                <w:t>Condensed Consolidated Balance Sheets (Unaudited)</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9">
              <w:r>
                <w:rPr>
                  <w:rStyle w:val="InternetLink"/>
                  <w:rFonts w:ascii="Times New Roman;serif" w:hAnsi="Times New Roman;serif"/>
                  <w:b w:val="false"/>
                  <w:color w:val="0000FF"/>
                  <w:sz w:val="20"/>
                  <w:u w:val="single"/>
                </w:rPr>
                <w:t>1</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22">
              <w:r>
                <w:rPr>
                  <w:rStyle w:val="InternetLink"/>
                  <w:rFonts w:ascii="Times New Roman;serif" w:hAnsi="Times New Roman;serif"/>
                  <w:b w:val="false"/>
                  <w:color w:val="0000FF"/>
                  <w:sz w:val="20"/>
                  <w:u w:val="single"/>
                </w:rPr>
                <w:t>Condensed Consolidated Statements of Operations and Comprehensive Loss (Unaudited)</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22">
              <w:r>
                <w:rPr>
                  <w:rStyle w:val="InternetLink"/>
                  <w:rFonts w:ascii="Times New Roman;serif" w:hAnsi="Times New Roman;serif"/>
                  <w:b w:val="false"/>
                  <w:color w:val="0000FF"/>
                  <w:sz w:val="20"/>
                  <w:u w:val="single"/>
                </w:rPr>
                <w:t>2</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25">
              <w:r>
                <w:rPr>
                  <w:rStyle w:val="InternetLink"/>
                  <w:rFonts w:ascii="Times New Roman;serif" w:hAnsi="Times New Roman;serif"/>
                  <w:b w:val="false"/>
                  <w:color w:val="0000FF"/>
                  <w:sz w:val="20"/>
                  <w:u w:val="single"/>
                </w:rPr>
                <w:t>Condensed Consolidated Statements of Stockholders’ Equity (Unaudited)</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25">
              <w:r>
                <w:rPr>
                  <w:rStyle w:val="InternetLink"/>
                  <w:rFonts w:ascii="Times New Roman;serif" w:hAnsi="Times New Roman;serif"/>
                  <w:b w:val="false"/>
                  <w:color w:val="0000FF"/>
                  <w:sz w:val="20"/>
                  <w:u w:val="single"/>
                </w:rPr>
                <w:t>3</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31">
              <w:r>
                <w:rPr>
                  <w:rStyle w:val="InternetLink"/>
                  <w:rFonts w:ascii="Times New Roman;serif" w:hAnsi="Times New Roman;serif"/>
                  <w:b w:val="false"/>
                  <w:color w:val="0000FF"/>
                  <w:sz w:val="20"/>
                  <w:u w:val="single"/>
                </w:rPr>
                <w:t>Condensed Consolidated Statements of Cash Flows (Unaudited)</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31">
              <w:r>
                <w:rPr>
                  <w:rStyle w:val="InternetLink"/>
                  <w:rFonts w:ascii="Times New Roman;serif" w:hAnsi="Times New Roman;serif"/>
                  <w:b w:val="false"/>
                  <w:color w:val="0000FF"/>
                  <w:sz w:val="20"/>
                  <w:u w:val="single"/>
                </w:rPr>
                <w:t>4</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34">
              <w:r>
                <w:rPr>
                  <w:rStyle w:val="InternetLink"/>
                  <w:rFonts w:ascii="Times New Roman;serif" w:hAnsi="Times New Roman;serif"/>
                  <w:b w:val="false"/>
                  <w:color w:val="0000FF"/>
                  <w:sz w:val="20"/>
                  <w:u w:val="single"/>
                </w:rPr>
                <w:t>Notes to Condensed Consolidated Financial Statements (Unaudited)</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34">
              <w:r>
                <w:rPr>
                  <w:rStyle w:val="InternetLink"/>
                  <w:rFonts w:ascii="Times New Roman;serif" w:hAnsi="Times New Roman;serif"/>
                  <w:b w:val="false"/>
                  <w:color w:val="0000FF"/>
                  <w:sz w:val="20"/>
                  <w:u w:val="single"/>
                </w:rPr>
                <w:t>5</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88">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88">
              <w:r>
                <w:rPr>
                  <w:rStyle w:val="InternetLink"/>
                  <w:rFonts w:ascii="Times New Roman;serif" w:hAnsi="Times New Roman;serif"/>
                  <w:b w:val="false"/>
                  <w:color w:val="0000FF"/>
                  <w:sz w:val="20"/>
                  <w:u w:val="single"/>
                </w:rPr>
                <w:t>23</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30">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30">
              <w:r>
                <w:rPr>
                  <w:rStyle w:val="InternetLink"/>
                  <w:rFonts w:ascii="Times New Roman;serif" w:hAnsi="Times New Roman;serif"/>
                  <w:b w:val="false"/>
                  <w:color w:val="0000FF"/>
                  <w:sz w:val="20"/>
                  <w:u w:val="single"/>
                </w:rPr>
                <w:t>Quantitative and Qualitative Disclosures About Market Risk</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30">
              <w:r>
                <w:rPr>
                  <w:rStyle w:val="InternetLink"/>
                  <w:rFonts w:ascii="Times New Roman;serif" w:hAnsi="Times New Roman;serif"/>
                  <w:b w:val="false"/>
                  <w:color w:val="0000FF"/>
                  <w:sz w:val="20"/>
                  <w:u w:val="single"/>
                </w:rPr>
                <w:t>31</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33">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33">
              <w:r>
                <w:rPr>
                  <w:rStyle w:val="InternetLink"/>
                  <w:rFonts w:ascii="Times New Roman;serif" w:hAnsi="Times New Roman;serif"/>
                  <w:b w:val="false"/>
                  <w:color w:val="0000FF"/>
                  <w:sz w:val="20"/>
                  <w:u w:val="single"/>
                </w:rPr>
                <w:t>Controls and Procedures</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33">
              <w:r>
                <w:rPr>
                  <w:rStyle w:val="InternetLink"/>
                  <w:rFonts w:ascii="Times New Roman;serif" w:hAnsi="Times New Roman;serif"/>
                  <w:b w:val="false"/>
                  <w:color w:val="0000FF"/>
                  <w:sz w:val="20"/>
                  <w:u w:val="single"/>
                </w:rPr>
                <w:t>31</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36">
              <w:r>
                <w:rPr>
                  <w:rStyle w:val="InternetLink"/>
                  <w:rFonts w:ascii="Times New Roman;serif" w:hAnsi="Times New Roman;serif"/>
                  <w:b w:val="false"/>
                  <w:color w:val="0000FF"/>
                  <w:sz w:val="20"/>
                  <w:u w:val="single"/>
                </w:rPr>
                <w:t>PART II. – OTHER INFORMATION</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36">
              <w:r>
                <w:rPr>
                  <w:rStyle w:val="InternetLink"/>
                  <w:rFonts w:ascii="Times New Roman;serif" w:hAnsi="Times New Roman;serif"/>
                  <w:b w:val="false"/>
                  <w:color w:val="0000FF"/>
                  <w:sz w:val="20"/>
                  <w:u w:val="single"/>
                </w:rPr>
                <w:t>32</w:t>
              </w:r>
            </w:hyperlink>
          </w:p>
        </w:tc>
      </w:tr>
      <w:tr>
        <w:trPr/>
        <w:tc>
          <w:tcPr>
            <w:tcW w:w="90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39">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39">
              <w:r>
                <w:rPr>
                  <w:rStyle w:val="InternetLink"/>
                  <w:rFonts w:ascii="Times New Roman;serif" w:hAnsi="Times New Roman;serif"/>
                  <w:b w:val="false"/>
                  <w:color w:val="0000FF"/>
                  <w:sz w:val="20"/>
                  <w:u w:val="single"/>
                </w:rPr>
                <w:t>Legal Proceedings</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39">
              <w:r>
                <w:rPr>
                  <w:rStyle w:val="InternetLink"/>
                  <w:rFonts w:ascii="Times New Roman;serif" w:hAnsi="Times New Roman;serif"/>
                  <w:b w:val="false"/>
                  <w:color w:val="0000FF"/>
                  <w:sz w:val="20"/>
                  <w:u w:val="single"/>
                </w:rPr>
                <w:t>32</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42">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42">
              <w:r>
                <w:rPr>
                  <w:rStyle w:val="InternetLink"/>
                  <w:rFonts w:ascii="Times New Roman;serif" w:hAnsi="Times New Roman;serif"/>
                  <w:b w:val="false"/>
                  <w:color w:val="0000FF"/>
                  <w:sz w:val="20"/>
                  <w:u w:val="single"/>
                </w:rPr>
                <w:t>Risk Factors</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42">
              <w:r>
                <w:rPr>
                  <w:rStyle w:val="InternetLink"/>
                  <w:rFonts w:ascii="Times New Roman;serif" w:hAnsi="Times New Roman;serif"/>
                  <w:b w:val="false"/>
                  <w:color w:val="0000FF"/>
                  <w:sz w:val="20"/>
                  <w:u w:val="single"/>
                </w:rPr>
                <w:t>32</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431">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431">
              <w:r>
                <w:rPr>
                  <w:rStyle w:val="InternetLink"/>
                  <w:rFonts w:ascii="Times New Roman;serif" w:hAnsi="Times New Roman;serif"/>
                  <w:b w:val="false"/>
                  <w:color w:val="0000FF"/>
                  <w:sz w:val="20"/>
                  <w:u w:val="single"/>
                </w:rPr>
                <w:t>Unregistered Sales of Equity Securities and Use of Proceeds</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431">
              <w:r>
                <w:rPr>
                  <w:rStyle w:val="InternetLink"/>
                  <w:rFonts w:ascii="Times New Roman;serif" w:hAnsi="Times New Roman;serif"/>
                  <w:b w:val="false"/>
                  <w:color w:val="0000FF"/>
                  <w:sz w:val="20"/>
                  <w:u w:val="single"/>
                </w:rPr>
                <w:t>32</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45">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45">
              <w:r>
                <w:rPr>
                  <w:rStyle w:val="InternetLink"/>
                  <w:rFonts w:ascii="Times New Roman;serif" w:hAnsi="Times New Roman;serif"/>
                  <w:b w:val="false"/>
                  <w:color w:val="0000FF"/>
                  <w:sz w:val="20"/>
                  <w:u w:val="single"/>
                </w:rPr>
                <w:t>Other Information</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45">
              <w:r>
                <w:rPr>
                  <w:rStyle w:val="InternetLink"/>
                  <w:rFonts w:ascii="Times New Roman;serif" w:hAnsi="Times New Roman;serif"/>
                  <w:b w:val="false"/>
                  <w:color w:val="0000FF"/>
                  <w:sz w:val="20"/>
                  <w:u w:val="single"/>
                </w:rPr>
                <w:t>32</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48">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48">
              <w:r>
                <w:rPr>
                  <w:rStyle w:val="InternetLink"/>
                  <w:rFonts w:ascii="Times New Roman;serif" w:hAnsi="Times New Roman;serif"/>
                  <w:b w:val="false"/>
                  <w:color w:val="0000FF"/>
                  <w:sz w:val="20"/>
                  <w:u w:val="single"/>
                </w:rPr>
                <w:t>Exhibits</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48">
              <w:r>
                <w:rPr>
                  <w:rStyle w:val="InternetLink"/>
                  <w:rFonts w:ascii="Times New Roman;serif" w:hAnsi="Times New Roman;serif"/>
                  <w:b w:val="false"/>
                  <w:color w:val="0000FF"/>
                  <w:sz w:val="20"/>
                  <w:u w:val="single"/>
                </w:rPr>
                <w:t>34</w:t>
              </w:r>
            </w:hyperlink>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fe7ced4ca7a4cafae8eaad4df17523b_151">
              <w:r>
                <w:rPr>
                  <w:rStyle w:val="InternetLink"/>
                  <w:rFonts w:ascii="Times New Roman;serif" w:hAnsi="Times New Roman;serif"/>
                  <w:b w:val="false"/>
                  <w:color w:val="0000FF"/>
                  <w:sz w:val="20"/>
                  <w:u w:val="single"/>
                </w:rPr>
                <w:t>Signatures</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fe7ced4ca7a4cafae8eaad4df17523b_151">
              <w:r>
                <w:rPr>
                  <w:rStyle w:val="InternetLink"/>
                  <w:rFonts w:ascii="Times New Roman;serif" w:hAnsi="Times New Roman;serif"/>
                  <w:b w:val="false"/>
                  <w:color w:val="0000FF"/>
                  <w:sz w:val="20"/>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CROSS COUNTRY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p>
      <w:pPr>
        <w:pStyle w:val="TextBody"/>
        <w:bidi w:val="0"/>
        <w:spacing w:before="0" w:after="0"/>
        <w:jc w:val="center"/>
        <w:rPr/>
      </w:pPr>
      <w:r>
        <w:rPr/>
      </w:r>
    </w:p>
    <w:tbl>
      <w:tblPr>
        <w:tblW w:w="9827" w:type="dxa"/>
        <w:jc w:val="center"/>
        <w:tblInd w:w="0" w:type="dxa"/>
        <w:tblLayout w:type="fixed"/>
        <w:tblCellMar>
          <w:top w:w="28" w:type="dxa"/>
          <w:left w:w="28" w:type="dxa"/>
          <w:bottom w:w="28" w:type="dxa"/>
          <w:right w:w="28" w:type="dxa"/>
        </w:tblCellMar>
      </w:tblPr>
      <w:tblGrid>
        <w:gridCol w:w="2540"/>
        <w:gridCol w:w="2241"/>
        <w:gridCol w:w="2269"/>
        <w:gridCol w:w="211"/>
        <w:gridCol w:w="826"/>
        <w:gridCol w:w="109"/>
        <w:gridCol w:w="109"/>
        <w:gridCol w:w="109"/>
        <w:gridCol w:w="109"/>
        <w:gridCol w:w="231"/>
        <w:gridCol w:w="905"/>
        <w:gridCol w:w="168"/>
      </w:tblGrid>
      <w:tr>
        <w:trPr/>
        <w:tc>
          <w:tcPr>
            <w:tcW w:w="2540"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w:t>
              <w:br/>
              <w:t>2025</w:t>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108,738 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Accounts receivable, net of allowances of $8,727 in 2026 and $9,112 in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167,512 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Insurance recovery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293,589 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Property and equipment, net of accumulated depreciation of $27,754 in 2026 and $26,020 in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27,775 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63,803 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Insurance recovery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Cloud computing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compensation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448,951 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77,756 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claims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30,028 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Uncertain tax positions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compensation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126,129 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201,172 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123,207 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322,822 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448,951 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2580"/>
                <wp:effectExtent l="0" t="0" r="0" b="0"/>
                <wp:wrapNone/>
                <wp:docPr id="5"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CROSS COUNTRY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 except per share data)</w:t>
      </w:r>
    </w:p>
    <w:p>
      <w:pPr>
        <w:pStyle w:val="TextBody"/>
        <w:bidi w:val="0"/>
        <w:spacing w:before="0" w:after="0"/>
        <w:jc w:val="center"/>
        <w:rPr/>
      </w:pPr>
      <w:r>
        <w:rPr/>
      </w:r>
    </w:p>
    <w:tbl>
      <w:tblPr>
        <w:tblW w:w="8424" w:type="dxa"/>
        <w:jc w:val="center"/>
        <w:tblInd w:w="0" w:type="dxa"/>
        <w:tblLayout w:type="fixed"/>
        <w:tblCellMar>
          <w:top w:w="28" w:type="dxa"/>
          <w:left w:w="28" w:type="dxa"/>
          <w:bottom w:w="28" w:type="dxa"/>
          <w:right w:w="28" w:type="dxa"/>
        </w:tblCellMar>
      </w:tblPr>
      <w:tblGrid>
        <w:gridCol w:w="1923"/>
        <w:gridCol w:w="1698"/>
        <w:gridCol w:w="1703"/>
        <w:gridCol w:w="211"/>
        <w:gridCol w:w="826"/>
        <w:gridCol w:w="109"/>
        <w:gridCol w:w="109"/>
        <w:gridCol w:w="109"/>
        <w:gridCol w:w="109"/>
        <w:gridCol w:w="211"/>
        <w:gridCol w:w="826"/>
        <w:gridCol w:w="109"/>
        <w:gridCol w:w="109"/>
        <w:gridCol w:w="109"/>
        <w:gridCol w:w="109"/>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services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integration-related (income)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other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translation (loss) income,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CROSS COUNTRY HEALTHCARE, INC.</w:t>
      </w:r>
    </w:p>
    <w:p>
      <w:pPr>
        <w:pStyle w:val="TextBody"/>
        <w:bidi w:val="0"/>
        <w:spacing w:lineRule="auto" w:line="26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39"/>
        <w:gridCol w:w="592"/>
        <w:gridCol w:w="595"/>
        <w:gridCol w:w="323"/>
        <w:gridCol w:w="323"/>
        <w:gridCol w:w="196"/>
        <w:gridCol w:w="109"/>
        <w:gridCol w:w="109"/>
        <w:gridCol w:w="109"/>
        <w:gridCol w:w="226"/>
        <w:gridCol w:w="278"/>
        <w:gridCol w:w="127"/>
        <w:gridCol w:w="109"/>
        <w:gridCol w:w="109"/>
        <w:gridCol w:w="109"/>
        <w:gridCol w:w="208"/>
        <w:gridCol w:w="783"/>
        <w:gridCol w:w="115"/>
        <w:gridCol w:w="109"/>
        <w:gridCol w:w="109"/>
        <w:gridCol w:w="109"/>
        <w:gridCol w:w="324"/>
        <w:gridCol w:w="947"/>
        <w:gridCol w:w="181"/>
        <w:gridCol w:w="109"/>
        <w:gridCol w:w="109"/>
        <w:gridCol w:w="109"/>
        <w:gridCol w:w="222"/>
        <w:gridCol w:w="835"/>
        <w:gridCol w:w="123"/>
        <w:gridCol w:w="109"/>
        <w:gridCol w:w="109"/>
        <w:gridCol w:w="109"/>
        <w:gridCol w:w="238"/>
        <w:gridCol w:w="898"/>
        <w:gridCol w:w="197"/>
      </w:tblGrid>
      <w:tr>
        <w:trPr/>
        <w:tc>
          <w:tcPr>
            <w:tcW w:w="83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Accumulated Other </w:t>
              <w:br/>
              <w:t>Comprehensive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Stockholders’ Equity</w:t>
            </w:r>
          </w:p>
        </w:tc>
      </w:tr>
      <w:tr>
        <w:trPr/>
        <w:tc>
          <w:tcPr>
            <w:tcW w:w="2026"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Balances at December 31,2025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201,172 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123,207 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322,822 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 repurchase and retirement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(5,839)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 repurchase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(4,266)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(4,266)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Balances at March 31,2026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31,241 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195,552 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118,941 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312,807 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Accumulated Other </w:t>
              <w:br/>
              <w:t>Comprehensive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Stockholders’ Equity</w:t>
            </w:r>
          </w:p>
        </w:tc>
      </w:tr>
      <w:tr>
        <w:trPr/>
        <w:tc>
          <w:tcPr>
            <w:tcW w:w="2026"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Dollars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Balances at December 31,2024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202,338 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218,059 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418,959 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Balances at March 31,2025</w:t>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32,477 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202,074 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(1,436)</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217,569 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418,210 </w:t>
            </w:r>
          </w:p>
        </w:tc>
        <w:tc>
          <w:tcPr>
            <w:tcW w:w="1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CROSS COUNTRY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p>
      <w:pPr>
        <w:pStyle w:val="TextBody"/>
        <w:bidi w:val="0"/>
        <w:spacing w:before="0" w:after="0"/>
        <w:jc w:val="center"/>
        <w:rPr/>
      </w:pPr>
      <w:r>
        <w:rPr/>
      </w:r>
    </w:p>
    <w:tbl>
      <w:tblPr>
        <w:tblW w:w="8993" w:type="dxa"/>
        <w:jc w:val="center"/>
        <w:tblInd w:w="0" w:type="dxa"/>
        <w:tblLayout w:type="fixed"/>
        <w:tblCellMar>
          <w:top w:w="28" w:type="dxa"/>
          <w:left w:w="28" w:type="dxa"/>
          <w:bottom w:w="28" w:type="dxa"/>
          <w:right w:w="28" w:type="dxa"/>
        </w:tblCellMar>
      </w:tblPr>
      <w:tblGrid>
        <w:gridCol w:w="2326"/>
        <w:gridCol w:w="2047"/>
        <w:gridCol w:w="2061"/>
        <w:gridCol w:w="211"/>
        <w:gridCol w:w="826"/>
        <w:gridCol w:w="109"/>
        <w:gridCol w:w="109"/>
        <w:gridCol w:w="109"/>
        <w:gridCol w:w="109"/>
        <w:gridCol w:w="211"/>
        <w:gridCol w:w="721"/>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allowances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Senior Secured Asset-Based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on Senior Secured Asset-Based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shares withheld for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repurchase and retirement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8"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CROSS COUNTRY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Nature of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unaudited interim condensed consolidated financial statements should be read in conjunction with the audited consolidated financial statements and notes thereto for the year ended December 31, 2025 included in the 2025 Form 10-K. The December 31, 2025 condensed consolidated balance sheet included herein was derived from the December 31, 2025 audited consolidated balance sheet included in the 2025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6, 2026, the Company entered into an Agreement and Plan of Merger with KL Criss Cross Intermediate, LLC, a Delaware corporation (Parent), and KL Criss Cross Merger Sub, Inc., a Delaware corporation and a wholly owned subsidiary of Parent (Merger Sub), pursuant to which Merger Sub will merge with and into the Company (Merger), with the Company surviving as a wholly owned subsidiary of Parent. If the Merger is consummated, the Company’s securities will be delisted from the Nasdaq Global Select Market and deregistered under the Securities Exchange Act of 1934, as amended, as promptly as practicable after the effective time of the Merger. For additional information regarding the proposed Merger, see Note 16 – Subsequent Event.</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preparation of condensed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 (i) the valuation of accounts receivable; (ii) goodwill, trade names, and other intangible assets; (iii) revenue recognition; (iv) accruals for health, workers’ compensation, and professional liability claims; (v) valuation of deferred tax assets; (vi) legal contingencies; and (vii) income taxes. Accrued insurance claims and reserves include estimated settlements from known claims and actuarial estimates for claims incurred but not reported. As additional information becomes available to the Company, its future assessment of these estimates</w:t>
      </w:r>
      <w:r>
        <w:rPr>
          <w:color w:val="000000"/>
          <w:shd w:fill="FFFFFF" w:val="clear"/>
        </w:rPr>
        <w:t xml:space="preserve"> </w:t>
      </w:r>
      <w:r>
        <w:rPr>
          <w:rFonts w:ascii="Times New Roman;serif" w:hAnsi="Times New Roman;serif"/>
          <w:b w:val="false"/>
          <w:color w:val="000000"/>
          <w:sz w:val="20"/>
        </w:rPr>
        <w:t>could materially and adversely impact the Company’s condensed consolidated financial statements in future reporting periods.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and Uncertainties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 See associated risk factors in Part II, Item 1A. Risk Factors in this Quarterly Report on Form 10-Q and in Item 1A. Risk Factors in 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Form 10-K.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Accounts Receivable,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collections results in billed and unbilled accounts receivable from customers, which are classified as accounts receivable on the condensed consolidated balance sheets and are presented net of allowances for credit losses and sales allowances. Estimated revenue for the Company employees’, subcontracted employees’, and independent contractors’ time worked but not yet billed at March 31, 2026 and December 31, 2025 totaled $54.5 million and $48.3 million,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Accounts receivable potentially subject the Company to concentrations of credit risk. The Company generally does not require collateral and mitigates its credit risk by performing credit evaluations and monitoring at-risk accounts. The allowance for credit losses is established for losses expected to be incurred on accounts receivable balances. Accounts receivable are written off against the allowance for credit losses when the Company determines amounts are no longer collectible. Judgment is required in the estimation of the allowance and the Company evaluates the collectability of its accounts receivable based on a combination of factors. The Company bases its allowance for credit loss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when estimating its allowance for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opening balance of the allowance for credit losses is reconciled to the closing balance for expected credit losses as follows:</w:t>
      </w:r>
    </w:p>
    <w:p>
      <w:pPr>
        <w:pStyle w:val="TextBody"/>
        <w:bidi w:val="0"/>
        <w:spacing w:before="0" w:after="0"/>
        <w:jc w:val="left"/>
        <w:rPr/>
      </w:pPr>
      <w:r>
        <w:rPr/>
      </w:r>
    </w:p>
    <w:tbl>
      <w:tblPr>
        <w:tblW w:w="4734" w:type="dxa"/>
        <w:jc w:val="left"/>
        <w:tblInd w:w="0" w:type="dxa"/>
        <w:tblLayout w:type="fixed"/>
        <w:tblCellMar>
          <w:top w:w="28" w:type="dxa"/>
          <w:left w:w="28" w:type="dxa"/>
          <w:bottom w:w="28" w:type="dxa"/>
          <w:right w:w="28" w:type="dxa"/>
        </w:tblCellMar>
      </w:tblPr>
      <w:tblGrid>
        <w:gridCol w:w="901"/>
        <w:gridCol w:w="792"/>
        <w:gridCol w:w="797"/>
        <w:gridCol w:w="211"/>
        <w:gridCol w:w="616"/>
        <w:gridCol w:w="109"/>
        <w:gridCol w:w="109"/>
        <w:gridCol w:w="109"/>
        <w:gridCol w:w="109"/>
        <w:gridCol w:w="211"/>
        <w:gridCol w:w="61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Allowance for Credit Losses</w:t>
            </w:r>
          </w:p>
        </w:tc>
        <w:tc>
          <w:tcPr>
            <w:tcW w:w="224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allowance for credit losses, the Company maintains a sales allowance for billing-related adjustments that may arise in the ordinary course of business and adjustments to the reserve are recorded as contra-revenue. The sales allowance balance was $0.3 million as of both March 31, 2026 and December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Company’s contract terms typically require payment between 30 to 60 days from the date of invoice. Payment is considered past due based on the particular negotiated contract terms. The majority of the Company’s customers are healthcare systems with a significant percentage in acute-care facilities. No</w:t>
      </w:r>
      <w:r>
        <w:rPr>
          <w:color w:val="000000"/>
          <w:shd w:fill="FFFFFF" w:val="clear"/>
        </w:rPr>
        <w:t xml:space="preserve"> </w:t>
      </w:r>
      <w:r>
        <w:rPr>
          <w:rFonts w:ascii="Times New Roman;serif" w:hAnsi="Times New Roman;serif"/>
          <w:b w:val="false"/>
          <w:color w:val="000000"/>
          <w:sz w:val="20"/>
          <w:shd w:fill="FFFFFF" w:val="clear"/>
        </w:rPr>
        <w:t xml:space="preserve">single customer accounted for more than 10% of the Company’s </w:t>
      </w:r>
      <w:r>
        <w:rPr>
          <w:rFonts w:ascii="Times New Roman;serif" w:hAnsi="Times New Roman;serif"/>
          <w:b w:val="false"/>
          <w:color w:val="000000"/>
          <w:sz w:val="20"/>
        </w:rPr>
        <w:t>revenue</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or the Company’s </w:t>
      </w:r>
      <w:r>
        <w:rPr>
          <w:rFonts w:ascii="Times New Roman;serif" w:hAnsi="Times New Roman;serif"/>
          <w:b w:val="false"/>
          <w:color w:val="000000"/>
          <w:sz w:val="20"/>
        </w:rPr>
        <w:t>accounts receivable</w:t>
      </w:r>
      <w:r>
        <w:rPr>
          <w:color w:val="000000"/>
          <w:shd w:fill="FFFFFF" w:val="clear"/>
        </w:rPr>
        <w:t xml:space="preserve"> </w:t>
      </w:r>
      <w:r>
        <w:rPr>
          <w:rFonts w:ascii="Times New Roman;serif" w:hAnsi="Times New Roman;serif"/>
          <w:b w:val="false"/>
          <w:color w:val="000000"/>
          <w:sz w:val="20"/>
          <w:shd w:fill="FFFFFF" w:val="clear"/>
        </w:rPr>
        <w:t xml:space="preserve">balance as of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Restructuring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considers restructuring activities to be programs whereby it fundamentally changes its operations, such as closing and consolidating facilities, reducing headcount, and realigning operations in response to changing market conditions, and are primarily included in accounts payable and accrued expenses on the condensed consolidated balance sheets. Restructuring costs on the condensed consolidated statements of operations and comprehensive loss primarily include employee termination costs and lease-related exit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Reconciliations of the employee termination costs and lease-related exit costs beginning and ending liability balance is presented below:</w:t>
      </w:r>
    </w:p>
    <w:p>
      <w:pPr>
        <w:pStyle w:val="TextBody"/>
        <w:bidi w:val="0"/>
        <w:spacing w:before="0" w:after="0"/>
        <w:jc w:val="left"/>
        <w:rPr/>
      </w:pPr>
      <w:r>
        <w:rPr/>
      </w:r>
    </w:p>
    <w:tbl>
      <w:tblPr>
        <w:tblW w:w="7466" w:type="dxa"/>
        <w:jc w:val="left"/>
        <w:tblInd w:w="0" w:type="dxa"/>
        <w:tblLayout w:type="fixed"/>
        <w:tblCellMar>
          <w:top w:w="28" w:type="dxa"/>
          <w:left w:w="28" w:type="dxa"/>
          <w:bottom w:w="28" w:type="dxa"/>
          <w:right w:w="28" w:type="dxa"/>
        </w:tblCellMar>
      </w:tblPr>
      <w:tblGrid>
        <w:gridCol w:w="837"/>
        <w:gridCol w:w="733"/>
        <w:gridCol w:w="739"/>
        <w:gridCol w:w="581"/>
        <w:gridCol w:w="1697"/>
        <w:gridCol w:w="302"/>
        <w:gridCol w:w="109"/>
        <w:gridCol w:w="109"/>
        <w:gridCol w:w="109"/>
        <w:gridCol w:w="653"/>
        <w:gridCol w:w="1118"/>
        <w:gridCol w:w="479"/>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2577"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Employee Termination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Lease-Related Exit Costs</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Charged to restructuring </w:t>
            </w:r>
            <w:r>
              <w:rPr>
                <w:rFonts w:ascii="Times New Roman;serif" w:hAnsi="Times New Roman;serif"/>
                <w:b w:val="false"/>
                <w:color w:val="000000"/>
                <w:sz w:val="13"/>
              </w:rPr>
              <w:t>(a)</w:t>
            </w:r>
          </w:p>
        </w:tc>
        <w:tc>
          <w:tcPr>
            <w:tcW w:w="2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4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2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In addition to the amounts presented in the table above, restructuring costs in the condensed consolidated statements of operations and comprehensive loss for the three months ended March 31, 2026 include $0.1 million of ongoing lease costs and other direct charges.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December 8, 2025, the Financial Accounting Standards Board (FASB) issued Accounting Standards Update (ASU) No.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amendments in this update are intended to improve the navigability of the interim reporting guidance in Accounting Standards Codification (ASC) 270 and clarify when it applies. The guidance addresses the form and content of financial statements, adds lists of the interim disclosures required by all other ASC topics, and establishes a principle under which an entity must disclose events since the end of the last annual reporting period that have a material impact on the entity. This guidance is effective for interim reporting periods within annual reporting periods beginning after December 15, 2027. Early adoption is permitted. The amendments in this update can be applied either (1) prospectively or (2) retrospectively to any or all prior periods presented in the financial statements. The Company expects to adopt this standard for its first quarter ending March 31, 2028. The Company expects this ASU to expand its disclosures with no impact to results of operations, cash flows, and financial condition.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On September 18, 2025, the FASB issued ASU No. 2025-06, </w:t>
      </w:r>
      <w:r>
        <w:rPr>
          <w:rFonts w:ascii="Times New Roman;serif" w:hAnsi="Times New Roman;serif"/>
          <w:b w:val="false"/>
          <w:i/>
          <w:color w:val="000000"/>
          <w:sz w:val="20"/>
        </w:rPr>
        <w:t xml:space="preserve">Intangibles—Goodwill and Other— Internal-Use Software (Subtopic 350-40): Targeted Improvements to the Accounting for Internal-Use Software. </w:t>
      </w:r>
      <w:r>
        <w:rPr>
          <w:rFonts w:ascii="Times New Roman;serif" w:hAnsi="Times New Roman;serif"/>
          <w:b w:val="false"/>
          <w:color w:val="000000"/>
          <w:sz w:val="20"/>
        </w:rPr>
        <w:t>The amendments remove all references to prescriptive and sequential software development stages (referred to as “project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This guidance is effective for fiscal years beginning after December 15, 2027, and interim reporting periods within those annual reporting periods. Early adoption is permitted as of the beginning of an annual reporting period. The amendments in this update permit an entity to apply the new guidance using any of the following transition approaches: (1) a prospective transition approach, (2) a modified transition approach that is based on the status of the project and whether software costs were capitalized before the date of adoption, or (3) a retrospective transition approach. The Company is currently in the process of evaluating the potential impact the adoption of this standard may have and expects to adopt this standard in its first quarter ending March 31, 2028.</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November 4, 2024,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which is intended to improve decision usefulness of business entities’ income statements through the disaggregation of certain expense captions, such as employee compensation, depreciation, and intangible asset amortization, with required disclosure in a single note to the financial statements. This guidance is effective for fiscal years beginning after December 15, 2026, and interim periods within fiscal years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expects to adopt this standard for its annual report for the fiscal year ending December 31, 2027. The Company expects this ASU to only impact its disclosures with no impacts to results of operations, cash flows, and financial condition.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revenues from customer contracts are generated from temporary staffing services and other services. Revenue is disaggregated by segment in the following table. Sales and usage-based taxes are excluded from revenue.</w:t>
      </w:r>
    </w:p>
    <w:p>
      <w:pPr>
        <w:pStyle w:val="TextBody"/>
        <w:bidi w:val="0"/>
        <w:spacing w:before="0" w:after="0"/>
        <w:jc w:val="left"/>
        <w:rPr/>
      </w:pPr>
      <w:r>
        <w:rPr/>
      </w:r>
    </w:p>
    <w:tbl>
      <w:tblPr>
        <w:tblW w:w="7406" w:type="dxa"/>
        <w:jc w:val="left"/>
        <w:tblInd w:w="0" w:type="dxa"/>
        <w:tblLayout w:type="fixed"/>
        <w:tblCellMar>
          <w:top w:w="28" w:type="dxa"/>
          <w:left w:w="28" w:type="dxa"/>
          <w:bottom w:w="28" w:type="dxa"/>
          <w:right w:w="28" w:type="dxa"/>
        </w:tblCellMar>
      </w:tblPr>
      <w:tblGrid>
        <w:gridCol w:w="874"/>
        <w:gridCol w:w="768"/>
        <w:gridCol w:w="773"/>
        <w:gridCol w:w="247"/>
        <w:gridCol w:w="971"/>
        <w:gridCol w:w="128"/>
        <w:gridCol w:w="128"/>
        <w:gridCol w:w="128"/>
        <w:gridCol w:w="128"/>
        <w:gridCol w:w="247"/>
        <w:gridCol w:w="848"/>
        <w:gridCol w:w="128"/>
        <w:gridCol w:w="128"/>
        <w:gridCol w:w="128"/>
        <w:gridCol w:w="109"/>
        <w:gridCol w:w="109"/>
        <w:gridCol w:w="109"/>
        <w:gridCol w:w="257"/>
        <w:gridCol w:w="1010"/>
        <w:gridCol w:w="188"/>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782"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Nurse</w:t>
              <w:br/>
              <w:t>And Allied</w:t>
              <w:br/>
              <w:t>Staffing</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Physician</w:t>
              <w:br/>
              <w:t>Staffing</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1782"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Temporary Staffing Services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201,444 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241,057 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782"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Nurse</w:t>
              <w:br/>
              <w:t>And Allied</w:t>
              <w:br/>
              <w:t>Staffing</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Physician</w:t>
              <w:br/>
              <w:t>Staffing</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1782" w:type="dxa"/>
            <w:gridSpan w:val="6"/>
            <w:tcBorders/>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Temporary Staffing Services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242,291 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45" w:type="dxa"/>
            <w:gridSpan w:val="14"/>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45" w:type="dxa"/>
            <w:gridSpan w:val="14"/>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45" w:type="dxa"/>
            <w:gridSpan w:val="14"/>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45" w:type="dxa"/>
            <w:gridSpan w:val="14"/>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See Note 12 - Segment Data.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ACQUISITIONS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Mint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sellers were eligible to receive up to an additional $10.0 million in earnout cash consideration based on Mint’s revenues and gross profit for each of the twelve-month periods ending on the first and second anniversaries of the first day of the calendar month following the closing date. In the fourth quarter of 2023, the Company performed a calculation for the first measurement period, resulting in the achievement of a $4.9 million earnout, which was paid in the first quarter of 2024. During the fourth quarter of 2024, the Company performed a calculation for the second measurement period, resulting in the achievement of a $4.4 million earnout, which was paid in the first quarter of 2025. See Note 10 -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Acquisition-related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fees and a subsequent immaterial credit associated with the termination of the Agreement and Plan of Merger, dated as of December 3, 2024, by and among the Company, Aya Holdings II, Inc., Spark Merger Sub One Inc., and, solely for the limited purposes set forth therein, Aya Healthcare, Inc., the Company did not record any acquisition-related costs associated with the Company’s acquisitions for the three months ended March 31, 2026 and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5.    COMPREHENSIVE LOSS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comprehensive loss includes net income or loss and foreign currency translation adjustments, net of any related deferred taxes, and is included within the accompanying condensed consolidated statements of operations and comprehensive loss.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$1.9 million and $1.7 million at March 31,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income tax impact related to components of other comprehensive loss for the three months ended March 31, 2026 and 2025 is included in unrealized foreign currency translation (loss) income, net of tax in the condensed consolidated statements of operations and comprehensive loss.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6.    EARNINGS PER SHARE</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the numerator and denominator for the computation of the basic and diluted earnings per share:</w:t>
      </w:r>
    </w:p>
    <w:p>
      <w:pPr>
        <w:pStyle w:val="TextBody"/>
        <w:bidi w:val="0"/>
        <w:spacing w:before="0" w:after="0"/>
        <w:jc w:val="left"/>
        <w:rPr/>
      </w:pPr>
      <w:r>
        <w:rPr/>
      </w:r>
    </w:p>
    <w:tbl>
      <w:tblPr>
        <w:tblW w:w="9145" w:type="dxa"/>
        <w:jc w:val="left"/>
        <w:tblInd w:w="0" w:type="dxa"/>
        <w:tblLayout w:type="fixed"/>
        <w:tblCellMar>
          <w:top w:w="28" w:type="dxa"/>
          <w:left w:w="28" w:type="dxa"/>
          <w:bottom w:w="28" w:type="dxa"/>
          <w:right w:w="28" w:type="dxa"/>
        </w:tblCellMar>
      </w:tblPr>
      <w:tblGrid>
        <w:gridCol w:w="1952"/>
        <w:gridCol w:w="1719"/>
        <w:gridCol w:w="1728"/>
        <w:gridCol w:w="307"/>
        <w:gridCol w:w="1007"/>
        <w:gridCol w:w="158"/>
        <w:gridCol w:w="158"/>
        <w:gridCol w:w="158"/>
        <w:gridCol w:w="158"/>
        <w:gridCol w:w="307"/>
        <w:gridCol w:w="854"/>
        <w:gridCol w:w="158"/>
        <w:gridCol w:w="109"/>
        <w:gridCol w:w="109"/>
        <w:gridCol w:w="109"/>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99" w:type="dxa"/>
            <w:gridSpan w:val="3"/>
            <w:vMerge w:val="continue"/>
            <w:tcBorders/>
            <w:tcMar>
              <w:top w:w="0" w:type="dxa"/>
              <w:left w:w="0" w:type="dxa"/>
              <w:bottom w:w="0" w:type="dxa"/>
              <w:right w:w="0" w:type="dxa"/>
            </w:tcMar>
            <w:vAlign w:val="center"/>
          </w:tcPr>
          <w:p>
            <w:pPr>
              <w:pStyle w:val="Normal"/>
              <w:bidi w:val="0"/>
              <w:jc w:val="left"/>
              <w:rPr/>
            </w:pPr>
            <w:r>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99" w:type="dxa"/>
            <w:gridSpan w:val="3"/>
            <w:vMerge w:val="continue"/>
            <w:tcBorders/>
            <w:tcMar>
              <w:top w:w="0" w:type="dxa"/>
              <w:left w:w="0" w:type="dxa"/>
              <w:bottom w:w="0" w:type="dxa"/>
              <w:right w:w="0" w:type="dxa"/>
            </w:tcMar>
            <w:vAlign w:val="center"/>
          </w:tcPr>
          <w:p>
            <w:pPr>
              <w:pStyle w:val="Normal"/>
              <w:bidi w:val="0"/>
              <w:jc w:val="left"/>
              <w:rPr/>
            </w:pPr>
            <w:r>
              <w:rPr/>
            </w:r>
          </w:p>
        </w:tc>
        <w:tc>
          <w:tcPr>
            <w:tcW w:w="14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(amounts 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 Basic and Diluted</w:t>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 Basic</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diluted shares:</w:t>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Share-based awards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common shares - Diluted </w:t>
            </w:r>
            <w:r>
              <w:rPr>
                <w:rFonts w:ascii="Times New Roman;serif" w:hAnsi="Times New Roman;serif"/>
                <w:b w:val="false"/>
                <w:color w:val="000000"/>
                <w:sz w:val="13"/>
              </w:rPr>
              <w:t>a</w:t>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32,282 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 Basic</w:t>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 Diluted</w:t>
            </w:r>
          </w:p>
        </w:tc>
        <w:tc>
          <w:tcPr>
            <w:tcW w:w="30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For the three months ended March 31, 2026 and 2025, the effect of diluted shares was not included in the weighted average share calculation due to the Company’s net operating loss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share-based awards that could potentially dilute net loss per share attributable to common stockholders in the future that were not included in the computation of diluted net loss per share attributable to common stockholders because their inclusion would have been anti-dilutive for the periods presented.</w:t>
      </w:r>
    </w:p>
    <w:p>
      <w:pPr>
        <w:pStyle w:val="TextBody"/>
        <w:bidi w:val="0"/>
        <w:spacing w:before="0" w:after="0"/>
        <w:jc w:val="left"/>
        <w:rPr/>
      </w:pPr>
      <w:r>
        <w:rPr/>
      </w:r>
    </w:p>
    <w:tbl>
      <w:tblPr>
        <w:tblW w:w="4189" w:type="dxa"/>
        <w:jc w:val="left"/>
        <w:tblInd w:w="0" w:type="dxa"/>
        <w:tblLayout w:type="fixed"/>
        <w:tblCellMar>
          <w:top w:w="28" w:type="dxa"/>
          <w:left w:w="28" w:type="dxa"/>
          <w:bottom w:w="28" w:type="dxa"/>
          <w:right w:w="28" w:type="dxa"/>
        </w:tblCellMar>
      </w:tblPr>
      <w:tblGrid>
        <w:gridCol w:w="614"/>
        <w:gridCol w:w="540"/>
        <w:gridCol w:w="541"/>
        <w:gridCol w:w="233"/>
        <w:gridCol w:w="233"/>
        <w:gridCol w:w="221"/>
        <w:gridCol w:w="221"/>
        <w:gridCol w:w="221"/>
        <w:gridCol w:w="221"/>
        <w:gridCol w:w="221"/>
        <w:gridCol w:w="221"/>
        <w:gridCol w:w="221"/>
        <w:gridCol w:w="109"/>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vMerge w:val="continue"/>
            <w:tcBorders/>
            <w:tcMar>
              <w:top w:w="0" w:type="dxa"/>
              <w:left w:w="0" w:type="dxa"/>
              <w:bottom w:w="0" w:type="dxa"/>
              <w:right w:w="0" w:type="dxa"/>
            </w:tcMar>
            <w:vAlign w:val="center"/>
          </w:tcPr>
          <w:p>
            <w:pPr>
              <w:pStyle w:val="Normal"/>
              <w:bidi w:val="0"/>
              <w:jc w:val="left"/>
              <w:rPr/>
            </w:pPr>
            <w:r>
              <w:rPr/>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vMerge w:val="continue"/>
            <w:tcBorders/>
            <w:tcMar>
              <w:top w:w="0" w:type="dxa"/>
              <w:left w:w="0" w:type="dxa"/>
              <w:bottom w:w="0" w:type="dxa"/>
              <w:right w:w="0" w:type="dxa"/>
            </w:tcMar>
            <w:vAlign w:val="center"/>
          </w:tcPr>
          <w:p>
            <w:pPr>
              <w:pStyle w:val="Normal"/>
              <w:bidi w:val="0"/>
              <w:jc w:val="left"/>
              <w:rPr/>
            </w:pPr>
            <w:r>
              <w:rPr/>
            </w:r>
          </w:p>
        </w:tc>
        <w:tc>
          <w:tcPr>
            <w:tcW w:w="6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GOODWILL, TRADE NAMES, AND OTHER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the following acquired intangible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5"/>
        <w:gridCol w:w="593"/>
        <w:gridCol w:w="599"/>
        <w:gridCol w:w="211"/>
        <w:gridCol w:w="721"/>
        <w:gridCol w:w="109"/>
        <w:gridCol w:w="109"/>
        <w:gridCol w:w="109"/>
        <w:gridCol w:w="109"/>
        <w:gridCol w:w="252"/>
        <w:gridCol w:w="862"/>
        <w:gridCol w:w="132"/>
        <w:gridCol w:w="109"/>
        <w:gridCol w:w="109"/>
        <w:gridCol w:w="109"/>
        <w:gridCol w:w="211"/>
        <w:gridCol w:w="721"/>
        <w:gridCol w:w="109"/>
        <w:gridCol w:w="109"/>
        <w:gridCol w:w="109"/>
        <w:gridCol w:w="109"/>
        <w:gridCol w:w="211"/>
        <w:gridCol w:w="721"/>
        <w:gridCol w:w="109"/>
        <w:gridCol w:w="109"/>
        <w:gridCol w:w="109"/>
        <w:gridCol w:w="109"/>
        <w:gridCol w:w="252"/>
        <w:gridCol w:w="862"/>
        <w:gridCol w:w="132"/>
        <w:gridCol w:w="109"/>
        <w:gridCol w:w="109"/>
        <w:gridCol w:w="109"/>
        <w:gridCol w:w="211"/>
        <w:gridCol w:w="721"/>
        <w:gridCol w:w="156"/>
      </w:tblGrid>
      <w:tr>
        <w:trPr/>
        <w:tc>
          <w:tcPr>
            <w:tcW w:w="6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Carrying</w:t>
              <w:br/>
              <w:t>Amount</w:t>
            </w:r>
          </w:p>
        </w:tc>
      </w:tr>
      <w:tr>
        <w:trPr/>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Databases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8338" w:type="dxa"/>
            <w:gridSpan w:val="33"/>
            <w:tcBorders/>
          </w:tcPr>
          <w:p>
            <w:pPr>
              <w:pStyle w:val="TableContents"/>
              <w:bidi w:val="0"/>
              <w:spacing w:before="0" w:after="283"/>
              <w:jc w:val="left"/>
              <w:rPr>
                <w:sz w:val="4"/>
                <w:szCs w:val="4"/>
              </w:rPr>
            </w:pPr>
            <w:r>
              <w:rPr>
                <w:sz w:val="4"/>
                <w:szCs w:val="4"/>
              </w:rPr>
            </w:r>
          </w:p>
        </w:tc>
      </w:tr>
      <w:tr>
        <w:trPr/>
        <w:tc>
          <w:tcPr>
            <w:tcW w:w="18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estimated future annual amortization expense was as follows:</w:t>
      </w:r>
    </w:p>
    <w:p>
      <w:pPr>
        <w:pStyle w:val="TextBody"/>
        <w:bidi w:val="0"/>
        <w:spacing w:before="0" w:after="0"/>
        <w:jc w:val="left"/>
        <w:rPr/>
      </w:pPr>
      <w:r>
        <w:rPr/>
      </w:r>
    </w:p>
    <w:tbl>
      <w:tblPr>
        <w:tblW w:w="4304" w:type="dxa"/>
        <w:jc w:val="left"/>
        <w:tblInd w:w="0" w:type="dxa"/>
        <w:tblLayout w:type="fixed"/>
        <w:tblCellMar>
          <w:top w:w="28" w:type="dxa"/>
          <w:left w:w="28" w:type="dxa"/>
          <w:bottom w:w="28" w:type="dxa"/>
          <w:right w:w="28" w:type="dxa"/>
        </w:tblCellMar>
      </w:tblPr>
      <w:tblGrid>
        <w:gridCol w:w="902"/>
        <w:gridCol w:w="793"/>
        <w:gridCol w:w="795"/>
        <w:gridCol w:w="352"/>
        <w:gridCol w:w="1205"/>
        <w:gridCol w:w="257"/>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in thousands)</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 Trade Names, and Other Intangible Assets Impairment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w:t>
      </w:r>
      <w:r>
        <w:rPr>
          <w:color w:val="000000"/>
          <w:shd w:fill="FFFFFF" w:val="clear"/>
        </w:rPr>
        <w:t xml:space="preserve"> </w:t>
      </w:r>
      <w:r>
        <w:rPr>
          <w:rFonts w:ascii="Times New Roman;serif" w:hAnsi="Times New Roman;serif"/>
          <w:b w:val="false"/>
          <w:color w:val="000000"/>
          <w:sz w:val="20"/>
        </w:rPr>
        <w:t>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March 31, 2026, the Company performed a qualitative assessment of each of its reporting units and determined that it was not more likely than not that the fair value of its reporting units dropped below their carrying value.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lthough management believes that the Company’s current estimates and assumptions utilized in its qualitative testing are reasonable and supportable, there can be no assurance that the estimates and assumptions management used for purposes of its assessment as of March 31, 2026 will prove to be accurate predictions of future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goodwill by reporting segment was $47.9 million for Nurse and Allied Staffing and $15.9 million for Physician Staffing, for a total of $63.8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its long-lived assets and definite-lived intangible assets, the Company reviews for impairment whenever events or changes in circumstances indicate that the carrying amount may not be recoverable. As of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the Company performed a qualitative assessment of its trade names and other intangible assets and determined it was not more likely than not that their carrying value may not be recoverable.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debt consists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7"/>
        <w:gridCol w:w="1565"/>
        <w:gridCol w:w="1569"/>
        <w:gridCol w:w="261"/>
        <w:gridCol w:w="503"/>
        <w:gridCol w:w="137"/>
        <w:gridCol w:w="109"/>
        <w:gridCol w:w="109"/>
        <w:gridCol w:w="109"/>
        <w:gridCol w:w="306"/>
        <w:gridCol w:w="767"/>
        <w:gridCol w:w="158"/>
        <w:gridCol w:w="109"/>
        <w:gridCol w:w="109"/>
        <w:gridCol w:w="109"/>
        <w:gridCol w:w="261"/>
        <w:gridCol w:w="503"/>
        <w:gridCol w:w="137"/>
        <w:gridCol w:w="109"/>
        <w:gridCol w:w="109"/>
        <w:gridCol w:w="109"/>
        <w:gridCol w:w="302"/>
        <w:gridCol w:w="755"/>
        <w:gridCol w:w="223"/>
      </w:tblGrid>
      <w:tr>
        <w:trPr/>
        <w:tc>
          <w:tcPr>
            <w:tcW w:w="177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Debt Issuance Costs</w:t>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Secured Asset-Based Loan, interest of 5.73% and 5.62% at March 31, 2026 and December 31, 2025, respectively</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there was no debt outstanding on the condensed consolidated balance sheets. The Company has elected to present the debt issuance costs associated with its senior secured asset-based credit facility as an asset, included in other assets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2019 Asset-Based Loan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October 25, 2019, the Company terminated its prior senior credit facility and entered into an asset-based loan agreement, by and among the Company and certain of its domestic subsidiaries, as borrowers or guarantors, Wells Fargo Bank, N.A., and PNC Bank N.A., as well as other Lenders (as defined therein) from time to time parties thereto (Loan Agreement). The Loan Agreement provided for a five-year revolving senior secured asset-based credit facility (ABL) in the aggregate principal amount of up to $120.0 million, including a sublimit for swing loans up to $15.0 million and a $35.0 million sublimit for standby letters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2020, the Company amended the Loan Agreement, which increased the current aggregate committed size of the ABL from $120.0 million to $130.0 million. All other terms, conditions, covenants, and pricing of the Loan Agreement remained the same.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8, 2021, the Company amended the Loan Agreement, which increased the current aggregate committed size of the ABL from $130.0 million to $150.0 million, increased certain borrowing base sub-limits, and decreased both the cash dominion event and financial reporting triggers.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8, 2021, the Company amended the Loan Agreement, which permitted the incurrence of indebtedness and grant of security as set forth in the Loan Agreement and in accordance with the Intercreditor Agreement (as defined in the Loan Agreement), and provides mechanics relating to a transition away from the London Interbank Offered Rate as a benchmark interest rate to a replacement alternative benchmark rate or mechanism for loans made in U.S. dollars.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18, 2021, the Company amended the Loan Agreement, whereby the Permitted Indebtedness (as defined in the Loan Agreement), was increased to $175.0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21, 2022, the Company amended the Loan Agreement, which increased the current aggregate committed size of the ABL from $150.0 million to $300.0 million, extended the term of the credit facility for an additional five years, through March 21, 2027, and increased certain borrowing base sub-limits. In addition, the agreement provides the option for all or a portion of the borrowings to bear interest at a rate based on the Secured Overnight Financing Rate (SOFR) or the Base Rate (as defined in the Loan Agreement), at the election of the borrowers, plus an applicable margin. The applicable margin increased 10 basis points due to the credit spread associated with the transition to SOFR.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29, 2023, the Company amended the Loan Agreement, which changed the minimum fixed charge coverage ratio from a maintenance covenant to a springing covenant based on excess availability, which provides for compliance with the covenant only during a compliance period (any time that excess availability falls below a certain threshold), and in such case, the financial covenant shall be tested during this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29, 2024, the Company amended the Loan Agreement, which allows for all share repurchases paid in cash prior to June 30, 2024 and thereafter to be excluded as restricted payments in the fixed charge coverage ratio calculation, if as of the date of the share repurchase, there is no revolving ABL balance (except for interest and fees payable in accordance with the terms of the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amendments were treated as modifications of debt and, as a result, the associated fees and costs were included in debt issuance costs and are amortized ratably over the remaining term of the Loan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ABL availability is subject to a borrowing base of up to 85% of secured eligible accounts receivable, subject to adjustment at certain quality levels, minus reserves and subject to adjustments. Revolving loans and letters of credit issued under the Loan Agreement reduce availability under the ABL on a dollar-for-dollar basis. At March 31, 2026, there were no borrowings drawn under the ABL, and borrowing base availability under the ABL was $109.3 million, with $91.0 million of availability net of $18.3 million of letters of credit outstanding related to workers’ compensation and professional liability policies.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March 31, 2026, the interest rate spreads and fees under the ABL were based on SOFR plus 2.10% for the revolving portion of the borrowing base. The Base Rate margin would have been 1.00% for the revolving portion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SOFR and Base Rate margins are subject to monthly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Loan Agreement contains various restrictions applicable to the Company and its subsidiaries. For the three months ended March 31, 2026, the excess availability did not fall below the stated threshold and, as a result, there was no covenant compliance period. Obligations under the ABL are secured by substantially all of the assets of the borrowers and guarantors, subject to customary exceptions.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Loan Agreement also contains certain events of default. If an event of default under the Loan Agreement occurs and remains uncured, then the administrative agent or the requisite lenders may declare any outstanding obligations to be immediately due and payable. In addition, if the Company or any of its subsidiaries becomes the subject of voluntary or involuntary proceedings under any bankruptcy, insolvency or similar law, then any outstanding obligations under the Loan Agreement will automatically become due and payable.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before="0" w:after="0"/>
        <w:ind w:left="0" w:right="0" w:hanging="72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lease-related assets and liabilities included on the condensed consolidated balance sheets:</w:t>
      </w:r>
    </w:p>
    <w:p>
      <w:pPr>
        <w:pStyle w:val="TextBody"/>
        <w:bidi w:val="0"/>
        <w:spacing w:before="0" w:after="0"/>
        <w:jc w:val="left"/>
        <w:rPr/>
      </w:pPr>
      <w:r>
        <w:rPr/>
      </w:r>
    </w:p>
    <w:tbl>
      <w:tblPr>
        <w:tblW w:w="8545" w:type="dxa"/>
        <w:jc w:val="left"/>
        <w:tblInd w:w="0" w:type="dxa"/>
        <w:tblLayout w:type="fixed"/>
        <w:tblCellMar>
          <w:top w:w="28" w:type="dxa"/>
          <w:left w:w="28" w:type="dxa"/>
          <w:bottom w:w="28" w:type="dxa"/>
          <w:right w:w="28" w:type="dxa"/>
        </w:tblCellMar>
      </w:tblPr>
      <w:tblGrid>
        <w:gridCol w:w="1814"/>
        <w:gridCol w:w="1594"/>
        <w:gridCol w:w="1602"/>
        <w:gridCol w:w="324"/>
        <w:gridCol w:w="948"/>
        <w:gridCol w:w="167"/>
        <w:gridCol w:w="109"/>
        <w:gridCol w:w="109"/>
        <w:gridCol w:w="109"/>
        <w:gridCol w:w="380"/>
        <w:gridCol w:w="1110"/>
        <w:gridCol w:w="279"/>
      </w:tblGrid>
      <w:tr>
        <w:trPr/>
        <w:tc>
          <w:tcPr>
            <w:tcW w:w="181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Classification on Condensed Consolidated Balance Sheets:</w:t>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non-current</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50" w:type="dxa"/>
        <w:jc w:val="center"/>
        <w:tblInd w:w="0" w:type="dxa"/>
        <w:tblLayout w:type="fixed"/>
        <w:tblCellMar>
          <w:top w:w="28" w:type="dxa"/>
          <w:left w:w="28" w:type="dxa"/>
          <w:bottom w:w="28" w:type="dxa"/>
          <w:right w:w="28" w:type="dxa"/>
        </w:tblCellMar>
      </w:tblPr>
      <w:tblGrid>
        <w:gridCol w:w="1198"/>
        <w:gridCol w:w="1055"/>
        <w:gridCol w:w="1062"/>
        <w:gridCol w:w="319"/>
        <w:gridCol w:w="319"/>
        <w:gridCol w:w="801"/>
        <w:gridCol w:w="109"/>
        <w:gridCol w:w="109"/>
        <w:gridCol w:w="109"/>
        <w:gridCol w:w="360"/>
        <w:gridCol w:w="360"/>
        <w:gridCol w:w="1049"/>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years</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8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the undiscounted cash flows for each of, and total of, the remaining years to the operating lease liabilities (which do not include short-term leases) recorded on the condensed consolidated balance sheets as of March 31, 2026:</w:t>
      </w:r>
    </w:p>
    <w:tbl>
      <w:tblPr>
        <w:tblW w:w="6419" w:type="dxa"/>
        <w:jc w:val="left"/>
        <w:tblInd w:w="0" w:type="dxa"/>
        <w:tblLayout w:type="fixed"/>
        <w:tblCellMar>
          <w:top w:w="28" w:type="dxa"/>
          <w:left w:w="28" w:type="dxa"/>
          <w:bottom w:w="28" w:type="dxa"/>
          <w:right w:w="28" w:type="dxa"/>
        </w:tblCellMar>
      </w:tblPr>
      <w:tblGrid>
        <w:gridCol w:w="1587"/>
        <w:gridCol w:w="1394"/>
        <w:gridCol w:w="1399"/>
        <w:gridCol w:w="438"/>
        <w:gridCol w:w="1281"/>
        <w:gridCol w:w="320"/>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of lease payments representing interest</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minimum lease payments</w:t>
            </w:r>
          </w:p>
        </w:tc>
        <w:tc>
          <w:tcPr>
            <w:tcW w:w="1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operating lease liabilities - current</w:t>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non-current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regarding supplemental cash flows:</w:t>
      </w:r>
    </w:p>
    <w:tbl>
      <w:tblPr>
        <w:tblW w:w="8666" w:type="dxa"/>
        <w:jc w:val="left"/>
        <w:tblInd w:w="0" w:type="dxa"/>
        <w:tblLayout w:type="fixed"/>
        <w:tblCellMar>
          <w:top w:w="28" w:type="dxa"/>
          <w:left w:w="28" w:type="dxa"/>
          <w:bottom w:w="28" w:type="dxa"/>
          <w:right w:w="28" w:type="dxa"/>
        </w:tblCellMar>
      </w:tblPr>
      <w:tblGrid>
        <w:gridCol w:w="2401"/>
        <w:gridCol w:w="2109"/>
        <w:gridCol w:w="2119"/>
        <w:gridCol w:w="221"/>
        <w:gridCol w:w="489"/>
        <w:gridCol w:w="114"/>
        <w:gridCol w:w="114"/>
        <w:gridCol w:w="114"/>
        <w:gridCol w:w="114"/>
        <w:gridCol w:w="221"/>
        <w:gridCol w:w="489"/>
        <w:gridCol w:w="161"/>
      </w:tblGrid>
      <w:tr>
        <w:trPr/>
        <w:tc>
          <w:tcPr>
            <w:tcW w:w="240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6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acquired under operating lease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2"/>
        <w:gridCol w:w="2534"/>
        <w:gridCol w:w="2540"/>
        <w:gridCol w:w="220"/>
        <w:gridCol w:w="487"/>
        <w:gridCol w:w="113"/>
        <w:gridCol w:w="113"/>
        <w:gridCol w:w="113"/>
        <w:gridCol w:w="113"/>
        <w:gridCol w:w="220"/>
        <w:gridCol w:w="487"/>
        <w:gridCol w:w="113"/>
        <w:gridCol w:w="109"/>
        <w:gridCol w:w="161"/>
      </w:tblGrid>
      <w:tr>
        <w:trPr/>
        <w:tc>
          <w:tcPr>
            <w:tcW w:w="2882"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c>
          <w:tcPr>
            <w:tcW w:w="270" w:type="dxa"/>
            <w:gridSpan w:val="2"/>
            <w:tcBorders/>
          </w:tcPr>
          <w:p>
            <w:pPr>
              <w:pStyle w:val="TableContents"/>
              <w:bidi w:val="0"/>
              <w:spacing w:before="0" w:after="283"/>
              <w:jc w:val="left"/>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Included in Condensed Consolidated Statements of Operations and Comprehensive Loss:</w:t>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and other lease costs</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429" w:type="dxa"/>
            <w:gridSpan w:val="8"/>
            <w:tcBorders/>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429" w:type="dxa"/>
            <w:gridSpan w:val="8"/>
            <w:tcBorders/>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5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expense, short-term lease expense, and variable and other lease costs are included in selling, general and administrative expenses, direct operating expenses, and restructuring costs in the condensed consolidated statements of operations and comprehensive loss, depending on the nature of the leased asset. Operating lease expense is reported net of sublease income, which is not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did not have any material operating leases that had not yet commenced, and did not have any finance lease contracts.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10.    FAIR VALUE MEASUREMENTS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pStyle w:val="TextBody"/>
        <w:bidi w:val="0"/>
        <w:spacing w:lineRule="auto" w:line="288" w:before="0" w:after="120"/>
        <w:jc w:val="both"/>
        <w:rPr/>
      </w:pPr>
      <w:r>
        <w:rPr>
          <w:color w:val="000000"/>
        </w:rPr>
        <w:t> </w:t>
      </w:r>
      <w:r>
        <w:rPr>
          <w:rFonts w:ascii="Times New Roman;serif" w:hAnsi="Times New Roman;serif"/>
          <w:b w:val="false"/>
          <w:i/>
          <w:color w:val="000000"/>
          <w:sz w:val="20"/>
        </w:rPr>
        <w:t>Level 1</w:t>
      </w:r>
      <w:r>
        <w:rPr>
          <w:color w:val="000000"/>
        </w:rPr>
        <w:t>—</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0" w:after="120"/>
        <w:jc w:val="both"/>
        <w:rPr/>
      </w:pPr>
      <w:r>
        <w:rPr>
          <w:color w:val="000000"/>
        </w:rPr>
        <w:t> </w:t>
      </w:r>
      <w:r>
        <w:rPr>
          <w:rFonts w:ascii="Times New Roman;serif" w:hAnsi="Times New Roman;serif"/>
          <w:b w:val="false"/>
          <w:i/>
          <w:color w:val="000000"/>
          <w:sz w:val="20"/>
        </w:rPr>
        <w:t>Level 2</w:t>
      </w:r>
      <w:r>
        <w:rPr>
          <w:color w:val="000000"/>
        </w:rPr>
        <w:t>—</w:t>
      </w:r>
      <w:r>
        <w:rPr>
          <w:rFonts w:ascii="Times New Roman;serif" w:hAnsi="Times New Roman;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0"/>
        <w:jc w:val="both"/>
        <w:rPr/>
      </w:pPr>
      <w:r>
        <w:rPr>
          <w:color w:val="000000"/>
        </w:rPr>
        <w:t> </w:t>
      </w:r>
      <w:r>
        <w:rPr>
          <w:rFonts w:ascii="Times New Roman;serif" w:hAnsi="Times New Roman;serif"/>
          <w:b w:val="false"/>
          <w:i/>
          <w:color w:val="000000"/>
          <w:sz w:val="20"/>
        </w:rPr>
        <w:t>Level 3</w:t>
      </w:r>
      <w:r>
        <w:rPr>
          <w:color w:val="000000"/>
        </w:rPr>
        <w:t>—</w:t>
      </w:r>
      <w:r>
        <w:rPr>
          <w:rFonts w:ascii="Times New Roman;serif" w:hAnsi="Times New Roman;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Items Measured at Fair Value on a Recurring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assets/liabilities required to be measured on a recurring basis were primarily its: (i) deferred compensation asset; and (ii) deferred compensation liability on its condensed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Deferred compensation</w:t>
      </w:r>
      <w:r>
        <w:rPr>
          <w:color w:val="000000"/>
        </w:rPr>
        <w:t>—</w:t>
      </w:r>
      <w:r>
        <w:rPr>
          <w:rFonts w:ascii="Times New Roman;serif" w:hAnsi="Times New Roman;serif"/>
          <w:b w:val="false"/>
          <w:color w:val="000000"/>
          <w:sz w:val="20"/>
        </w:rPr>
        <w:t>The Company utilizes Level 1 inputs to value its deferred compensation assets and liabilities. The Company’s deferred compensation assets and liabilities are measured using publicly available indices, as per the plan documents.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Company’s financial assets and liabilities measured on a recurring basis is as follows: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Value Measurements</w:t>
      </w:r>
    </w:p>
    <w:tbl>
      <w:tblPr>
        <w:tblW w:w="6235" w:type="dxa"/>
        <w:jc w:val="center"/>
        <w:tblInd w:w="0" w:type="dxa"/>
        <w:tblLayout w:type="fixed"/>
        <w:tblCellMar>
          <w:top w:w="28" w:type="dxa"/>
          <w:left w:w="28" w:type="dxa"/>
          <w:bottom w:w="28" w:type="dxa"/>
          <w:right w:w="28" w:type="dxa"/>
        </w:tblCellMar>
      </w:tblPr>
      <w:tblGrid>
        <w:gridCol w:w="978"/>
        <w:gridCol w:w="859"/>
        <w:gridCol w:w="863"/>
        <w:gridCol w:w="324"/>
        <w:gridCol w:w="948"/>
        <w:gridCol w:w="167"/>
        <w:gridCol w:w="109"/>
        <w:gridCol w:w="109"/>
        <w:gridCol w:w="109"/>
        <w:gridCol w:w="380"/>
        <w:gridCol w:w="1110"/>
        <w:gridCol w:w="2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(amounts in thousands)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(Level 1)</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asset</w:t>
            </w:r>
          </w:p>
        </w:tc>
        <w:tc>
          <w:tcPr>
            <w:tcW w:w="3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53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(Level 1)</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3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Items Measured at Fair Value on a Non-recurring Basis: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pStyle w:val="TextBody"/>
        <w:bidi w:val="0"/>
        <w:spacing w:lineRule="auto" w:line="288" w:before="0" w:after="0"/>
        <w:jc w:val="both"/>
        <w:rPr/>
      </w:pPr>
      <w:r>
        <w:rPr>
          <w:rFonts w:ascii="Times New Roman;serif" w:hAnsi="Times New Roman;serif"/>
          <w:b w:val="false"/>
          <w:color w:val="000000"/>
          <w:sz w:val="20"/>
        </w:rPr>
        <w:t xml:space="preserve">During the three months ended March 31, 2026, the Company recorded an immaterial impairment charge </w:t>
      </w:r>
      <w:r>
        <w:rPr>
          <w:rFonts w:ascii="Times New Roman;serif" w:hAnsi="Times New Roman;serif"/>
          <w:b w:val="false"/>
          <w:color w:val="000000"/>
          <w:sz w:val="20"/>
          <w:shd w:fill="FFFFFF" w:val="clear"/>
        </w:rPr>
        <w:t xml:space="preserve">related to right-of-use assets and related property and equipment in connection with those assets. </w:t>
      </w:r>
      <w:r>
        <w:rPr>
          <w:rFonts w:ascii="Times New Roman;serif" w:hAnsi="Times New Roman;serif"/>
          <w:b w:val="false"/>
          <w:color w:val="000000"/>
          <w:sz w:val="20"/>
        </w:rPr>
        <w:t>The Company did not record any impairment charges during the three months ended March 31, 2025.</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Other Fair Value Disclosures: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financial instruments not measured or recorded at fair value include earnout liabilities related to the Mint acquisition, as discussed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Potential earnout payments related to the Mint acquisition were contingent upon meeting certain performance requirements based on 2022 through 2024 performance. On a quarterly basis, the Company performed an analysis using multiple forecasted scenarios to determine the fair value of the earnout liability. In the fourth quarter of 2023, the Company performed the earnout calculation for the first measurement period, resulting in an earnout of $4.9 million, which was paid in the first quarter of 2024. During the fourth quarter of 2024, the Company performed a calculation for the second measurement period, resulting in the achievement of a $4.4 million earnout, which was paid in the first quarter of 2025. See Note 4 - Acquisitions.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See Note 2 – Summary of Significant Accounting Policies for a discussion of credit losses and allowance for credit losses. </w:t>
      </w:r>
      <w:r>
        <w:rPr>
          <w:rFonts w:ascii="Times New Roman;serif" w:hAnsi="Times New Roman;serif"/>
          <w:b w:val="false"/>
          <w:color w:val="000000"/>
          <w:sz w:val="20"/>
        </w:rPr>
        <w:t>Overall, based on the large number of customers in differing geographic areas, primarily throughout the United States (U.S.) and its territories, the Company believes that the concentration of credit risk is limited.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11.</w:t>
      </w:r>
      <w:r>
        <w:rPr>
          <w:color w:val="000000"/>
        </w:rPr>
        <w:t>    </w:t>
      </w:r>
      <w:r>
        <w:rPr>
          <w:rFonts w:ascii="Times New Roman;serif" w:hAnsi="Times New Roman;serif"/>
          <w:b/>
          <w:color w:val="000000"/>
          <w:sz w:val="20"/>
        </w:rPr>
        <w:t>STOCKHOLDERS’ EQUITY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1, 2023, the Company’s Board of Directors authorized approximately $59.0 million in additional share repurchases, such that, effective for trades made after May 3, 2023, the aggregate amount available for stock repurchases was set at $100.0 million (the Repurchase Program). The shares can be repurchased from time-to-time in the open market or in privately negotiated transactions. The Repurchase Program does not obligate the Company to repurchase any particular number of shares of common stock and may be discontinued by the Board of Directors at any time. Decisions regarding the amount and the timing of repurchases under the Repurchase Program will be subject to the Company’s available liquidity and cash on hand, applicable legal requirements, the terms of the Company’s Loan Agreement, general market conditions, and other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entered into a Rule 10b5-1 Repurchase Plan to allow for share repurchases during the Company's blackout periods, beginning on December 16, 2025 and effective through November 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repurchased 657,653 shares of common stock for $5.8 million, at an average price of $8.86 per share. During the three months ended March 31, 2025, the Company did not repurchase any shares of its common stock, but did pay $0.3 million in excise tax related to previous share repurchases.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$28.1 million remaining for share repurchase under the Repurchase Program, subject to certain conditions in the Company’s Loan Agreement. As of March 31, 2026, the Company had 31,241,365 unrestricted shares of common stock outstanding.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Share-Based Payments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May 14, 2024, the Company’s stockholders approved the Cross Country Healthcare, Inc. 2024 Omnibus Incentive Plan (2024 Plan). Pursuant to the 2024 Plan, awards may be granted to employees, non-employee directors, consultants, and key advisors of the Company and its subsidiaries, including stock options (including incentive stock options and nonqualified stock options), stock appreciation rights, stock awards, stock units, other stock-based awards, and cash awards. The 2024 Plan was adopted principally to serve as a successor plan to the Cross Country Healthcare, Inc. 2020 Omnibus Incentive Plan (2020 Plan) and to increase the number of shares of Company common stock reserved for equity-based awards to 2,400,000 shares (in addition to the share reserve amount that remained available under the 2020 Plan immediately prior to the adoption of the 2024 Plan and other eligible returning shares). No awards may be granted under the 2024 Plan after May 13, 2034.</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awards and performance stock awards activity issued under the 2020 Plan and the 2024 Plan (Plans) for the three months ended March 31,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9"/>
        <w:gridCol w:w="1124"/>
        <w:gridCol w:w="1127"/>
        <w:gridCol w:w="487"/>
        <w:gridCol w:w="489"/>
        <w:gridCol w:w="322"/>
        <w:gridCol w:w="140"/>
        <w:gridCol w:w="140"/>
        <w:gridCol w:w="140"/>
        <w:gridCol w:w="271"/>
        <w:gridCol w:w="795"/>
        <w:gridCol w:w="140"/>
        <w:gridCol w:w="109"/>
        <w:gridCol w:w="109"/>
        <w:gridCol w:w="109"/>
        <w:gridCol w:w="559"/>
        <w:gridCol w:w="507"/>
        <w:gridCol w:w="505"/>
        <w:gridCol w:w="153"/>
        <w:gridCol w:w="153"/>
        <w:gridCol w:w="153"/>
        <w:gridCol w:w="297"/>
        <w:gridCol w:w="868"/>
        <w:gridCol w:w="229"/>
      </w:tblGrid>
      <w:tr>
        <w:trPr/>
        <w:tc>
          <w:tcPr>
            <w:tcW w:w="127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Stock Awards</w:t>
            </w:r>
          </w:p>
        </w:tc>
      </w:tr>
      <w:tr>
        <w:trPr/>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Target </w:t>
              <w:br/>
              <w:t>Shares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 January 1,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969,844 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564,702 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562,850 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348,892 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(165,208)</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(118,174)</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(106,664)</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 March 31,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1,314,137 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688,756 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Awards granted to non-employee directors under the Plans will vest on the first anniversary of such grant date, </w:t>
      </w:r>
      <w:r>
        <w:rPr>
          <w:rFonts w:ascii="Times New Roman;serif" w:hAnsi="Times New Roman;serif"/>
          <w:b w:val="false"/>
          <w:color w:val="000000"/>
          <w:sz w:val="20"/>
          <w:shd w:fill="FFFFFF" w:val="clear"/>
        </w:rPr>
        <w:t>or earlier subject to retirement eligibility</w:t>
      </w:r>
      <w:r>
        <w:rPr>
          <w:rFonts w:ascii="Times New Roman;serif" w:hAnsi="Times New Roman;serif"/>
          <w:b w:val="false"/>
          <w:color w:val="000000"/>
          <w:sz w:val="20"/>
        </w:rPr>
        <w:t>. In addition, effective for the three months ended June 30, 2020, the Company implemented modified guidelines that provide for accelerated vesting of restricted stock grants on the last date of service when a retirement-eligible director retires.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Pursuant to the Plans, the number of target shares that are issued for performance-based stock awards are determined based on the level of attainment of the targets.</w:t>
      </w:r>
      <w:r>
        <w:rPr>
          <w:color w:val="3051F2"/>
        </w:rPr>
        <w:t xml:space="preserve"> </w:t>
      </w:r>
      <w:r>
        <w:rPr>
          <w:rFonts w:ascii="Times New Roman;serif" w:hAnsi="Times New Roman;serif"/>
          <w:b w:val="false"/>
          <w:color w:val="000000"/>
          <w:sz w:val="20"/>
        </w:rPr>
        <w:t xml:space="preserve">In the first quarter of 2026, it was determined that the performance-based stock awards that were granted in 2023 were not earned and, accordingly, no shares were issued in settlement of such performance-based stock awards.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$1.2 million was included in selling, general and administrative expenses related to share-based payments, and a net of 177,738 of common stock were issued upon the vesting of restricted and performance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$1.3 million was included in selling, general and administrative expenses related to share-based payments, and a net of 199,588 of common stock were issued upon the vesting of restricted and performance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12.    SEGMENT DATA</w:t>
      </w:r>
    </w:p>
    <w:p>
      <w:pPr>
        <w:pStyle w:val="TextBody"/>
        <w:bidi w:val="0"/>
        <w:spacing w:before="0" w:after="0"/>
        <w:ind w:left="0" w:right="0" w:hanging="72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two operating and reportable segments, Nurse and Allied Staffing and Physician Staffing, which align with its management structure and reflect how the operating results are regularly reviewed by the Chief Executive Officer, who the Company has determined to be its Chief Operating Decision Maker (CODM). The Company’s segments offer services to its customers as described below:</w:t>
      </w:r>
    </w:p>
    <w:p>
      <w:pPr>
        <w:pStyle w:val="TextBody"/>
        <w:bidi w:val="0"/>
        <w:spacing w:lineRule="auto" w:line="288" w:before="0" w:after="120"/>
        <w:ind w:left="0" w:right="0" w:hanging="360"/>
        <w:jc w:val="both"/>
        <w:rPr/>
      </w:pPr>
      <w:r>
        <w:rPr>
          <w:color w:val="000000"/>
        </w:rPr>
        <w:t>●    </w:t>
      </w:r>
      <w:r>
        <w:rPr>
          <w:rFonts w:ascii="Times New Roman;serif" w:hAnsi="Times New Roman;serif"/>
          <w:b w:val="false"/>
          <w:i/>
          <w:color w:val="000000"/>
          <w:sz w:val="20"/>
        </w:rPr>
        <w:t xml:space="preserve">Nurse and Allied Staffing </w:t>
      </w:r>
      <w:r>
        <w:rPr>
          <w:color w:val="000000"/>
        </w:rPr>
        <w:t xml:space="preserve">– </w:t>
      </w:r>
      <w:r>
        <w:rPr>
          <w:rFonts w:ascii="Times New Roman;serif" w:hAnsi="Times New Roman;serif"/>
          <w:b w:val="false"/>
          <w:color w:val="000000"/>
          <w:sz w:val="20"/>
        </w:rPr>
        <w:t>Nurse and Allied Staffing provides traditional staffing, recruiting, and value-added total talent solutions including: temporary and permanent placement of travel nurse and allied professionals, per diem, and healthcare leaders within nursing, allied, human resources, and finance, managed service programs (MSPs), education healthcare services, caregiver services to Program of All-Inclusive Care for the Elderly (PACE) programs (home based PACE services), and outsourcing services. In addition, Nurse and Allied Staffing provides executive search services for healthcare professionals, as well as contingent search and recruitment process outsourcing services, and offers the Company’s Software as a Service (SaaS)-based, proprietary, vendor management technology, Intellify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 facilities in order to manage all or a portion of their agency services. Its customers include: public and private acute care hospitals, non-acute care hospitals, government facilities, local healthcare plans, national healthcare plans, managed care providers, public schools, charter schools, academic medical centers, PACE programs, outpatient clinics, ambulatory care facilities, physician practice groups, and many other healthcare providers throughout the U.S.</w:t>
      </w:r>
    </w:p>
    <w:p>
      <w:pPr>
        <w:pStyle w:val="TextBody"/>
        <w:bidi w:val="0"/>
        <w:spacing w:lineRule="auto" w:line="288" w:before="0" w:after="0"/>
        <w:ind w:left="0" w:right="0" w:hanging="360"/>
        <w:jc w:val="both"/>
        <w:rPr/>
      </w:pPr>
      <w:r>
        <w:rPr>
          <w:color w:val="000000"/>
        </w:rPr>
        <w:t>●    </w:t>
      </w:r>
      <w:r>
        <w:rPr>
          <w:rFonts w:ascii="Times New Roman;serif" w:hAnsi="Times New Roman;serif"/>
          <w:b w:val="false"/>
          <w:i/>
          <w:color w:val="000000"/>
          <w:sz w:val="20"/>
        </w:rPr>
        <w:t>Physician Staffing</w:t>
      </w:r>
      <w:r>
        <w:rPr>
          <w:color w:val="000000"/>
        </w:rPr>
        <w:t xml:space="preserve"> – </w:t>
      </w:r>
      <w:r>
        <w:rPr>
          <w:rFonts w:ascii="Times New Roman;serif" w:hAnsi="Times New Roman;serif"/>
          <w:b w:val="false"/>
          <w:color w:val="000000"/>
          <w:sz w:val="20"/>
        </w:rPr>
        <w:t>Physician Staffing provides physicians in many specialties, as well as certified registered nurse anesthetists, nurse practitioners, and physician assistants as independent contractors on temporary assignments throughout the U.S. at various healthcare facilities, such as acute and non-acute care facilities, medical group practices, government facilities, and managed care organizations.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and the profit and loss measure of contribution income, are reported to the CODM by each of the operating segments to assess performance. Contribution income is the profit and loss measure used by the CODM to allocate operating and capital resources to each segment. The Company defines contribution income as income (loss) from operations before depreciation and amortization, acquisition and integration-related costs (benefits), restructuring costs (benefits), legal and other losses, impairment charges, and corporate overhead. Management believes that its measure of contribution income is most consistent with that used to measure the corresponding amounts on its condensed consolidated financial statements.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the following tables is derived from the segments’ internal financial information as used for corporate management purposes. Certain corporate expenses are not allocated to and/or among the operating segments. Those include corporate overhead and the remaining line items below contribution income in the consolidated column in the tables below, and are presented to the CODM on a consolidated basis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Information on reportable segments and a</w:t>
      </w:r>
      <w:r>
        <w:rPr>
          <w:color w:val="000000"/>
        </w:rPr>
        <w:t> </w:t>
      </w:r>
      <w:r>
        <w:rPr>
          <w:rFonts w:ascii="Times New Roman;serif" w:hAnsi="Times New Roman;serif"/>
          <w:b w:val="false"/>
          <w:color w:val="000000"/>
          <w:sz w:val="20"/>
        </w:rPr>
        <w:t>reconciliation to loss before income taxes for the period indicated are as follows:</w:t>
      </w:r>
    </w:p>
    <w:p>
      <w:pPr>
        <w:pStyle w:val="TextBody"/>
        <w:bidi w:val="0"/>
        <w:spacing w:before="0" w:after="0"/>
        <w:jc w:val="left"/>
        <w:rPr/>
      </w:pPr>
      <w:r>
        <w:rPr/>
      </w:r>
    </w:p>
    <w:tbl>
      <w:tblPr>
        <w:tblW w:w="9399" w:type="dxa"/>
        <w:jc w:val="left"/>
        <w:tblInd w:w="0" w:type="dxa"/>
        <w:tblLayout w:type="fixed"/>
        <w:tblCellMar>
          <w:top w:w="28" w:type="dxa"/>
          <w:left w:w="28" w:type="dxa"/>
          <w:bottom w:w="28" w:type="dxa"/>
          <w:right w:w="28" w:type="dxa"/>
        </w:tblCellMar>
      </w:tblPr>
      <w:tblGrid>
        <w:gridCol w:w="1312"/>
        <w:gridCol w:w="1157"/>
        <w:gridCol w:w="1161"/>
        <w:gridCol w:w="408"/>
        <w:gridCol w:w="1600"/>
        <w:gridCol w:w="211"/>
        <w:gridCol w:w="109"/>
        <w:gridCol w:w="109"/>
        <w:gridCol w:w="109"/>
        <w:gridCol w:w="331"/>
        <w:gridCol w:w="1133"/>
        <w:gridCol w:w="171"/>
        <w:gridCol w:w="109"/>
        <w:gridCol w:w="109"/>
        <w:gridCol w:w="109"/>
        <w:gridCol w:w="223"/>
        <w:gridCol w:w="874"/>
        <w:gridCol w:w="164"/>
      </w:tblGrid>
      <w:tr>
        <w:trPr/>
        <w:tc>
          <w:tcPr>
            <w:tcW w:w="131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Nurse and Allied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Physician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expenses</w:t>
            </w:r>
          </w:p>
        </w:tc>
        <w:tc>
          <w:tcPr>
            <w:tcW w:w="2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161,579 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(income) expense</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Divisional corporate G&amp;A</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(a)</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Income</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profit or loss: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overhead </w:t>
            </w:r>
            <w:r>
              <w:rPr>
                <w:rFonts w:ascii="Times New Roman;serif" w:hAnsi="Times New Roman;serif"/>
                <w:b w:val="false"/>
                <w:color w:val="000000"/>
                <w:sz w:val="13"/>
              </w:rPr>
              <w:t>(b)</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integration-related income</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other losses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For each reportable segment, the other segment items category includes the following expenses: rent, insurance, maintenance, utilities, professional services, office, software and hardware, taxes, and miscellaneous employee expenses.</w:t>
      </w:r>
    </w:p>
    <w:p>
      <w:pPr>
        <w:pStyle w:val="TextBody"/>
        <w:bidi w:val="0"/>
        <w:spacing w:lineRule="auto" w:line="288" w:before="0" w:after="12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Corporate overhead includes unallocated executive leadership and other centralized corporate functional support costs such as finance, IT, legal, and human resources, as well as public company expenses and corporate-wide projects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Information on reportable segments and a reconciliation to loss before income taxes for the period indicated are as follows:</w:t>
      </w:r>
    </w:p>
    <w:tbl>
      <w:tblPr>
        <w:tblW w:w="9204" w:type="dxa"/>
        <w:jc w:val="left"/>
        <w:tblInd w:w="0" w:type="dxa"/>
        <w:tblLayout w:type="fixed"/>
        <w:tblCellMar>
          <w:top w:w="28" w:type="dxa"/>
          <w:left w:w="28" w:type="dxa"/>
          <w:bottom w:w="28" w:type="dxa"/>
          <w:right w:w="28" w:type="dxa"/>
        </w:tblCellMar>
      </w:tblPr>
      <w:tblGrid>
        <w:gridCol w:w="1241"/>
        <w:gridCol w:w="1095"/>
        <w:gridCol w:w="1099"/>
        <w:gridCol w:w="408"/>
        <w:gridCol w:w="1600"/>
        <w:gridCol w:w="211"/>
        <w:gridCol w:w="109"/>
        <w:gridCol w:w="109"/>
        <w:gridCol w:w="109"/>
        <w:gridCol w:w="331"/>
        <w:gridCol w:w="1133"/>
        <w:gridCol w:w="171"/>
        <w:gridCol w:w="109"/>
        <w:gridCol w:w="109"/>
        <w:gridCol w:w="109"/>
        <w:gridCol w:w="223"/>
        <w:gridCol w:w="874"/>
        <w:gridCol w:w="164"/>
      </w:tblGrid>
      <w:tr>
        <w:trPr/>
        <w:tc>
          <w:tcPr>
            <w:tcW w:w="124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Nurse and Allied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Physician Staffing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242,291 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expenses</w:t>
            </w:r>
          </w:p>
        </w:tc>
        <w:tc>
          <w:tcPr>
            <w:tcW w:w="2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194,033 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2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2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(income) expense</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Divisional corporate G&amp;A</w:t>
            </w:r>
          </w:p>
        </w:tc>
        <w:tc>
          <w:tcPr>
            <w:tcW w:w="2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(a)</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Income</w:t>
            </w:r>
          </w:p>
        </w:tc>
        <w:tc>
          <w:tcPr>
            <w:tcW w:w="4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17,244 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21,273 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profit or loss:</w:t>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overhead </w:t>
            </w:r>
            <w:r>
              <w:rPr>
                <w:rFonts w:ascii="Times New Roman;serif" w:hAnsi="Times New Roman;serif"/>
                <w:b w:val="false"/>
                <w:color w:val="000000"/>
                <w:sz w:val="13"/>
              </w:rPr>
              <w:t>(b)</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integration-related costs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12"/>
        </w:rPr>
        <w:t xml:space="preserve">(a) </w:t>
      </w:r>
      <w:r>
        <w:rPr>
          <w:rFonts w:ascii="Times New Roman;serif" w:hAnsi="Times New Roman;serif"/>
          <w:b w:val="false"/>
          <w:color w:val="000000"/>
          <w:sz w:val="18"/>
        </w:rPr>
        <w:t>For each reportable segment, the other segment items category includes the following expenses: rent, insurance, maintenance, utilities, professional services, office, software and hardware, taxes, and miscellaneous employee expenses.</w:t>
      </w:r>
    </w:p>
    <w:p>
      <w:pPr>
        <w:pStyle w:val="TextBody"/>
        <w:bidi w:val="0"/>
        <w:spacing w:lineRule="auto" w:line="288" w:before="0" w:after="0"/>
        <w:jc w:val="both"/>
        <w:rPr/>
      </w:pPr>
      <w:r>
        <w:rPr>
          <w:rFonts w:ascii="Times New Roman;serif" w:hAnsi="Times New Roman;serif"/>
          <w:b w:val="false"/>
          <w:color w:val="000000"/>
          <w:sz w:val="12"/>
        </w:rPr>
        <w:t xml:space="preserve">(b) </w:t>
      </w:r>
      <w:r>
        <w:rPr>
          <w:rFonts w:ascii="Times New Roman;serif" w:hAnsi="Times New Roman;serif"/>
          <w:b w:val="false"/>
          <w:color w:val="000000"/>
          <w:sz w:val="18"/>
        </w:rPr>
        <w:t>Corporate overhead includes unallocated executive leadership and other centralized corporate functional support costs such as finance, IT, legal, and human resources, as well as public company expenses and corporate-wide projects (initiatives).</w:t>
      </w:r>
    </w:p>
    <w:p>
      <w:pPr>
        <w:pStyle w:val="TextBody"/>
        <w:bidi w:val="0"/>
        <w:spacing w:before="0" w:after="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is based on services provided. During the three months ended March 31, 2026 and 2025, all revenue was generated primarily in the U.S., and all of the Company’s long-lived assets were located in the U.S. and India. The Company provides its staffing services and workforce solutions in all 50 states. The India location is a cost center with no revenues and an immaterial amount of long-lived assets. The Company had no intersegment revenues between reportable segments for the three months ended March 31, 2026 and 2025.</w:t>
      </w:r>
    </w:p>
    <w:p>
      <w:pPr>
        <w:pStyle w:val="TextBody"/>
        <w:bidi w:val="0"/>
        <w:spacing w:before="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does not evaluate, manage, or measure performance of segments using asset information; accordingly, total asset information by segment is not prepared or disclosed.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segments are the same as those described in Note 2 – Summary of Significant Accounting Policies, which also provides information about major customers.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See the tables in Note 3 - Revenue Recognition, which present segment revenues by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13.    </w:t>
      </w:r>
      <w:r>
        <w:rPr>
          <w:rFonts w:ascii="Times New Roman;serif" w:hAnsi="Times New Roman;serif"/>
          <w:b/>
          <w:color w:val="000000"/>
          <w:sz w:val="20"/>
          <w:shd w:fill="FFFFFF" w:val="clear"/>
        </w:rPr>
        <w:t>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During the first quarter of 2026, the Company recorded </w:t>
      </w:r>
      <w:r>
        <w:rPr>
          <w:rFonts w:ascii="Times New Roman;serif" w:hAnsi="Times New Roman;serif"/>
          <w:b w:val="false"/>
          <w:color w:val="000000"/>
          <w:sz w:val="20"/>
        </w:rPr>
        <w:t>$1.2 million</w:t>
      </w:r>
      <w:r>
        <w:rPr>
          <w:color w:val="000000"/>
          <w:shd w:fill="FFFFFF" w:val="clear"/>
        </w:rPr>
        <w:t xml:space="preserve"> </w:t>
      </w:r>
      <w:r>
        <w:rPr>
          <w:rFonts w:ascii="Times New Roman;serif" w:hAnsi="Times New Roman;serif"/>
          <w:b w:val="false"/>
          <w:color w:val="000000"/>
          <w:sz w:val="20"/>
          <w:shd w:fill="FFFFFF" w:val="clear"/>
        </w:rPr>
        <w:t xml:space="preserve">in legal fees and settlement charges related to various cases and claims. The Company believes that the outcome of any outstanding loss contingencies, individually or in the aggregate, as of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will not have a material adverse effect on its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Sales and Other State Non-Income Tax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sales and other state non-income tax filings are subject to routine audits by authorities in the jurisdictions where it conducts business in the U.S.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comprehensive loss and the liability is reflected in sales tax payable within other current liabilities in its condensed consolidated balance sheets.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w:t>
        <w:noBreakHyphen/>
        <w:t>month periods ended March 31, 2026 and 2025, the Company determined its income tax provisions using an estimated annual effective tax rate (AETR) applied to year</w:t>
        <w:noBreakHyphen/>
        <w:t>to</w:t>
        <w:noBreakHyphen/>
        <w:t>date ordinary income, adjusted for discrete tax items recognized in the period. In estimating the AETR for the three months ended March 31, 2026, the Company excluded jurisdictions where no current income tax expense is expected for the year. Income taxes related to such jurisdictions are reflected as discrete items or otherwise recognized based on year</w:t>
        <w:noBreakHyphen/>
        <w:t>to</w:t>
        <w:noBreakHyphen/>
        <w:t>date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updates its estimated AETR and related assumptions each reporting period, and any changes are reflected in the income tax provision in the period of change. The Company does not reflect tax benefits from jurisdictions for which a full valuation allowance is maintained and where no benefit is expected to be realized in the current year in its AETR. For the three months ended March 31, 2026, the estimated AETR excluded the U.S. as a loss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months ended March 31, 2026 and 2025 was (14.2%) and 45.5%, respectively, including the impact of discrete items. Excluding discrete items, the Company’s effective tax rates for the three months ended March 31, 2026 and 2025 was (6.6%) and 56.1%, respectively. As a result of the increase in the valuation allowance, the effective tax rate for the three months ended March 31, 2026 was primarily impacted by state and international income taxes, while the effective tax rate for the three months ended March 31, 2025 was primarily impacted by federal and state taxes. The decrease in the effective tax rate for the three-month period ended March 31, 2026 was primarily related to the increase in the valuation allowance.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management assessed the available positive and negative evidence to estimate whether sufficient future taxable income will be generated to permit use of its existing deferred tax assets. A significant piece of objective negative evidence evaluated was the expected cumulative loss incurred over the three-year period ended March 31, 2026. On the basis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evaluation, an additional nonrecurring valuation allowance of $29.4 million was recorded in the fourth quarter of 2025 as income tax expense to reduce the portion of the deferred tax asset that is not more likely than not to be realized.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intends to maintain a valuation allowance until sufficient positive evidence exists to support its reversal. As of March 31, 2026 and December 31, 2025, the Company had valuation allowances of $30.2 million and $29.7 million, respectively. The valuation allowance applies to all domestic deferred tax assets other than certain deferred tax assets expected to be realized.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approximately $10.5 million of unrecognized tax benefits included in other long-term liabilities ($12.3 million, net of deferred taxes, which would affect the effective tax rate if recognized). During the three months ended March 31, 2026, the Company had $0.3 million in gross increases to its current year unrecognized tax benefits related to federal and state tax provisions.</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January 1, 2024, many international jurisdictions implemented the Pillar Two rules issued by the Organization for Economic Co-operation and Development. In general, large multinational entity groups with consolidated revenue in excess of €750 million in at least two of the preceding four years could be subject to the new rules in jurisdictions with an effective tax rate below fifteen percent. The Company operated in one country that has adopted the Pillar Two rules, but should meet the safe harbor rules. The Company does not expect the adoption of the Pillar Two rules by any jurisdiction in which it currently operates to have a material impact on its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tax years of 2012 through 2025 remain open to examination by certain taxing jurisdictions to which the Company is subject to tax.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RELATED PARTY TRANSACTIONS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Company has entered into an arrangement for digital marketing services provided by a firm that is related to the Company</w:t>
      </w:r>
      <w:r>
        <w:rPr>
          <w:color w:val="000000"/>
        </w:rPr>
        <w:t>’</w:t>
      </w:r>
      <w:r>
        <w:rPr>
          <w:rFonts w:ascii="Times New Roman;serif" w:hAnsi="Times New Roman;serif"/>
          <w:b w:val="false"/>
          <w:color w:val="000000"/>
          <w:sz w:val="20"/>
          <w:shd w:fill="FFFFFF" w:val="clear"/>
        </w:rPr>
        <w:t>s President, Chief Executive Officer, and Chairman of the Board of Directors, who is a minority shareholder in the firm</w:t>
      </w:r>
      <w:r>
        <w:rPr>
          <w:color w:val="000000"/>
        </w:rPr>
        <w:t>’</w:t>
      </w:r>
      <w:r>
        <w:rPr>
          <w:rFonts w:ascii="Times New Roman;serif" w:hAnsi="Times New Roman;serif"/>
          <w:b w:val="false"/>
          <w:color w:val="000000"/>
          <w:sz w:val="20"/>
          <w:shd w:fill="FFFFFF" w:val="clear"/>
        </w:rPr>
        <w:t>s parent company and is a member of the parent company</w:t>
      </w:r>
      <w:r>
        <w:rPr>
          <w:color w:val="000000"/>
        </w:rPr>
        <w:t>’</w:t>
      </w:r>
      <w:r>
        <w:rPr>
          <w:rFonts w:ascii="Times New Roman;serif" w:hAnsi="Times New Roman;serif"/>
          <w:b w:val="false"/>
          <w:color w:val="000000"/>
          <w:sz w:val="20"/>
          <w:shd w:fill="FFFFFF" w:val="clear"/>
        </w:rPr>
        <w:t>s Board of Directors. Management believes that the terms of the arrangement are equivalent to those prevailing in an arm</w:t>
      </w:r>
      <w:r>
        <w:rPr>
          <w:color w:val="000000"/>
        </w:rPr>
        <w:t>’</w:t>
      </w:r>
      <w:r>
        <w:rPr>
          <w:rFonts w:ascii="Times New Roman;serif" w:hAnsi="Times New Roman;serif"/>
          <w:b w:val="false"/>
          <w:color w:val="000000"/>
          <w:sz w:val="20"/>
          <w:shd w:fill="FFFFFF" w:val="clear"/>
        </w:rPr>
        <w:t>s-length transaction and have been approved by the Audit Committee of the Company</w:t>
      </w:r>
      <w:r>
        <w:rPr>
          <w:color w:val="000000"/>
        </w:rPr>
        <w:t>’</w:t>
      </w:r>
      <w:r>
        <w:rPr>
          <w:rFonts w:ascii="Times New Roman;serif" w:hAnsi="Times New Roman;serif"/>
          <w:b w:val="false"/>
          <w:color w:val="000000"/>
          <w:sz w:val="20"/>
          <w:shd w:fill="FFFFFF" w:val="clear"/>
        </w:rPr>
        <w:t>s Board of Directors through the Company</w:t>
      </w:r>
      <w:r>
        <w:rPr>
          <w:color w:val="000000"/>
        </w:rPr>
        <w:t>’</w:t>
      </w:r>
      <w:r>
        <w:rPr>
          <w:rFonts w:ascii="Times New Roman;serif" w:hAnsi="Times New Roman;serif"/>
          <w:b w:val="false"/>
          <w:color w:val="000000"/>
          <w:sz w:val="20"/>
          <w:shd w:fill="FFFFFF" w:val="clear"/>
        </w:rPr>
        <w:t xml:space="preserve">s related party transaction approval process. The digital marketing firm manages a limited number of digital publishers covering various Company brands for a monthly management fee. During the three months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and 2025, the Company incurr</w:t>
      </w:r>
      <w:r>
        <w:rPr>
          <w:rFonts w:ascii="Times New Roman;serif" w:hAnsi="Times New Roman;serif"/>
          <w:b w:val="false"/>
          <w:color w:val="000000"/>
          <w:sz w:val="20"/>
        </w:rPr>
        <w:t>ed an immaterial amount in expenses and had an immaterial payab</w:t>
      </w:r>
      <w:r>
        <w:rPr>
          <w:rFonts w:ascii="Times New Roman;serif" w:hAnsi="Times New Roman;serif"/>
          <w:b w:val="false"/>
          <w:color w:val="000000"/>
          <w:sz w:val="20"/>
          <w:shd w:fill="FFFFFF" w:val="clear"/>
        </w:rPr>
        <w:t xml:space="preserve">le balance at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provides services to entities that are affiliated with certain members of the Company’s Board of Directors. Management believes that the services were conducted on terms equivalent to those prevailing in an arm’s-length transaction. Revenue related to these transactions was $2.7 million and $2.0 million for the three months ended March 31, 2026 and 2025, respectively. Accounts receivable due from these entities were an immaterial amount at March 31, 2026 and December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April 2026, the Company entered into a twelve</w:t>
        <w:noBreakHyphen/>
        <w:t>month contract with a firm related to a former employee, who is the son</w:t>
        <w:noBreakHyphen/>
        <w:t>in</w:t>
        <w:noBreakHyphen/>
        <w:t xml:space="preserve">law of the Company’s President, Chief Executive Officer, and Chairman of the Board of Directors. The contract has an estimated value of $135,000, 50% of which will be paid in lieu of severance. </w:t>
      </w:r>
      <w:r>
        <w:rPr>
          <w:rFonts w:ascii="Times New Roman;serif" w:hAnsi="Times New Roman;serif"/>
          <w:b w:val="false"/>
          <w:color w:val="000000"/>
          <w:sz w:val="20"/>
          <w:shd w:fill="FFFFFF" w:val="clear"/>
        </w:rPr>
        <w:t>Management believes that the terms of the contract are equivalent to those prevailing in an arm</w:t>
      </w:r>
      <w:r>
        <w:rPr>
          <w:color w:val="000000"/>
        </w:rPr>
        <w:t>’</w:t>
      </w:r>
      <w:r>
        <w:rPr>
          <w:rFonts w:ascii="Times New Roman;serif" w:hAnsi="Times New Roman;serif"/>
          <w:b w:val="false"/>
          <w:color w:val="000000"/>
          <w:sz w:val="20"/>
          <w:shd w:fill="FFFFFF" w:val="clear"/>
        </w:rPr>
        <w:t>s-length transaction and have been approved by the Audit Committee of the Company</w:t>
      </w:r>
      <w:r>
        <w:rPr>
          <w:color w:val="000000"/>
        </w:rPr>
        <w:t>’</w:t>
      </w:r>
      <w:r>
        <w:rPr>
          <w:rFonts w:ascii="Times New Roman;serif" w:hAnsi="Times New Roman;serif"/>
          <w:b w:val="false"/>
          <w:color w:val="000000"/>
          <w:sz w:val="20"/>
          <w:shd w:fill="FFFFFF" w:val="clear"/>
        </w:rPr>
        <w:t>s Board of Directors through the Company</w:t>
      </w:r>
      <w:r>
        <w:rPr>
          <w:color w:val="000000"/>
        </w:rPr>
        <w:t>’</w:t>
      </w:r>
      <w:r>
        <w:rPr>
          <w:rFonts w:ascii="Times New Roman;serif" w:hAnsi="Times New Roman;serif"/>
          <w:b w:val="false"/>
          <w:color w:val="000000"/>
          <w:sz w:val="20"/>
          <w:shd w:fill="FFFFFF" w:val="clear"/>
        </w:rPr>
        <w:t>s related party transaction approval process.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SUBSEQUENT EVENT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6, 2026, the Company entered into the Merger Agreement with Parent and Merger Sub, pursuant to which Merger Sub will merge with and into the Company, with the Company surviving as a wholly owned subsidiary of Parent.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set forth in the Merger Agreement, at the effective time of the Merger (Effective Time), each share of common stock of the Company (each, a Company Common Share) (excluding (i) Company Common Shares held by the Company as treasury shares or owned by Parent, Merger Sub or any other subsidiary of Parent immediately prior to the Effective Time and (ii) Dissenting Company Shares (as defined in the Merger Agreement)), issued and outstanding immediately prior to the Effective Time will automatically be converted into the right to receive $13.25 in cash, without interest (Merger Consideration).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Merger Agreement, at or immediately prior to the Effective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Each restricted stock award with respect to Company Common Shares that is subject solely to service-based vesting conditions (each, a Company Restricted Stock Award) that is outstanding immediately prior to the Effective Time (subject to limited exceptions for certain equity awards issued prior to the Closing (as defined below)) will, automatically and without any action on behalf of the holder thereof, be fully vested, canceled and converted into the right to receive an amount in cash equal to (i) the number of Company Common Shares subject to such Company Restricted Stock Award immediately prior to the Effective Time </w:t>
      </w:r>
      <w:r>
        <w:rPr>
          <w:rFonts w:ascii="Times New Roman;serif" w:hAnsi="Times New Roman;serif"/>
          <w:b w:val="false"/>
          <w:i/>
          <w:color w:val="000000"/>
          <w:sz w:val="20"/>
        </w:rPr>
        <w:t xml:space="preserve">multiplied </w:t>
      </w:r>
      <w:r>
        <w:rPr>
          <w:rFonts w:ascii="Times New Roman;serif" w:hAnsi="Times New Roman;serif"/>
          <w:b w:val="false"/>
          <w:color w:val="000000"/>
          <w:sz w:val="20"/>
        </w:rPr>
        <w:t>by (ii) the Merger Consideration, and will be paid at or as soon as practicable after the Effective Time, and will be subject to any applicable withholding;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Each restricted stock award with respect to Company Common Shares that is subject to service- and performance-based vesting conditions (each, a Company Performance Stock Award) that is outstanding immediately prior to the Effective Time will, automatically and without any action on behalf of the holder thereof, be treated as follows: each Company Performance Stock Award shall be vested with performance as of immediately prior to the Effective Time to be deemed to be achieved at the greater of target performance and actual performance (each, a Vested Company Performance Stock Award), and each such Vested Company Performance Stock Award will be canceled and converted into the right to receive an amount in cash equal to (A) the number of Company Common Shares subject to such Vested Company Performance Stock Award immediately prior to the Effective Time (after taking into account the performance in the manner set forth above) </w:t>
      </w:r>
      <w:r>
        <w:rPr>
          <w:rFonts w:ascii="Times New Roman;serif" w:hAnsi="Times New Roman;serif"/>
          <w:b w:val="false"/>
          <w:i/>
          <w:color w:val="000000"/>
          <w:sz w:val="20"/>
        </w:rPr>
        <w:t xml:space="preserve">multiplied </w:t>
      </w:r>
      <w:r>
        <w:rPr>
          <w:rFonts w:ascii="Times New Roman;serif" w:hAnsi="Times New Roman;serif"/>
          <w:b w:val="false"/>
          <w:color w:val="000000"/>
          <w:sz w:val="20"/>
        </w:rPr>
        <w:t>by (B) the Merger Consideration, and will be paid at or as soon as practicable after the Effective Time, and will be subject to any applicable withholding.</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Merger is consummated, the Company’s securities will be delisted from the Nasdaq Global Select Market and deregistered under the Securities Exchange Act of 1934, as amended, as promptly as practicable after the Effective Time.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consummation of the Merger (Closing) is subject to certain customary mutual conditions, including (i) the approval of the Company’s stockholders holding a majority of the voting power of the outstanding Company Common Shares entitled to vote on the adoption of the Merger Agreement, voting together as a single class (Company Stockholder Approval), (ii) the absence of any order or law issued by any governmental authority prohibiting, rendering illegal or permanently enjoining the consummation of the Merger (a Legal Restraint), and (iii) the expiration or termination of any waiting period (or extensions thereof) applicable to the consummation of the Merger under the Hart-Scott-Rodino Antitrust Improvements Act of 1976 and any commitment to, or agreement with, any governmental authority to delay or not consummate the Merger or any of the transactions contemplated by the Merger Agreement. The Merger is not subject to a financing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and Parent have each made customary representations, warranties, and covenants in the Merger Agreement. Subject to certain exceptions, the Company has agreed, among other things, to covenants relating to the conduct of its business during the interim period between the execution of the Merger Agreement and Closing.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Merger Agreement contains certain customary termination rights for the Company and Parent. Parent and the Company may agree to terminate the Merger Agreement by mutual written consent. Either the Company or Parent may terminate the Merger Agreement if (i) the Merger has not been consummated on or before October 6, 2026 (End Date), with up to two automatic 3-month extensions to January 6, 2027 and April 6, 2027, respectively, if all other conditions to the Merger are satisfied or waived and the applicable waiting period under the HSR Act has not expired or if an order prohibiting the Merger or, solely with respect to the HSR Act or the Clayton Antitrust Act of 1914, the Locums Transaction has taken effect, (ii) any Legal Restraint rendering illegal or permanently enjoining the consummation of the Merger is in place and such order shall have become final and non-appealable, (iii) the Company Stockholder Approval is not obtained at the Company’s stockholders meeting at which a vote on the adoption of the Merger Agreement is held, or (iv) the other party breaches any representation, warranty, or covenant that results in the failure of the related closing condition to be satisfied, subject to a cure period in certain circumstances.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pay to Parent a one-time fee equal to $14,213,075 if the Merger Agreement is terminated (i) by the Company in order for the Company to enter into a definitive written agreement with respect to an unsolicited superior acquisition proposal, (ii) by Parent because the Board changes or adversely modifies its recommendation that the Company’s stockholders vote in favor of adopting the Merger Agreement, or (iii) (a) prior to the receipt of the Company Stockholder Approval, by either party due to failure to close by the End Date, (b) by either party due to failure to obtain the Company Stockholder Approval or (c) by Parent in connection with the Company (1) breaching its obligations under the “no-shop” provisions or related to the Company’s stockholders meeting prior to the receipt of the Company Stockholder Approval, or (2) breaching its representations, warranties, or covenants in a manner that would cause the related closing conditions to not be satisfied (subject to a cure period in certain circumstances).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Parent is required to pay to the Company a one-time fee equal to $14,213,075 if the Merger Agreement is terminated by the Company or Parent due to (i) failure to close by the End Date if, at the time of such termination, any Legal Restraint related to antitrust laws is in place or the required antitrust approvals have not been received, (ii) failure to close due to a Legal Restraint related to antitrust laws being in place if, at the time of such termination, all other closing conditions of Parent are satisfied, or (iii) a material breach by Parent of its obligations to obtain antitrust approval.</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Annual Report on Form 10-K for the year ended December 31, 2025 (2025 Form 10-K) (including Part I, Item 1A. “Risk Factors”), our financial statements and the accompanying notes to our financial statements.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Workforce Solutions Group, Inc. (WSG) and Mint Medical Physician Staffing, LP and Lotus Medical Staffing LLC (collectively, Mint).</w:t>
      </w:r>
    </w:p>
    <w:p>
      <w:pPr>
        <w:pStyle w:val="TextBody"/>
        <w:bidi w:val="0"/>
        <w:spacing w:lineRule="auto" w:line="288" w:before="0" w:after="120"/>
        <w:jc w:val="both"/>
        <w:rPr/>
      </w:pPr>
      <w:r>
        <w:rPr>
          <w:rFonts w:ascii="Times New Roman;serif" w:hAnsi="Times New Roman;serif"/>
          <w:b w:val="false"/>
          <w:color w:val="000000"/>
          <w:sz w:val="20"/>
        </w:rPr>
        <w:t xml:space="preserve">Our workforce solutions include managed service programs (MSPs), vendor management systems (VMS), caregiver services to PACE programs (home based PACE services), education health services, recruitment process outsourcing (RPO), project management, and other outsourcing and consultative services as described in Item 1. </w:t>
      </w:r>
      <w:r>
        <w:rPr>
          <w:color w:val="000000"/>
          <w:shd w:fill="FFFFFF" w:val="clear"/>
        </w:rPr>
        <w:t>“</w:t>
      </w:r>
      <w:r>
        <w:rPr>
          <w:rFonts w:ascii="Times New Roman;serif" w:hAnsi="Times New Roman;serif"/>
          <w:b w:val="false"/>
          <w:color w:val="000000"/>
          <w:sz w:val="20"/>
        </w:rPr>
        <w:t>Business</w:t>
      </w:r>
      <w:r>
        <w:rPr>
          <w:color w:val="000000"/>
          <w:shd w:fill="FFFFFF" w:val="clear"/>
        </w:rPr>
        <w:t xml:space="preserve">” </w:t>
      </w:r>
      <w:r>
        <w:rPr>
          <w:rFonts w:ascii="Times New Roman;serif" w:hAnsi="Times New Roman;serif"/>
          <w:b w:val="false"/>
          <w:color w:val="000000"/>
          <w:sz w:val="20"/>
        </w:rPr>
        <w:t>in our 2025 Form 10-K.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two reportable segments offer services to its customers as described below:</w:t>
      </w:r>
    </w:p>
    <w:p>
      <w:pPr>
        <w:pStyle w:val="TextBody"/>
        <w:bidi w:val="0"/>
        <w:spacing w:lineRule="auto" w:line="288" w:before="0" w:after="120"/>
        <w:ind w:left="0" w:right="0" w:hanging="360"/>
        <w:jc w:val="both"/>
        <w:rPr/>
      </w:pPr>
      <w:r>
        <w:rPr>
          <w:color w:val="000000"/>
        </w:rPr>
        <w:t>●    </w:t>
      </w:r>
      <w:r>
        <w:rPr>
          <w:rFonts w:ascii="Times New Roman;serif" w:hAnsi="Times New Roman;serif"/>
          <w:b w:val="false"/>
          <w:i/>
          <w:color w:val="000000"/>
          <w:sz w:val="20"/>
        </w:rPr>
        <w:t>Nurse and Allied Staffing</w:t>
      </w:r>
      <w:r>
        <w:rPr>
          <w:color w:val="000000"/>
        </w:rPr>
        <w:t xml:space="preserve"> – </w:t>
      </w:r>
      <w:r>
        <w:rPr>
          <w:rFonts w:ascii="Times New Roman;serif" w:hAnsi="Times New Roman;serif"/>
          <w:b w:val="false"/>
          <w:color w:val="000000"/>
          <w:sz w:val="20"/>
        </w:rPr>
        <w:t>Nurse and Allied Staffing represented approximately 84% of total revenue in the first quarter of 2026. The Nurse 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customers such as local and national healthcare plans, managed care providers, public and charter schools, correctional facilities, skilled nursing facilities, and other non-acute settings. In addition, Nurse and Allied Staffing provides executive search services for healthcare professionals, as well as contingent search. We provide flexible workforce solutions to our healthcare customers through diversified offerings designed to meet their unique needs, including MSP, RPO, and consulting services. We also offer our Software as a Service (SaaS)-based, proprietary, vendor management technology, Intellify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 facilities to manage all or a portion of their agency services.</w:t>
      </w:r>
    </w:p>
    <w:p>
      <w:pPr>
        <w:pStyle w:val="TextBody"/>
        <w:bidi w:val="0"/>
        <w:spacing w:lineRule="auto" w:line="288" w:before="0" w:after="0"/>
        <w:ind w:left="0" w:right="0" w:hanging="360"/>
        <w:jc w:val="both"/>
        <w:rPr/>
      </w:pPr>
      <w:r>
        <w:rPr>
          <w:color w:val="000000"/>
        </w:rPr>
        <w:t>●    </w:t>
      </w:r>
      <w:r>
        <w:rPr>
          <w:rFonts w:ascii="Times New Roman;serif" w:hAnsi="Times New Roman;serif"/>
          <w:b w:val="false"/>
          <w:i/>
          <w:color w:val="000000"/>
          <w:sz w:val="20"/>
        </w:rPr>
        <w:t>Physician Staffing</w:t>
      </w:r>
      <w:r>
        <w:rPr>
          <w:color w:val="000000"/>
        </w:rPr>
        <w:t xml:space="preserve"> – </w:t>
      </w:r>
      <w:r>
        <w:rPr>
          <w:rFonts w:ascii="Times New Roman;serif" w:hAnsi="Times New Roman;serif"/>
          <w:b w:val="false"/>
          <w:color w:val="000000"/>
          <w:sz w:val="20"/>
        </w:rPr>
        <w:t>Physician Staffing represented approximately 16% of total revenue in the first quarter of 2026. Physician Staffing provides physicians in many specialties, as well as certified registered nurse anesthetists, nurse practitioners, and physician assistants as independent contractors on temporary assignments throughout the United States (U.S.).</w:t>
      </w:r>
    </w:p>
    <w:p>
      <w:pPr>
        <w:pStyle w:val="TextBody"/>
        <w:bidi w:val="0"/>
        <w:spacing w:before="0" w:after="0"/>
        <w:ind w:left="0" w:right="0" w:hanging="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Recent Events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6, 2026, the Company entered into an Agreement and Plan of Merger with KL Criss Cross Intermediate, LLC, a Delaware corporation (Parent), and KL Criss Cross Merger Sub, Inc., a Delaware corporation and a wholly owned subsidiary of Parent (Merger Sub), pursuant to which Merger Sub will merge with and into the Company (Merger), with the Company surviving as a wholly owned subsidiary of Parent. If the Merger is consummated, the Company’s securities will be delisted from the Nasdaq Global Select Market and deregistered under the Securities Exchange Act of 1934, as amended, as promptly as practicable after the effective time of the Merger. For additional information regarding the proposed Merger, see Note 16 – Subsequent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Summary of Operations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the quarter ended March 31, 2026, consolidated revenue decreased 17.8% year-over-year to $241.1 million, primarily due to volume declines in the Nurse and Allied Staffing and Physician Staffing segments. These declines were partly offset by continued growth in Cross Country Community Care, which was up 15.8% over the prior-year period. Net loss attributable to common stockholders in the first quarter of 2026 was $4.3 million, as compared to net loss of $0.5 million for the same period in the prior year.</w:t>
      </w:r>
    </w:p>
    <w:p>
      <w:pPr>
        <w:pStyle w:val="TextBody"/>
        <w:bidi w:val="0"/>
        <w:spacing w:lineRule="auto" w:line="288" w:before="0" w:after="120"/>
        <w:jc w:val="both"/>
        <w:rPr/>
      </w:pPr>
      <w:r>
        <w:rPr>
          <w:rFonts w:ascii="Times New Roman;serif" w:hAnsi="Times New Roman;serif"/>
          <w:b w:val="false"/>
          <w:color w:val="000000"/>
          <w:sz w:val="20"/>
        </w:rPr>
        <w:t>For the three months ended March 31, 2026, cash and cash equivalents totaled $105.6 million. D</w:t>
      </w:r>
      <w:r>
        <w:rPr>
          <w:rFonts w:ascii="Times New Roman;serif" w:hAnsi="Times New Roman;serif"/>
          <w:b w:val="false"/>
          <w:color w:val="000000"/>
          <w:sz w:val="20"/>
          <w:shd w:fill="FFFFFF" w:val="clear"/>
        </w:rPr>
        <w:t xml:space="preserve">uring the first quarter, the Company repurchased </w:t>
      </w:r>
      <w:r>
        <w:rPr>
          <w:rFonts w:ascii="Times New Roman;serif" w:hAnsi="Times New Roman;serif"/>
          <w:b w:val="false"/>
          <w:color w:val="000000"/>
          <w:sz w:val="20"/>
        </w:rPr>
        <w:t>657,653</w:t>
      </w:r>
      <w:r>
        <w:rPr>
          <w:color w:val="000000"/>
          <w:shd w:fill="FFFFFF" w:val="clear"/>
        </w:rPr>
        <w:t xml:space="preserve"> </w:t>
      </w:r>
      <w:r>
        <w:rPr>
          <w:rFonts w:ascii="Times New Roman;serif" w:hAnsi="Times New Roman;serif"/>
          <w:b w:val="false"/>
          <w:color w:val="000000"/>
          <w:sz w:val="20"/>
          <w:shd w:fill="FFFFFF" w:val="clear"/>
        </w:rPr>
        <w:t xml:space="preserve">shares under the Repurchase Program (as defined below). </w:t>
      </w:r>
      <w:r>
        <w:rPr>
          <w:rFonts w:ascii="Times New Roman;serif" w:hAnsi="Times New Roman;serif"/>
          <w:b w:val="false"/>
          <w:color w:val="000000"/>
          <w:sz w:val="20"/>
        </w:rPr>
        <w:t>Cash flow provided by operating activities for the three months ended March 31, 2026 was</w:t>
      </w:r>
      <w:r>
        <w:rPr>
          <w:color w:val="000000"/>
          <w:shd w:fill="FFFFFF" w:val="clear"/>
        </w:rPr>
        <w:t xml:space="preserve"> </w:t>
      </w:r>
      <w:r>
        <w:rPr>
          <w:rFonts w:ascii="Times New Roman;serif" w:hAnsi="Times New Roman;serif"/>
          <w:b w:val="false"/>
          <w:color w:val="000000"/>
          <w:sz w:val="20"/>
        </w:rPr>
        <w:t>$4.8 million. As of March 31, 2026, there were no borrowings drawn under the revolving senior-secured asset-based credit facility (ABL), and borrowing base availability under the ABL was $109.3 million, with $91.0 million of availability net of $18.3 million of letters of credit. See Note 8 - Debt to our condensed consolidated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See Results of Operations, Segment Results, and Liquidity and Capital Resources sections that follow for further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Operating Metrics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generally accepted accounting principles (U.S. GAAP) results for the periods presented. Some of the segment financial results analyzed include revenue, operating expenses, and contribution income. In addition, we monitor cash flow, as well as operating and leverage ratios, to help us assess our liquidity needs.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14"/>
        <w:gridCol w:w="495"/>
        <w:gridCol w:w="497"/>
        <w:gridCol w:w="2514"/>
        <w:gridCol w:w="2514"/>
        <w:gridCol w:w="3571"/>
      </w:tblGrid>
      <w:tr>
        <w:trPr/>
        <w:tc>
          <w:tcPr>
            <w:tcW w:w="61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Segment</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Measurement</w:t>
            </w:r>
          </w:p>
        </w:tc>
      </w:tr>
      <w:tr>
        <w:trPr/>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Nurse and Allied Staffing </w:t>
            </w:r>
          </w:p>
        </w:tc>
        <w:tc>
          <w:tcPr>
            <w:tcW w:w="8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FTEs represent the average number of Nurse and Allied Staffing contract personnel on a full-time equivalent basis.</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Average revenue per FTE per day is calculated by dividing the Nurse and Allied Staffing revenue, excluding permanent placement, per FTE by the number of days worked in the respective periods.</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Physician Staffing</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Days filled is calculated by dividing the total hours invoiced during the period, including an estimate for the impact of accrued revenue, by eight hours.</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Revenue per day filled is calculated by dividing revenue as reported by days filled for the period presented.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for the periods indicated, selected condensed consolidated statements of operations and comprehensive loss data expressed as a percentage of revenue. Our historical results of operations are not necessarily indicative of future operating results.</w:t>
      </w:r>
    </w:p>
    <w:p>
      <w:pPr>
        <w:pStyle w:val="TextBody"/>
        <w:bidi w:val="0"/>
        <w:spacing w:before="0" w:after="0"/>
        <w:jc w:val="left"/>
        <w:rPr/>
      </w:pPr>
      <w:r>
        <w:rPr/>
      </w:r>
    </w:p>
    <w:tbl>
      <w:tblPr>
        <w:tblW w:w="7159" w:type="dxa"/>
        <w:jc w:val="left"/>
        <w:tblInd w:w="0" w:type="dxa"/>
        <w:tblLayout w:type="fixed"/>
        <w:tblCellMar>
          <w:top w:w="28" w:type="dxa"/>
          <w:left w:w="28" w:type="dxa"/>
          <w:bottom w:w="28" w:type="dxa"/>
          <w:right w:w="28" w:type="dxa"/>
        </w:tblCellMar>
      </w:tblPr>
      <w:tblGrid>
        <w:gridCol w:w="1518"/>
        <w:gridCol w:w="1338"/>
        <w:gridCol w:w="1344"/>
        <w:gridCol w:w="352"/>
        <w:gridCol w:w="264"/>
        <w:gridCol w:w="389"/>
        <w:gridCol w:w="156"/>
        <w:gridCol w:w="156"/>
        <w:gridCol w:w="156"/>
        <w:gridCol w:w="352"/>
        <w:gridCol w:w="264"/>
        <w:gridCol w:w="389"/>
        <w:gridCol w:w="109"/>
        <w:gridCol w:w="109"/>
        <w:gridCol w:w="109"/>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integration-related (income) costs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other losses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9"/>
        </w:rPr>
        <w:t>Comparison of Results for the Three Months Ended March 31, 2026 and the Three Months Ended March 31, 2025</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27"/>
        <w:gridCol w:w="1110"/>
        <w:gridCol w:w="1113"/>
        <w:gridCol w:w="211"/>
        <w:gridCol w:w="826"/>
        <w:gridCol w:w="109"/>
        <w:gridCol w:w="109"/>
        <w:gridCol w:w="109"/>
        <w:gridCol w:w="109"/>
        <w:gridCol w:w="211"/>
        <w:gridCol w:w="826"/>
        <w:gridCol w:w="109"/>
        <w:gridCol w:w="109"/>
        <w:gridCol w:w="109"/>
        <w:gridCol w:w="109"/>
        <w:gridCol w:w="306"/>
        <w:gridCol w:w="1141"/>
        <w:gridCol w:w="157"/>
        <w:gridCol w:w="109"/>
        <w:gridCol w:w="109"/>
        <w:gridCol w:w="109"/>
        <w:gridCol w:w="367"/>
        <w:gridCol w:w="345"/>
        <w:gridCol w:w="966"/>
      </w:tblGrid>
      <w:tr>
        <w:trPr/>
        <w:tc>
          <w:tcPr>
            <w:tcW w:w="142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3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r>
      <w:tr>
        <w:trPr/>
        <w:tc>
          <w:tcPr>
            <w:tcW w:w="3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(Amounts in thousands)</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services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3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3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integration-related (income)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other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w:t>
            </w:r>
          </w:p>
        </w:tc>
        <w:tc>
          <w:tcPr>
            <w:tcW w:w="9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3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3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w:t>
            </w:r>
          </w:p>
        </w:tc>
        <w:tc>
          <w:tcPr>
            <w:tcW w:w="9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3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3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3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3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w:t>
            </w:r>
          </w:p>
        </w:tc>
        <w:tc>
          <w:tcPr>
            <w:tcW w:w="9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from services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pPr>
      <w:r>
        <w:rPr>
          <w:rFonts w:ascii="Times New Roman;serif" w:hAnsi="Times New Roman;serif"/>
          <w:b w:val="false"/>
          <w:color w:val="000000"/>
          <w:sz w:val="20"/>
        </w:rPr>
        <w:t xml:space="preserve">Revenue from services decreased 17.8% to $241.1 million for the three months ended March 31, 2026, as compared to $293.4 million for the three months ended March 31, 2025, primarily due to volume declines in the Nurse and Allied Staffing and Physician Staffing segments. </w:t>
      </w:r>
      <w:r>
        <w:rPr>
          <w:rFonts w:ascii="Times New Roman;serif" w:hAnsi="Times New Roman;serif"/>
          <w:b w:val="false"/>
          <w:color w:val="000000"/>
          <w:sz w:val="20"/>
          <w:shd w:fill="FFFFFF" w:val="clear"/>
        </w:rPr>
        <w:t xml:space="preserve">See further discussion in Segment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Direct operating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 operating expenses consist primarily of field employee compensation and independent contractor expenses, housing expenses, travel expenses, and related insurance expenses. Direct operating expenses decreased $41.3 million, or 17.6%, to $193.5 million for the three months ended March 31, 2026, as compared to $234.8 million for the three months ended March 31, 2025, as a result of revenue decreases. As a percentage of total revenue, direct operating expenses increased to 80.3%, as compared to 80.0% in the prior-year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general and administrative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Selling, general and administrative expenses decreased 12.7% to $45.8 million for the three months ended March 31, 2026, as compared to $52.5 million for the three months ended March 31, 2025, primarily due to decreases in compensation and benefit expenses as a result of lower headcount, as well as reductions in variable compensation, professional fees, and marketing expense, partially offset by severance payments and related fees associated with the separation of two officers during the perio</w:t>
      </w:r>
      <w:r>
        <w:rPr>
          <w:rFonts w:ascii="Times New Roman;serif" w:hAnsi="Times New Roman;serif"/>
          <w:b w:val="false"/>
          <w:color w:val="000000"/>
          <w:sz w:val="20"/>
          <w:shd w:fill="FFFFFF" w:val="clear"/>
        </w:rPr>
        <w:t>d</w:t>
      </w:r>
      <w:r>
        <w:rPr>
          <w:rFonts w:ascii="Times New Roman;serif" w:hAnsi="Times New Roman;serif"/>
          <w:b w:val="false"/>
          <w:color w:val="000000"/>
          <w:sz w:val="20"/>
        </w:rPr>
        <w:t xml:space="preserve">, and higher software and hardware costs . As a percentage of total revenue, selling, general and administrative expenses increased to 19.0% for the three months ended March 31, 2026, as compared to 17.9% </w:t>
      </w:r>
      <w:r>
        <w:rPr>
          <w:rFonts w:ascii="Times New Roman;serif" w:hAnsi="Times New Roman;serif"/>
          <w:b w:val="false"/>
          <w:color w:val="000000"/>
          <w:sz w:val="20"/>
          <w:shd w:fill="FFFFFF" w:val="clear"/>
        </w:rPr>
        <w:t>for the three months ended March 31,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Depreciation and amortization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three months ended March 31, 2026 was $3.7 million, as compared to $4.8 million for the three months ended March 31, 2025. As a percentage of revenue, depreciation and amortization expense was 1.5% for the three months ended March 31, 2026 and 1.6% for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Acquisition and integration-related (income)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Acquisition and integration-related costs of </w:t>
      </w:r>
      <w:r>
        <w:rPr>
          <w:rFonts w:ascii="Times New Roman;serif" w:hAnsi="Times New Roman;serif"/>
          <w:b w:val="false"/>
          <w:color w:val="000000"/>
          <w:sz w:val="20"/>
        </w:rPr>
        <w:t>$2.0 million</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March 31, 2025</w:t>
      </w:r>
      <w:r>
        <w:rPr>
          <w:color w:val="000000"/>
          <w:shd w:fill="FFFFFF" w:val="clear"/>
        </w:rPr>
        <w:t xml:space="preserve"> </w:t>
      </w:r>
      <w:r>
        <w:rPr>
          <w:rFonts w:ascii="Times New Roman;serif" w:hAnsi="Times New Roman;serif"/>
          <w:b w:val="false"/>
          <w:color w:val="000000"/>
          <w:sz w:val="20"/>
          <w:shd w:fill="FFFFFF" w:val="clear"/>
        </w:rPr>
        <w:t xml:space="preserve">related primarily to fees associated with the then-pending merger with Aya Healthcare, Inc. (Aya Merger). For the three months ended </w:t>
      </w:r>
      <w:r>
        <w:rPr>
          <w:rFonts w:ascii="Times New Roman;serif" w:hAnsi="Times New Roman;serif"/>
          <w:b w:val="false"/>
          <w:color w:val="000000"/>
          <w:sz w:val="20"/>
        </w:rPr>
        <w:t>March 31, 2026, we recorded a subsequent immaterial credit associated with the termination of the agreement and plan of merger that provided for the Aya Merger.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Restructuring costs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costs of $0.8 million and $0.3 million for the three months ended March 31, 2026 and 2025, respectively, were primarily comprised of employee termination costs. See Note 2 - Summary of Significant Accounting Policies to our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Legal and other losses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the first quarter of 2026, the Company recorded </w:t>
      </w:r>
      <w:r>
        <w:rPr>
          <w:rFonts w:ascii="Times New Roman;serif" w:hAnsi="Times New Roman;serif"/>
          <w:b w:val="false"/>
          <w:color w:val="000000"/>
          <w:sz w:val="20"/>
        </w:rPr>
        <w:t>$1.2 million</w:t>
      </w:r>
      <w:r>
        <w:rPr>
          <w:color w:val="000000"/>
          <w:shd w:fill="FFFFFF" w:val="clear"/>
        </w:rPr>
        <w:t xml:space="preserve"> </w:t>
      </w:r>
      <w:r>
        <w:rPr>
          <w:rFonts w:ascii="Times New Roman;serif" w:hAnsi="Times New Roman;serif"/>
          <w:b w:val="false"/>
          <w:color w:val="000000"/>
          <w:sz w:val="20"/>
          <w:shd w:fill="FFFFFF" w:val="clear"/>
        </w:rPr>
        <w:t xml:space="preserve">in legal fees and settlement charges related to various cases and claims. </w:t>
      </w:r>
      <w:r>
        <w:rPr>
          <w:rFonts w:ascii="Times New Roman;serif" w:hAnsi="Times New Roman;serif"/>
          <w:b w:val="false"/>
          <w:color w:val="000000"/>
          <w:sz w:val="20"/>
        </w:rPr>
        <w:t>There were no such charges during the first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Impairment charges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Non-cash impairment charges for the three months ended March 31, 2026 related to right-of-use assets and related property and equipment in connection with those assets. </w:t>
      </w:r>
      <w:r>
        <w:rPr>
          <w:rFonts w:ascii="Times New Roman;serif" w:hAnsi="Times New Roman;serif"/>
          <w:b w:val="false"/>
          <w:color w:val="000000"/>
          <w:sz w:val="20"/>
        </w:rPr>
        <w:t>There were no such charges during the first quarter of 2025.</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was $1.0 million for the three months ended March 31, 2026, as compared to $0.7 million for the three months ended March 31, 2025, due to higher average cash on hand deposited in interest bearing accounts, partially offset by lower available interest rates during the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Income tax expense (benefit) </w:t>
      </w:r>
    </w:p>
    <w:p>
      <w:pPr>
        <w:pStyle w:val="TextBody"/>
        <w:bidi w:val="0"/>
        <w:spacing w:lineRule="auto" w:line="288" w:before="0" w:after="0"/>
        <w:jc w:val="both"/>
        <w:rPr>
          <w:color w:val="000000"/>
        </w:rPr>
      </w:pPr>
      <w:r>
        <w:rPr>
          <w:color w:val="000000"/>
        </w:rPr>
        <w: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expense totaled $0.5 million for the three months ended March 31, 2026, compared to income tax benefit of $0.4 million for the three months ended March 31, 2025. As a result of the increase in the valuation allowance, income tax expense for the first quarter of 2026 was impacted by international and state taxes. Income tax benefit for the first quarter of 2025 was primarily impacted by the non-deductibility of certain per diem expenses, the officers’ compensation limitation, and international and state taxes. See Note 14 - Income Taxes to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Segment Results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on operating segments and a reconciliation to loss from operations for the periods indicated are as follows: </w:t>
      </w:r>
    </w:p>
    <w:p>
      <w:pPr>
        <w:pStyle w:val="TextBody"/>
        <w:bidi w:val="0"/>
        <w:spacing w:before="0" w:after="0"/>
        <w:jc w:val="left"/>
        <w:rPr/>
      </w:pPr>
      <w:r>
        <w:rPr/>
      </w:r>
    </w:p>
    <w:tbl>
      <w:tblPr>
        <w:tblW w:w="7299" w:type="dxa"/>
        <w:jc w:val="left"/>
        <w:tblInd w:w="0" w:type="dxa"/>
        <w:tblLayout w:type="fixed"/>
        <w:tblCellMar>
          <w:top w:w="28" w:type="dxa"/>
          <w:left w:w="28" w:type="dxa"/>
          <w:bottom w:w="28" w:type="dxa"/>
          <w:right w:w="28" w:type="dxa"/>
        </w:tblCellMar>
      </w:tblPr>
      <w:tblGrid>
        <w:gridCol w:w="1518"/>
        <w:gridCol w:w="1338"/>
        <w:gridCol w:w="1343"/>
        <w:gridCol w:w="211"/>
        <w:gridCol w:w="826"/>
        <w:gridCol w:w="109"/>
        <w:gridCol w:w="109"/>
        <w:gridCol w:w="109"/>
        <w:gridCol w:w="109"/>
        <w:gridCol w:w="211"/>
        <w:gridCol w:w="826"/>
        <w:gridCol w:w="109"/>
        <w:gridCol w:w="109"/>
        <w:gridCol w:w="109"/>
        <w:gridCol w:w="109"/>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Nurse and Allied Staffing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Physician Staffing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Nurse and Allied Staffing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Physician Staffing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overhead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other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integration-related (income)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12 - Segment Data to our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statistical data for our business segments for the periods indicated are as follows:</w:t>
      </w:r>
    </w:p>
    <w:p>
      <w:pPr>
        <w:pStyle w:val="TextBody"/>
        <w:bidi w:val="0"/>
        <w:spacing w:before="0" w:after="0"/>
        <w:jc w:val="left"/>
        <w:rPr/>
      </w:pPr>
      <w:r>
        <w:rPr/>
      </w:r>
    </w:p>
    <w:tbl>
      <w:tblPr>
        <w:tblW w:w="8906" w:type="dxa"/>
        <w:jc w:val="left"/>
        <w:tblInd w:w="0" w:type="dxa"/>
        <w:tblLayout w:type="fixed"/>
        <w:tblCellMar>
          <w:top w:w="28" w:type="dxa"/>
          <w:left w:w="28" w:type="dxa"/>
          <w:bottom w:w="28" w:type="dxa"/>
          <w:right w:w="28" w:type="dxa"/>
        </w:tblCellMar>
      </w:tblPr>
      <w:tblGrid>
        <w:gridCol w:w="1605"/>
        <w:gridCol w:w="1414"/>
        <w:gridCol w:w="1420"/>
        <w:gridCol w:w="201"/>
        <w:gridCol w:w="572"/>
        <w:gridCol w:w="112"/>
        <w:gridCol w:w="109"/>
        <w:gridCol w:w="109"/>
        <w:gridCol w:w="109"/>
        <w:gridCol w:w="201"/>
        <w:gridCol w:w="572"/>
        <w:gridCol w:w="112"/>
        <w:gridCol w:w="109"/>
        <w:gridCol w:w="109"/>
        <w:gridCol w:w="109"/>
        <w:gridCol w:w="205"/>
        <w:gridCol w:w="425"/>
        <w:gridCol w:w="109"/>
        <w:gridCol w:w="109"/>
        <w:gridCol w:w="109"/>
        <w:gridCol w:w="109"/>
        <w:gridCol w:w="269"/>
        <w:gridCol w:w="271"/>
        <w:gridCol w:w="437"/>
      </w:tblGrid>
      <w:tr>
        <w:trPr/>
        <w:tc>
          <w:tcPr>
            <w:tcW w:w="16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Nurse and Allied Staffing statistical data:</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FTEs</w:t>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Average Nurse and Allied Staffing revenue per FTE per day </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Physician Staffing statistical data:</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Days filled </w:t>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Revenue per day filled </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1304" w:type="dxa"/>
            <w:gridSpan w:val="6"/>
            <w:tcBorders/>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See definition of Business Measurements under the Operating Metrics section of the MD&amp;A.</w:t>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Segment Comparison - Three Months Ended March 31, 2026 and Three Months Ended March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Nurse and Allied Staffing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decreased $40.9 million, or 16.9%, to $201.4 million for the three months ended March 31, 2026, as compared to $242.3 million for the three months ended March 31, 2025, driven primarily by a 14.1% decline in professionals on assignment. However, within the segment, Cross Country Community Care experienced year-over-year revenue growth of 15.8%.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Contribution income decreased $4.5 million, or 26.2%, to $12.7 million for the three months ended March 31, 2026, as compared to $17.2 million for the three months ended March 31, 2025. As a percentage of segment revenue, contribution income margin decreased to 6.3% for the three months ended March 31, 2026, as compared to 7.1% for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average number of FTEs on contract during the three months ended March 31, 2026 decreased 14.1% from the three months ended March 31, 2025, primarily due to declines in headcount. The average revenue per FTE per day decreased 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Physician Staffing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decreased $11.5 million, or 22.5%, to $39.6 million for the three months ended March 31, 2026, as compared to $51.1 million for the three months ended March 31, 2025, primarily due to a decrease in billable days.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Contribution income decreased $1.2 million, or 30.8%, to $2.8 million for the three months ended March 31, 2026, as compared to $4.0 million for the three months ended March 31, 2025. As a percentage of segment revenue, contribution income was 7.0% for the three months ended March 31, 2026, as compared to 7.9% for the three months ended March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Total days filled for the three months ended March 31, 2026 decreased 22.1% to 17,688, as compared to 22,692 in the prior-year period. Revenue per day filled was $2,240, as compared with $2,253 in the prior-year perio</w:t>
      </w:r>
      <w:r>
        <w:rPr>
          <w:rFonts w:ascii="Times New Roman;serif" w:hAnsi="Times New Roman;serif"/>
          <w:b w:val="false"/>
          <w:color w:val="000000"/>
          <w:sz w:val="20"/>
          <w:shd w:fill="FFFFFF" w:val="clear"/>
        </w:rPr>
        <w:t>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Corporate Overhead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Corporate overhead includes unallocated executive leadership and other centralized corporate functional support costs, such as finance, IT, legal, and human resources, as well as public company expenses and corporate-wide projects. Corporate overhead decreased to $13.8 million for the three months ended March 31, 2026, from $15.1 million for the three months ended March 31, 2025, primarily due to lower</w:t>
      </w:r>
      <w:r>
        <w:rPr>
          <w:color w:val="000000"/>
          <w:shd w:fill="FFFFFF" w:val="clear"/>
        </w:rPr>
        <w:t xml:space="preserve"> </w:t>
      </w:r>
      <w:r>
        <w:rPr>
          <w:rFonts w:ascii="Times New Roman;serif" w:hAnsi="Times New Roman;serif"/>
          <w:b w:val="false"/>
          <w:color w:val="000000"/>
          <w:sz w:val="20"/>
          <w:shd w:fill="FFFFFF" w:val="clear"/>
        </w:rPr>
        <w:t xml:space="preserve">compensation and benefits expense and reduced professional fees, </w:t>
      </w:r>
      <w:r>
        <w:rPr>
          <w:rFonts w:ascii="Times New Roman;serif" w:hAnsi="Times New Roman;serif"/>
          <w:b w:val="false"/>
          <w:color w:val="000000"/>
          <w:sz w:val="20"/>
        </w:rPr>
        <w:t>partially offset by severance payments and related fees associated with the separation of two officers during the perio</w:t>
      </w:r>
      <w:r>
        <w:rPr>
          <w:rFonts w:ascii="Times New Roman;serif" w:hAnsi="Times New Roman;serif"/>
          <w:b w:val="false"/>
          <w:color w:val="000000"/>
          <w:sz w:val="20"/>
          <w:shd w:fill="FFFFFF" w:val="clear"/>
        </w:rPr>
        <w:t>d.</w:t>
      </w:r>
      <w:r>
        <w:rPr>
          <w:color w:val="000000"/>
        </w:rPr>
        <w:t xml:space="preserve"> </w:t>
      </w:r>
      <w:r>
        <w:rPr>
          <w:rFonts w:ascii="Times New Roman;serif" w:hAnsi="Times New Roman;serif"/>
          <w:b w:val="false"/>
          <w:color w:val="000000"/>
          <w:sz w:val="20"/>
        </w:rPr>
        <w:t>As a percentage of consolidated revenue, corporate overhead was 5.7% and 5.2% for the three months ended March 31, 2026 and 2025, respectively.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As of March 31, 2026, we reported $105.6 million in cash and cash equivalents, which is adequate to meet our short-term and long-term operations, with no borrowings drawn under the ABL. Working capital decreased by $8.1 million to $207.7 million as of March 31, 2026, as compared to $215.8 million as of December 31, 2025, primarily due to the timing of disbursements, partially offset by an increase in net receivables. As of March 31, 2026, days</w:t>
      </w:r>
      <w:r>
        <w:rPr>
          <w:color w:val="000000"/>
          <w:shd w:fill="FFFFFF" w:val="clear"/>
        </w:rPr>
        <w:t>’</w:t>
      </w:r>
      <w:r>
        <w:rPr>
          <w:color w:val="000000"/>
        </w:rPr>
        <w:t xml:space="preserve"> </w:t>
      </w:r>
      <w:r>
        <w:rPr>
          <w:rFonts w:ascii="Times New Roman;serif" w:hAnsi="Times New Roman;serif"/>
          <w:b w:val="false"/>
          <w:color w:val="000000"/>
          <w:sz w:val="20"/>
        </w:rPr>
        <w:t>sales outstanding, net of amounts owed to subcontractors, was 56 days, down one day year-ov</w:t>
      </w:r>
      <w:r>
        <w:rPr>
          <w:rFonts w:ascii="Times New Roman;serif" w:hAnsi="Times New Roman;serif"/>
          <w:b w:val="false"/>
          <w:color w:val="000000"/>
          <w:sz w:val="20"/>
          <w:shd w:fill="FFFFFF" w:val="clear"/>
        </w:rPr>
        <w:t xml:space="preserve">er-year and two days sequentially.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we did not have any 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 meet our future cash needs from a combination of cash on hand, operating cash flows, and funds available through the ABL. See debt discussion which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May 1, 2023, the Company’s Board of Directors authorized approximately $59.0 million in additional share repurchases, such that, effective for trades made after May 3, 2023, the aggregate amount available for stock repurchases was set at $100.0 million (the Repurchase Program). </w:t>
      </w:r>
      <w:r>
        <w:rPr>
          <w:rFonts w:ascii="Times New Roman;serif" w:hAnsi="Times New Roman;serif"/>
          <w:b w:val="false"/>
          <w:color w:val="000000"/>
          <w:sz w:val="20"/>
          <w:shd w:fill="FFFFFF" w:val="clear"/>
        </w:rPr>
        <w:t xml:space="preserve">In the fourth quarter of 2025, we entered into a Rule 10b5-1 Repurchase Plan to allow for share repurchases during the Company’s blackout periods, beginning on December 16, 2025 and effective through November 4, 2026. </w:t>
      </w:r>
      <w:r>
        <w:rPr>
          <w:rFonts w:ascii="Times New Roman;serif" w:hAnsi="Times New Roman;serif"/>
          <w:b w:val="false"/>
          <w:color w:val="000000"/>
          <w:sz w:val="20"/>
        </w:rPr>
        <w:t xml:space="preserve">During the three months ended March 31, 2026, we repurchased and retired a total of 657,653 shares of common stock for $5.8 million, at an average price of $8.86 per share. During the three months ended March 31, 2025, we did not repurchase any shares of our common stock, but did pay $0.3 million in excise tax related to previous share repurchases.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$28.1 million remaining for share repurchase under the Repurchase Program, subject to certain conditions in the Loan Agreement (as defined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$0.9 million to $4.8 million for the three months ended March 31, 2026, as compared to $5.7 million for the three months ended March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$1.5 million for the three months ended March 31, 2026, as compared to $1.9 million for the three months ended March 31, 2025, for capital expenditures in both years.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during the three months ended March 31, 2026 was $6.5 million, as compared to $4.7 million during the three months ended March 31, 2025. During the three months ended March 31, 2026, we used cash to pay $0.6 million for income taxes on share-based compensation and $5.9 million for share repurchases. During the three months ended March 31, 2025, we used cash to pay $0.3 million for excise tax related to previous share repurchases and $4.4 million for contingent consideration.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Debt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2019 Asset-Based Loan Agreement</w:t>
      </w:r>
      <w:r>
        <w:rPr>
          <w:color w:val="000000"/>
        </w:rPr>
        <w:t xml:space="preserve">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October 25, 2019, the prior senior credit facility entered into in August 2017 was replaced by a $120.0 million asset-based loan agreement (Loan Agreement), which provided for a five-year senior secured revolving credit facility. On June 30, 2020, we amended the Loan Agreement, which increased the current aggregate committed size of the ABL from $120.0 million to $130.0 million. All other terms, conditions, covenants, and pricing of the Loan Agreement remained the same. On March 8, 2021, we amended the Loan Agreement, which increased the current aggregate committed size of the ABL from $130.0 million to $150.0 million, increased certain borrowing base sub-limits, and decreased both the cash dominion event and financial reporting triggers. On June 8, 2021, we amended the Loan Agreement, which permitted the incurrence of indebtedness and grant of security as set forth in the Loan Agreement and in accordance with the Intercreditor Agreement, and provides mechanics relating to a transition away from London Interbank Offered Rate as a benchmark interest rate to a replacement alternative benchmark rate or mechanism for loans made in U.S. dollars. On November 18, 2021, we amended the Loan Agreement, whereby the Permitted Indebtedness (as defined in the Loan Agreement) was increased to $175.0 million. On March 21, 2022, we amended the Loan Agreement,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the Secured Overnight Financing Rate (SOFR) or Base Rate (as defined in the Loan Agreement), at the election of the borrowers, plus an applicable margin. On September 29, 2023, we amended the Loan Agreement, which changed the minimum fixed charge coverage ratio from a maintenance covenant to a springing covenant based on excess availability. On July 29, 2024, we amended the Loan Agreement, which allows for all share repurchases paid in cash prior to June 30, 2024 and thereafter to be excluded as restricted payments in the fixed charge coverage ratio calculation if there is no revolving ABL balance. </w:t>
      </w:r>
    </w:p>
    <w:p>
      <w:pPr>
        <w:pStyle w:val="TextBody"/>
        <w:bidi w:val="0"/>
        <w:spacing w:lineRule="auto" w:line="288" w:before="0" w:after="0"/>
        <w:jc w:val="both"/>
        <w:rPr/>
      </w:pPr>
      <w:r>
        <w:rPr>
          <w:rFonts w:ascii="Times New Roman;serif" w:hAnsi="Times New Roman;serif"/>
          <w:b w:val="false"/>
          <w:color w:val="000000"/>
          <w:sz w:val="20"/>
        </w:rPr>
        <w:t>As of March 31, 2026, the interest rate spreads and fees under the ABL were based on SOFR plus 2.10% for the revolving portion of the borrowing base. The Base Rate margin would have been 1.00% for the revolving portion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SOFR and Base Rate margins are subject to monthly adjustments, pursuant to a pricing matrix based on our excess availability under the revolving credit facility. In addition, the facility is subject to an unused line fee, letter of credit fees, and an administrative fee. Borrowing base availability under the ABL was $109.3 million as of March 31, 2026, with no borrowings drawn and $91.0 million of availability net of $18.3 million of letters of credit outstanding. For the three months ended March 31, 2026, the excess availability did not fall below the stated threshold and, as a result, there was no covenant compliance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8 - Debt to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remain consistent with those reported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variable interest rate risk associated with our Loan Agreement entered into on October 25, 2019. This agreement charges interest at a rate based on either SOFR or Base Rate (as defined in the Loan Agreement) plus an applicable margin.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 1.0% change in interest rates would have resulted in interest expense fluctuating an </w:t>
      </w:r>
      <w:r>
        <w:rPr>
          <w:rFonts w:ascii="Times New Roman;serif" w:hAnsi="Times New Roman;serif"/>
          <w:b w:val="false"/>
          <w:color w:val="000000"/>
          <w:sz w:val="20"/>
          <w:shd w:fill="FFFFFF" w:val="clear"/>
        </w:rPr>
        <w:t>immaterial a</w:t>
      </w:r>
      <w:r>
        <w:rPr>
          <w:rFonts w:ascii="Times New Roman;serif" w:hAnsi="Times New Roman;serif"/>
          <w:b w:val="false"/>
          <w:color w:val="000000"/>
          <w:sz w:val="20"/>
        </w:rPr>
        <w:t>mount for the three months ended March 31, 2026 and 2025, respectively. See</w:t>
      </w:r>
      <w:r>
        <w:rPr>
          <w:color w:val="000000"/>
        </w:rPr>
        <w:t xml:space="preserve"> </w:t>
      </w:r>
      <w:r>
        <w:rPr>
          <w:rFonts w:ascii="Times New Roman;serif" w:hAnsi="Times New Roman;serif"/>
          <w:b w:val="false"/>
          <w:color w:val="000000"/>
          <w:sz w:val="20"/>
        </w:rPr>
        <w:t>Note 8 - Debt to our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other exposures as disclosed in our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were effective as of the end of the period covered by this quarterly report.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Information with respect to certain legal proceedings is included in Part I, Item 1, Note 13 - Contingencies - </w:t>
      </w:r>
      <w:r>
        <w:rPr>
          <w:rFonts w:ascii="Times New Roman;serif" w:hAnsi="Times New Roman;serif"/>
          <w:b w:val="false"/>
          <w:i/>
          <w:color w:val="000000"/>
          <w:sz w:val="20"/>
          <w:shd w:fill="FFFFFF" w:val="clear"/>
        </w:rPr>
        <w:t>Legal Proceedings</w:t>
      </w:r>
      <w:r>
        <w:rPr>
          <w:color w:val="000000"/>
          <w:shd w:fill="FFFFFF" w:val="clear"/>
        </w:rPr>
        <w:t xml:space="preserve"> </w:t>
      </w:r>
      <w:r>
        <w:rPr>
          <w:rFonts w:ascii="Times New Roman;serif" w:hAnsi="Times New Roman;serif"/>
          <w:b w:val="false"/>
          <w:color w:val="000000"/>
          <w:sz w:val="20"/>
          <w:shd w:fill="FFFFFF" w:val="clear"/>
        </w:rPr>
        <w:t>of this Quarterly Report on Form 10-Q, and is incorporated herein by reference.</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set forth above in Information Relating to Forward-Looking Statements, there have been no material changes to the risk factors previously disclosed in Part I, Item 1A of the Company’s 2025 Form 10</w:t>
        <w:noBreakHyphen/>
        <w:t>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Issuer Purchases of Equity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shares purchased, the average price paid per share, the total number of shares purchased as part of publicly announced programs, and the approximate dollar value of shares that may yet be purchased under the programs during each month in the first quarter ended March 31, 2026. See Note 11 - Stockholders’ Equity contained in “Notes to Condensed Consolidated Financial Statements” in Part I, Item 1 of this Quarterly Report on Form 10-Q for additional information.</w:t>
      </w:r>
    </w:p>
    <w:tbl>
      <w:tblPr>
        <w:tblW w:w="10205" w:type="dxa"/>
        <w:jc w:val="left"/>
        <w:tblInd w:w="0" w:type="dxa"/>
        <w:tblLayout w:type="fixed"/>
        <w:tblCellMar>
          <w:top w:w="28" w:type="dxa"/>
          <w:left w:w="28" w:type="dxa"/>
          <w:bottom w:w="28" w:type="dxa"/>
          <w:right w:w="28" w:type="dxa"/>
        </w:tblCellMar>
      </w:tblPr>
      <w:tblGrid>
        <w:gridCol w:w="477"/>
        <w:gridCol w:w="365"/>
        <w:gridCol w:w="370"/>
        <w:gridCol w:w="109"/>
        <w:gridCol w:w="109"/>
        <w:gridCol w:w="109"/>
        <w:gridCol w:w="604"/>
        <w:gridCol w:w="440"/>
        <w:gridCol w:w="441"/>
        <w:gridCol w:w="109"/>
        <w:gridCol w:w="109"/>
        <w:gridCol w:w="109"/>
        <w:gridCol w:w="370"/>
        <w:gridCol w:w="370"/>
        <w:gridCol w:w="371"/>
        <w:gridCol w:w="109"/>
        <w:gridCol w:w="109"/>
        <w:gridCol w:w="109"/>
        <w:gridCol w:w="852"/>
        <w:gridCol w:w="751"/>
        <w:gridCol w:w="753"/>
        <w:gridCol w:w="109"/>
        <w:gridCol w:w="109"/>
        <w:gridCol w:w="109"/>
        <w:gridCol w:w="798"/>
        <w:gridCol w:w="798"/>
        <w:gridCol w:w="1137"/>
      </w:tblGrid>
      <w:tr>
        <w:trPr/>
        <w:tc>
          <w:tcPr>
            <w:tcW w:w="47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12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Total Number of Shares Purchased as Part of Publicly Announced Plans or Programs </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Approximate Maximum Dollar Value of Shares that May Yet Be Purchased Under the Plans or Programs </w:t>
            </w:r>
            <w:r>
              <w:rPr>
                <w:rFonts w:ascii="Times New Roman;serif" w:hAnsi="Times New Roman;serif"/>
                <w:b w:val="false"/>
                <w:color w:val="000000"/>
                <w:sz w:val="13"/>
              </w:rPr>
              <w:t>(b)</w:t>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 value in thousands, except per share data)</w:t>
            </w:r>
          </w:p>
        </w:tc>
      </w:tr>
      <w:tr>
        <w:trPr/>
        <w:tc>
          <w:tcPr>
            <w:tcW w:w="12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through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260,251 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260,251 </w:t>
            </w:r>
          </w:p>
        </w:tc>
        <w:tc>
          <w:tcPr>
            <w:tcW w:w="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w:t>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 through February 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225,810 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w:t>
            </w:r>
          </w:p>
        </w:tc>
      </w:tr>
      <w:tr>
        <w:trPr/>
        <w:tc>
          <w:tcPr>
            <w:tcW w:w="12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 through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171,592 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171,592 </w:t>
            </w:r>
          </w:p>
        </w:tc>
        <w:tc>
          <w:tcPr>
            <w:tcW w:w="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$28,146</w:t>
            </w:r>
          </w:p>
        </w:tc>
      </w:tr>
      <w:tr>
        <w:trPr/>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657,653 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657,653 </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$28,146</w:t>
            </w:r>
          </w:p>
        </w:tc>
      </w:tr>
    </w:tbl>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________________</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Shares were repurchased under the Repurchase Program. The Repurchase Program has no expiration date but may be terminated by the Board of Directors at any time. No shares were purchased other than through publicly announced programs during the periods shown.</w:t>
      </w:r>
    </w:p>
    <w:p>
      <w:pPr>
        <w:pStyle w:val="TextBody"/>
        <w:bidi w:val="0"/>
        <w:spacing w:lineRule="auto" w:line="288" w:before="0" w:after="0"/>
        <w:jc w:val="both"/>
        <w:rPr/>
      </w:pPr>
      <w:r>
        <w:rPr>
          <w:rFonts w:ascii="Times New Roman;serif" w:hAnsi="Times New Roman;serif"/>
          <w:b w:val="false"/>
          <w:color w:val="000000"/>
          <w:sz w:val="13"/>
        </w:rPr>
        <w:t xml:space="preserve">(b) </w:t>
      </w:r>
      <w:r>
        <w:rPr>
          <w:rFonts w:ascii="Times New Roman;serif" w:hAnsi="Times New Roman;serif"/>
          <w:b w:val="false"/>
          <w:color w:val="000000"/>
          <w:sz w:val="20"/>
        </w:rPr>
        <w:t>On May 1, 2023, the Board of Directors authorized an aggregate of $100.0 million in share repurchases under the Repurchase Program. Amounts shown in this column reflect amounts remaining under the Repurchase Program referenced in Note 11 - Stockholders’ Equity to our condensed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hanging="108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previously disclosed in the Company’s Current Report on Form 8-K filed with the SEC on May 6, 2026, the Board has determined to cancel the Company’s 2026 Annual Meeting of Stockholders (2026 Annual Meeting), which was previously scheduled to be held virtually on May 11, 2026, and to withdraw from consideration by the Company’s stockholders the proposals set forth in the proxy statement for the 2026 Annual Meeting filed with the SEC on March 30, 2026, as revised by Amendment No. 1 thereto filed with the SEC on April 2, 2026. </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erif" w:hAnsi="Times New Roman;serif"/>
          <w:b/>
          <w:color w:val="000000"/>
          <w:sz w:val="20"/>
        </w:rPr>
      </w:pPr>
      <w:r>
        <w:rPr>
          <w:rFonts w:ascii="Times New Roman;serif" w:hAnsi="Times New Roman;serif"/>
          <w:b/>
          <w:color w:val="000000"/>
          <w:sz w:val="20"/>
        </w:rPr>
        <w:t>(c) Trading Plans</w:t>
      </w:r>
    </w:p>
    <w:p>
      <w:pPr>
        <w:pStyle w:val="TextBody"/>
        <w:bidi w:val="0"/>
        <w:spacing w:before="0" w:after="0"/>
        <w:ind w:left="0" w:right="0" w:hanging="108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Certain directors and officers (as defined in Rule 16a-1(f) under the Exchange Act) of the Company may execute purchases and sales of the Company’s common stock through Rule 10b5-1 and non-Rule 10b5-1 equity trading plans. Pursuant to Item 408(a) of Regulation S-K, we are required to disclose whether any director or officer adopted or terminated a Rule 10b5-1 </w:t>
      </w:r>
      <w:r>
        <w:rPr>
          <w:rFonts w:ascii="Times New Roman;serif" w:hAnsi="Times New Roman;serif"/>
          <w:b w:val="false"/>
          <w:color w:val="000000"/>
          <w:sz w:val="20"/>
          <w:shd w:fill="FFFFFF" w:val="clear"/>
        </w:rPr>
        <w:t xml:space="preserve">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arrangement or non-Rule 10b5-1 trading arrangement (as that term is defined in Item 408(c) of Regulation S-K) during the most recently completed quarter.</w:t>
      </w:r>
    </w:p>
    <w:p>
      <w:pPr>
        <w:pStyle w:val="TextBody"/>
        <w:bidi w:val="0"/>
        <w:spacing w:before="0" w:after="0"/>
        <w:ind w:left="0" w:right="0" w:hanging="108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neither the Company nor any of its Section 16 officers or directors adopted, modified, or terminated any contract, instruction, or written plan for the purchase or sale of the Company’s securities, under either a Rule 10b5-1 trading arrangement or a non-Rule 10b5-1 trading arrangement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8"/>
        <w:gridCol w:w="254"/>
        <w:gridCol w:w="262"/>
        <w:gridCol w:w="109"/>
        <w:gridCol w:w="109"/>
        <w:gridCol w:w="109"/>
        <w:gridCol w:w="3052"/>
        <w:gridCol w:w="2918"/>
        <w:gridCol w:w="2948"/>
        <w:gridCol w:w="156"/>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Employment Agreement, dated January 2, 2026, by and between Cross Country Healthcare, Inc. and Kevin C. Clark (Previously filed as an exhibit to the Company's Form 8-K dated January 2, 2026 and incorporated by reference herein)</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80"/>
                  <w:sz w:val="20"/>
                  <w:u w:val="single"/>
                </w:rPr>
                <w:t>Letter Agreement, dated March 10, 2026, by and between Cross Country Healthcare, Inc. and Marvin Veizaga (Previously filed as an exhibit to the Company's Form 8-K dated March 10, 20</w:t>
              </w:r>
            </w:hyperlink>
            <w:hyperlink r:id="rId5">
              <w:r>
                <w:rPr>
                  <w:rStyle w:val="InternetLink"/>
                  <w:rFonts w:ascii="Times New Roman;serif" w:hAnsi="Times New Roman;serif"/>
                  <w:b w:val="false"/>
                  <w:color w:val="000080"/>
                  <w:sz w:val="20"/>
                  <w:u w:val="single"/>
                </w:rPr>
                <w:t>2</w:t>
              </w:r>
            </w:hyperlink>
            <w:hyperlink r:id="rId6">
              <w:r>
                <w:rPr>
                  <w:rStyle w:val="InternetLink"/>
                  <w:rFonts w:ascii="Times New Roman;serif" w:hAnsi="Times New Roman;serif"/>
                  <w:b w:val="false"/>
                  <w:color w:val="000080"/>
                  <w:sz w:val="20"/>
                  <w:u w:val="single"/>
                </w:rPr>
                <w:t>6 and incorporated by reference herein)</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80"/>
                  <w:sz w:val="20"/>
                  <w:u w:val="single"/>
                </w:rPr>
                <w:t>Separation Agreement and General Release, dated March 1</w:t>
              </w:r>
            </w:hyperlink>
            <w:hyperlink r:id="rId8">
              <w:r>
                <w:rPr>
                  <w:rStyle w:val="InternetLink"/>
                  <w:rFonts w:ascii="Times New Roman;serif" w:hAnsi="Times New Roman;serif"/>
                  <w:b w:val="false"/>
                  <w:color w:val="000080"/>
                  <w:sz w:val="20"/>
                  <w:u w:val="single"/>
                </w:rPr>
                <w:t>6</w:t>
              </w:r>
            </w:hyperlink>
            <w:hyperlink r:id="rId9">
              <w:r>
                <w:rPr>
                  <w:rStyle w:val="InternetLink"/>
                  <w:rFonts w:ascii="Times New Roman;serif" w:hAnsi="Times New Roman;serif"/>
                  <w:b w:val="false"/>
                  <w:color w:val="000080"/>
                  <w:sz w:val="20"/>
                  <w:u w:val="single"/>
                </w:rPr>
                <w:t>, 2026, by and between Cross Country Healthcare, Inc. and Phil Noe</w:t>
              </w:r>
            </w:hyperlink>
            <w:hyperlink r:id="rId10">
              <w:r>
                <w:rPr>
                  <w:rStyle w:val="InternetLink"/>
                  <w:rFonts w:ascii="Times New Roman;serif" w:hAnsi="Times New Roman;serif"/>
                  <w:b w:val="false"/>
                  <w:color w:val="000080"/>
                  <w:sz w:val="20"/>
                  <w:u w:val="single"/>
                </w:rPr>
                <w:t xml:space="preserve">. </w:t>
              </w:r>
            </w:hyperlink>
            <w:hyperlink r:id="rId11">
              <w:r>
                <w:rPr>
                  <w:rStyle w:val="InternetLink"/>
                  <w:rFonts w:ascii="Times New Roman;serif" w:hAnsi="Times New Roman;serif"/>
                  <w:b w:val="false"/>
                  <w:color w:val="000080"/>
                  <w:sz w:val="20"/>
                  <w:u w:val="single"/>
                </w:rPr>
                <w:t xml:space="preserve">(Previously filed as an exhibit to the Company's Form 8-K dated March </w:t>
              </w:r>
            </w:hyperlink>
            <w:hyperlink r:id="rId12">
              <w:r>
                <w:rPr>
                  <w:rStyle w:val="InternetLink"/>
                  <w:rFonts w:ascii="Times New Roman;serif" w:hAnsi="Times New Roman;serif"/>
                  <w:b w:val="false"/>
                  <w:color w:val="000080"/>
                  <w:sz w:val="20"/>
                  <w:u w:val="single"/>
                </w:rPr>
                <w:t>1</w:t>
              </w:r>
            </w:hyperlink>
            <w:hyperlink r:id="rId13">
              <w:r>
                <w:rPr>
                  <w:rStyle w:val="InternetLink"/>
                  <w:rFonts w:ascii="Times New Roman;serif" w:hAnsi="Times New Roman;serif"/>
                  <w:b w:val="false"/>
                  <w:color w:val="000080"/>
                  <w:sz w:val="20"/>
                  <w:u w:val="single"/>
                </w:rPr>
                <w:t>7</w:t>
              </w:r>
            </w:hyperlink>
            <w:hyperlink r:id="rId14">
              <w:r>
                <w:rPr>
                  <w:rStyle w:val="InternetLink"/>
                  <w:rFonts w:ascii="Times New Roman;serif" w:hAnsi="Times New Roman;serif"/>
                  <w:b w:val="false"/>
                  <w:color w:val="000080"/>
                  <w:sz w:val="20"/>
                  <w:u w:val="single"/>
                </w:rPr>
                <w:t>, 20</w:t>
              </w:r>
            </w:hyperlink>
            <w:hyperlink r:id="rId15">
              <w:r>
                <w:rPr>
                  <w:rStyle w:val="InternetLink"/>
                  <w:rFonts w:ascii="Times New Roman;serif" w:hAnsi="Times New Roman;serif"/>
                  <w:b w:val="false"/>
                  <w:color w:val="000080"/>
                  <w:sz w:val="20"/>
                  <w:u w:val="single"/>
                </w:rPr>
                <w:t>2</w:t>
              </w:r>
            </w:hyperlink>
            <w:hyperlink r:id="rId16">
              <w:r>
                <w:rPr>
                  <w:rStyle w:val="InternetLink"/>
                  <w:rFonts w:ascii="Times New Roman;serif" w:hAnsi="Times New Roman;serif"/>
                  <w:b w:val="false"/>
                  <w:color w:val="000080"/>
                  <w:sz w:val="20"/>
                  <w:u w:val="single"/>
                </w:rPr>
                <w:t>6 and incorporated by reference herein)</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80"/>
                  <w:sz w:val="20"/>
                  <w:u w:val="single"/>
                </w:rPr>
                <w:t>Independent Contractor Agreement, dated March 16, 2026, by and between Cross Country Healthcare, Inc. and Phil Noe</w:t>
              </w:r>
            </w:hyperlink>
            <w:hyperlink r:id="rId18">
              <w:r>
                <w:rPr>
                  <w:rStyle w:val="InternetLink"/>
                  <w:rFonts w:ascii="Times New Roman;serif" w:hAnsi="Times New Roman;serif"/>
                  <w:b w:val="false"/>
                  <w:color w:val="000080"/>
                  <w:sz w:val="20"/>
                  <w:u w:val="single"/>
                </w:rPr>
                <w:t xml:space="preserve">. </w:t>
              </w:r>
            </w:hyperlink>
            <w:hyperlink r:id="rId19">
              <w:r>
                <w:rPr>
                  <w:rStyle w:val="InternetLink"/>
                  <w:rFonts w:ascii="Times New Roman;serif" w:hAnsi="Times New Roman;serif"/>
                  <w:b w:val="false"/>
                  <w:color w:val="000080"/>
                  <w:sz w:val="20"/>
                  <w:u w:val="single"/>
                </w:rPr>
                <w:t xml:space="preserve">(Previously filed as an exhibit to the Company's Form 8-K dated March </w:t>
              </w:r>
            </w:hyperlink>
            <w:hyperlink r:id="rId20">
              <w:r>
                <w:rPr>
                  <w:rStyle w:val="InternetLink"/>
                  <w:rFonts w:ascii="Times New Roman;serif" w:hAnsi="Times New Roman;serif"/>
                  <w:b w:val="false"/>
                  <w:color w:val="000080"/>
                  <w:sz w:val="20"/>
                  <w:u w:val="single"/>
                </w:rPr>
                <w:t>17</w:t>
              </w:r>
            </w:hyperlink>
            <w:hyperlink r:id="rId21">
              <w:r>
                <w:rPr>
                  <w:rStyle w:val="InternetLink"/>
                  <w:rFonts w:ascii="Times New Roman;serif" w:hAnsi="Times New Roman;serif"/>
                  <w:b w:val="false"/>
                  <w:color w:val="000080"/>
                  <w:sz w:val="20"/>
                  <w:u w:val="single"/>
                </w:rPr>
                <w:t>, 20</w:t>
              </w:r>
            </w:hyperlink>
            <w:hyperlink r:id="rId22">
              <w:r>
                <w:rPr>
                  <w:rStyle w:val="InternetLink"/>
                  <w:rFonts w:ascii="Times New Roman;serif" w:hAnsi="Times New Roman;serif"/>
                  <w:b w:val="false"/>
                  <w:color w:val="000080"/>
                  <w:sz w:val="20"/>
                  <w:u w:val="single"/>
                </w:rPr>
                <w:t>2</w:t>
              </w:r>
            </w:hyperlink>
            <w:hyperlink r:id="rId23">
              <w:r>
                <w:rPr>
                  <w:rStyle w:val="InternetLink"/>
                  <w:rFonts w:ascii="Times New Roman;serif" w:hAnsi="Times New Roman;serif"/>
                  <w:b w:val="false"/>
                  <w:color w:val="000080"/>
                  <w:sz w:val="20"/>
                  <w:u w:val="single"/>
                </w:rPr>
                <w:t>6 and incorporated by reference herein)</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crn20260331-10qex31x1.htm">
              <w:r>
                <w:rPr>
                  <w:rStyle w:val="InternetLink"/>
                  <w:rFonts w:ascii="Times New Roman;serif" w:hAnsi="Times New Roman;serif"/>
                  <w:b w:val="false"/>
                  <w:color w:val="0000FF"/>
                  <w:sz w:val="20"/>
                  <w:u w:val="single"/>
                </w:rPr>
                <w:t>Certification Pursuant to Rule 13a-14(a) and Rule 15d-14(a) and pursuant to Section 302 of the Sarbanes-Oxley Act of 2002 by Kevin C. Clark, Chairman, Chief Executive Officer, President (Principal Executive Officer)</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crn20260331-10qex31x2.htm">
              <w:r>
                <w:rPr>
                  <w:rStyle w:val="InternetLink"/>
                  <w:rFonts w:ascii="Times New Roman;serif" w:hAnsi="Times New Roman;serif"/>
                  <w:b w:val="false"/>
                  <w:color w:val="0000FF"/>
                  <w:sz w:val="20"/>
                  <w:u w:val="single"/>
                </w:rPr>
                <w:t>Certification Pursuant to Rule 13a-14(a) and Rule 15d-14(a) and pursuant to Section 302 of the Sarbanes-Oxley Act of 2002 by William J. Burns, Executive Vice President, Chief Financial Officer (Principal Financial Officer)</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crn20260331-10qex32x1.htm">
              <w:r>
                <w:rPr>
                  <w:rStyle w:val="InternetLink"/>
                  <w:rFonts w:ascii="Times New Roman;serif" w:hAnsi="Times New Roman;serif"/>
                  <w:b w:val="false"/>
                  <w:color w:val="000080"/>
                  <w:sz w:val="20"/>
                  <w:u w:val="single"/>
                </w:rPr>
                <w:t xml:space="preserve">Certification </w:t>
              </w:r>
            </w:hyperlink>
            <w:hyperlink w:anchor="ccrn20260331-10qex32x1.htm">
              <w:r>
                <w:rPr>
                  <w:rStyle w:val="InternetLink"/>
                  <w:rFonts w:ascii="Times New Roman;serif" w:hAnsi="Times New Roman;serif"/>
                  <w:b w:val="false"/>
                  <w:color w:val="000080"/>
                  <w:sz w:val="20"/>
                  <w:u w:val="single"/>
                </w:rPr>
                <w:t>P</w:t>
              </w:r>
            </w:hyperlink>
            <w:hyperlink w:anchor="ccrn20260331-10qex32x1.htm">
              <w:r>
                <w:rPr>
                  <w:rStyle w:val="InternetLink"/>
                  <w:rFonts w:ascii="Times New Roman;serif" w:hAnsi="Times New Roman;serif"/>
                  <w:b w:val="false"/>
                  <w:color w:val="000080"/>
                  <w:sz w:val="20"/>
                  <w:u w:val="single"/>
                </w:rPr>
                <w:t>ursuant to 18 U.S.C. Section 1350, as adopted pursuant to Section 906 of the Sarbanes-Oxley Act of 2002, by Kevin C. Clark, Chairman, Chief Executive Officer, President (Principal Executive Officer)</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crn20260331-10qex32x2.htm">
              <w:r>
                <w:rPr>
                  <w:rStyle w:val="InternetLink"/>
                  <w:rFonts w:ascii="Times New Roman;serif" w:hAnsi="Times New Roman;serif"/>
                  <w:b w:val="false"/>
                  <w:color w:val="000080"/>
                  <w:sz w:val="20"/>
                  <w:u w:val="single"/>
                </w:rPr>
                <w:t xml:space="preserve">Certification </w:t>
              </w:r>
            </w:hyperlink>
            <w:hyperlink w:anchor="ccrn20260331-10qex32x2.htm">
              <w:r>
                <w:rPr>
                  <w:rStyle w:val="InternetLink"/>
                  <w:rFonts w:ascii="Times New Roman;serif" w:hAnsi="Times New Roman;serif"/>
                  <w:b w:val="false"/>
                  <w:color w:val="000080"/>
                  <w:sz w:val="20"/>
                  <w:u w:val="single"/>
                </w:rPr>
                <w:t>P</w:t>
              </w:r>
            </w:hyperlink>
            <w:hyperlink w:anchor="ccrn20260331-10qex32x2.htm">
              <w:r>
                <w:rPr>
                  <w:rStyle w:val="InternetLink"/>
                  <w:rFonts w:ascii="Times New Roman;serif" w:hAnsi="Times New Roman;serif"/>
                  <w:b w:val="false"/>
                  <w:color w:val="000080"/>
                  <w:sz w:val="20"/>
                  <w:u w:val="single"/>
                </w:rPr>
                <w:t>ursuant to 18 U.S.C. Section 1350, as adopted pursuant to Section 906 of the Sarbanes-Oxley Act of 2002, by William J. Burns, Executive Vice President, Chief Financial Officer (Principal Financial Officer)</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8"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8"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Represents a management contract or compensatory plan or arrangement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7648" w:type="dxa"/>
        <w:jc w:val="left"/>
        <w:tblInd w:w="0" w:type="dxa"/>
        <w:tblLayout w:type="fixed"/>
        <w:tblCellMar>
          <w:top w:w="28" w:type="dxa"/>
          <w:left w:w="28" w:type="dxa"/>
          <w:bottom w:w="28" w:type="dxa"/>
          <w:right w:w="28" w:type="dxa"/>
        </w:tblCellMar>
      </w:tblPr>
      <w:tblGrid>
        <w:gridCol w:w="591"/>
        <w:gridCol w:w="520"/>
        <w:gridCol w:w="523"/>
        <w:gridCol w:w="575"/>
        <w:gridCol w:w="575"/>
        <w:gridCol w:w="575"/>
        <w:gridCol w:w="1254"/>
        <w:gridCol w:w="1254"/>
        <w:gridCol w:w="178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CROSS COUNTRY HEALTHCARE,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Burns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William J. Burns </w:t>
              <w:br/>
              <w:t>Executive Vice President &amp; 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Kevin C. Clark, certify that:</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Cross Country Healthcare,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20"/>
        <w:jc w:val="both"/>
        <w:rPr/>
      </w:pPr>
      <w:r>
        <w:rPr/>
      </w:r>
    </w:p>
    <w:tbl>
      <w:tblPr>
        <w:tblW w:w="5833"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211"/>
        <w:gridCol w:w="1211"/>
        <w:gridCol w:w="171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Clark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Clark</w:t>
              <w:br/>
              <w:t>Chairman, Chief Executive Officer, and President</w:t>
              <w:b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William J. Burns, certify that: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Cross Country Healthcare,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20"/>
        <w:jc w:val="both"/>
        <w:rPr/>
      </w:pPr>
      <w:r>
        <w:rPr/>
      </w:r>
    </w:p>
    <w:p>
      <w:pPr>
        <w:pStyle w:val="TextBody"/>
        <w:bidi w:val="0"/>
        <w:spacing w:lineRule="auto" w:line="288" w:before="0" w:after="0"/>
        <w:jc w:val="both"/>
        <w:rPr>
          <w:color w:val="000000"/>
        </w:rPr>
      </w:pPr>
      <w:r>
        <w:rPr>
          <w:color w:val="000000"/>
        </w:rPr>
        <w:t> </w:t>
      </w:r>
    </w:p>
    <w:tbl>
      <w:tblPr>
        <w:tblW w:w="829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924"/>
        <w:gridCol w:w="1924"/>
        <w:gridCol w:w="27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Burns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Burns</w:t>
              <w:br/>
              <w:t>Executive Vice President &amp; 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on Form 10-Q of Cross Country Healthcare, Inc. (the Company) for the quarterly period ended March 31, 2026, (the "Periodic Report"), I, Kevin C. Clark, Chairman, Chief Executive Officer, and President of the Company, hereby certify pursuant to 18 U.S.C. Section 1350, as adopted pursuant to Section 906 of the Sarbanes-Oxley Act of 2002, that to my knowledge: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the Periodic Report fully complies with the requirements of Section 13(a) or 15(d) of the Securities Exchange Act of 1934; and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Periodic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5877"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211"/>
        <w:gridCol w:w="1211"/>
        <w:gridCol w:w="171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C. Clark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C. Clark</w:t>
              <w:br/>
              <w:t>Chairman, Chief Executive Officer, and President</w:t>
              <w:br/>
              <w:t>(Principal Executive Officer)</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provided solely for purposes of complying with the provisions of Section 906 of the Sarbanes-Oxley Act of 2002.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accompanying Quarterly Report on Form 10-Q of Cross Country Healthcare, Inc. (the "Company") for the quarterly period ended March 31, 2026, (the "Periodic Report"), I, William J. Burns, Executive Vice President and Chief Financial Officer of the Company, hereby certify pursuant to 18 U.S.C. Section 1350, as adopted pursuant to Section 906 of the Sarbanes-Oxley Act of 2002, that to my knowledge: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 the Periodic Report fully complies with the requirements of Section 13(a) or 15(d) of the Securities Exchange Act of 1934; and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Periodic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829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924"/>
        <w:gridCol w:w="1924"/>
        <w:gridCol w:w="27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Burns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Burns</w:t>
              <w:br/>
              <w:t>Executive Vice President &amp; Chief Financial Officer (Principal Financial Officer)</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provided solely for purposes of complying with the provisions of Section 906 of the Sarbanes-Oxley Act of 2002.</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41103/000162828026000149/cch-ceoemploymentagreement.htm" TargetMode="External"/><Relationship Id="rId4" Type="http://schemas.openxmlformats.org/officeDocument/2006/relationships/hyperlink" Target="https://www.sec.gov/Archives/edgar/data/1141103/000092963826000955/exhibit10-1.htm" TargetMode="External"/><Relationship Id="rId5" Type="http://schemas.openxmlformats.org/officeDocument/2006/relationships/hyperlink" Target="https://www.sec.gov/Archives/edgar/data/1141103/000092963826000955/exhibit10-1.htm" TargetMode="External"/><Relationship Id="rId6" Type="http://schemas.openxmlformats.org/officeDocument/2006/relationships/hyperlink" Target="https://www.sec.gov/Archives/edgar/data/1141103/000092963826000955/exhibit10-1.htm" TargetMode="External"/><Relationship Id="rId7" Type="http://schemas.openxmlformats.org/officeDocument/2006/relationships/hyperlink" Target="https://www.sec.gov/Archives/edgar/data/1141103/000092963826001038/exhibit10-1.htm" TargetMode="External"/><Relationship Id="rId8" Type="http://schemas.openxmlformats.org/officeDocument/2006/relationships/hyperlink" Target="https://www.sec.gov/Archives/edgar/data/1141103/000092963826001038/exhibit10-1.htm" TargetMode="External"/><Relationship Id="rId9" Type="http://schemas.openxmlformats.org/officeDocument/2006/relationships/hyperlink" Target="https://www.sec.gov/Archives/edgar/data/1141103/000092963826001038/exhibit10-1.htm" TargetMode="External"/><Relationship Id="rId10" Type="http://schemas.openxmlformats.org/officeDocument/2006/relationships/hyperlink" Target="https://www.sec.gov/Archives/edgar/data/1141103/000092963826001038/exhibit10-1.htm" TargetMode="External"/><Relationship Id="rId11" Type="http://schemas.openxmlformats.org/officeDocument/2006/relationships/hyperlink" Target="https://www.sec.gov/Archives/edgar/data/1141103/000092963826001038/exhibit10-1.htm" TargetMode="External"/><Relationship Id="rId12" Type="http://schemas.openxmlformats.org/officeDocument/2006/relationships/hyperlink" Target="https://www.sec.gov/Archives/edgar/data/1141103/000092963826001038/exhibit10-1.htm" TargetMode="External"/><Relationship Id="rId13" Type="http://schemas.openxmlformats.org/officeDocument/2006/relationships/hyperlink" Target="https://www.sec.gov/Archives/edgar/data/1141103/000092963826001038/exhibit10-1.htm" TargetMode="External"/><Relationship Id="rId14" Type="http://schemas.openxmlformats.org/officeDocument/2006/relationships/hyperlink" Target="https://www.sec.gov/Archives/edgar/data/1141103/000092963826001038/exhibit10-1.htm" TargetMode="External"/><Relationship Id="rId15" Type="http://schemas.openxmlformats.org/officeDocument/2006/relationships/hyperlink" Target="https://www.sec.gov/Archives/edgar/data/1141103/000092963826001038/exhibit10-1.htm" TargetMode="External"/><Relationship Id="rId16" Type="http://schemas.openxmlformats.org/officeDocument/2006/relationships/hyperlink" Target="https://www.sec.gov/Archives/edgar/data/1141103/000092963826001038/exhibit10-1.htm" TargetMode="External"/><Relationship Id="rId17" Type="http://schemas.openxmlformats.org/officeDocument/2006/relationships/hyperlink" Target="https://www.sec.gov/Archives/edgar/data/1141103/000092963826001038/exhibit10-2.htm" TargetMode="External"/><Relationship Id="rId18" Type="http://schemas.openxmlformats.org/officeDocument/2006/relationships/hyperlink" Target="https://www.sec.gov/Archives/edgar/data/1141103/000092963826001038/exhibit10-2.htm" TargetMode="External"/><Relationship Id="rId19" Type="http://schemas.openxmlformats.org/officeDocument/2006/relationships/hyperlink" Target="https://www.sec.gov/Archives/edgar/data/1141103/000092963826001038/exhibit10-2.htm" TargetMode="External"/><Relationship Id="rId20" Type="http://schemas.openxmlformats.org/officeDocument/2006/relationships/hyperlink" Target="https://www.sec.gov/Archives/edgar/data/1141103/000092963826001038/exhibit10-2.htm" TargetMode="External"/><Relationship Id="rId21" Type="http://schemas.openxmlformats.org/officeDocument/2006/relationships/hyperlink" Target="https://www.sec.gov/Archives/edgar/data/1141103/000092963826001038/exhibit10-2.htm" TargetMode="External"/><Relationship Id="rId22" Type="http://schemas.openxmlformats.org/officeDocument/2006/relationships/hyperlink" Target="https://www.sec.gov/Archives/edgar/data/1141103/000092963826001038/exhibit10-2.htm" TargetMode="External"/><Relationship Id="rId23" Type="http://schemas.openxmlformats.org/officeDocument/2006/relationships/hyperlink" Target="https://www.sec.gov/Archives/edgar/data/1141103/000092963826001038/exhibit10-2.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18351</Words>
  <Characters>102687</Characters>
  <CharactersWithSpaces>120084</CharactersWithSpaces>
  <Paragraphs>1804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