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1" w:lineRule="exact"/>
        <w:rPr>
          <w:sz w:val="24"/>
          <w:szCs w:val="24"/>
          <w:color w:val="auto"/>
        </w:rPr>
      </w:pPr>
    </w:p>
    <w:p>
      <w:pPr>
        <w:ind w:left="900" w:right="2140" w:hanging="874"/>
        <w:spacing w:after="0" w:line="239" w:lineRule="auto"/>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0" w:lineRule="exact"/>
        <w:rPr>
          <w:sz w:val="24"/>
          <w:szCs w:val="24"/>
          <w:color w:val="auto"/>
        </w:rPr>
      </w:pPr>
    </w:p>
    <w:p>
      <w:pPr>
        <w:ind w:left="900" w:right="2200" w:hanging="874"/>
        <w:spacing w:after="0" w:line="239"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139700</wp:posOffset>
            </wp:positionV>
            <wp:extent cx="246888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88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916" w:orient="portrait"/>
          <w:cols w:equalWidth="0" w:num="1">
            <w:col w:w="11140"/>
          </w:cols>
          <w:pgMar w:left="320" w:top="1235" w:right="439" w:bottom="0" w:gutter="0" w:footer="0" w:header="0"/>
        </w:sectPr>
      </w:pPr>
    </w:p>
    <w:p>
      <w:pPr>
        <w:spacing w:after="0" w:line="33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13-4066229</w:t>
      </w:r>
    </w:p>
    <w:p>
      <w:pPr>
        <w:spacing w:after="0" w:line="31" w:lineRule="exact"/>
        <w:rPr>
          <w:sz w:val="24"/>
          <w:szCs w:val="24"/>
          <w:color w:val="auto"/>
        </w:rPr>
      </w:pPr>
    </w:p>
    <w:p>
      <w:pPr>
        <w:sectPr>
          <w:pgSz w:w="11900" w:h="16916" w:orient="portrait"/>
          <w:cols w:equalWidth="0" w:num="2">
            <w:col w:w="7240" w:space="720"/>
            <w:col w:w="3180"/>
          </w:cols>
          <w:pgMar w:left="320" w:top="1235" w:right="439" w:bottom="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916" w:orient="portrait"/>
          <w:cols w:equalWidth="0" w:num="2">
            <w:col w:w="6380" w:space="720"/>
            <w:col w:w="4040"/>
          </w:cols>
          <w:pgMar w:left="320" w:top="1235" w:right="439" w:bottom="0" w:gutter="0" w:footer="0" w:header="0"/>
          <w:type w:val="continuous"/>
        </w:sectPr>
      </w:pPr>
    </w:p>
    <w:p>
      <w:pPr>
        <w:spacing w:after="0" w:line="1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5201 Congress Avenue, Suite 160</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Boca Raton, Florida 33487</w:t>
      </w:r>
    </w:p>
    <w:p>
      <w:pPr>
        <w:sectPr>
          <w:pgSz w:w="11900" w:h="16916" w:orient="portrait"/>
          <w:cols w:equalWidth="0" w:num="1">
            <w:col w:w="11140"/>
          </w:cols>
          <w:pgMar w:left="320" w:top="1235" w:right="439" w:bottom="0" w:gutter="0" w:footer="0" w:header="0"/>
          <w:type w:val="continuous"/>
        </w:sectPr>
      </w:pP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(561) 998-2232</w:t>
      </w: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916" w:orient="portrait"/>
          <w:cols w:equalWidth="0" w:num="1">
            <w:col w:w="11140"/>
          </w:cols>
          <w:pgMar w:left="320" w:top="1235" w:right="439" w:bottom="0" w:gutter="0" w:footer="0" w:header="0"/>
          <w:type w:val="continuous"/>
        </w:sectPr>
      </w:pPr>
    </w:p>
    <w:p>
      <w:pPr>
        <w:spacing w:after="0" w:line="34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916" w:orient="portrait"/>
          <w:cols w:equalWidth="0" w:num="3">
            <w:col w:w="4080" w:space="720"/>
            <w:col w:w="1760" w:space="720"/>
            <w:col w:w="3860"/>
          </w:cols>
          <w:pgMar w:left="320" w:top="1235" w:right="439" w:bottom="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11" w:lineRule="exact"/>
        <w:rPr>
          <w:sz w:val="24"/>
          <w:szCs w:val="24"/>
          <w:color w:val="auto"/>
        </w:rPr>
      </w:pPr>
    </w:p>
    <w:p>
      <w:pPr>
        <w:sectPr>
          <w:pgSz w:w="11900" w:h="16916" w:orient="portrait"/>
          <w:cols w:equalWidth="0" w:num="3">
            <w:col w:w="4440" w:space="720"/>
            <w:col w:w="1940" w:space="720"/>
            <w:col w:w="3320"/>
          </w:cols>
          <w:pgMar w:left="320" w:top="1235" w:right="439" w:bottom="0" w:gutter="0" w:footer="0" w:header="0"/>
          <w:type w:val="continuous"/>
        </w:sectPr>
      </w:pPr>
    </w:p>
    <w:p>
      <w:pPr>
        <w:spacing w:after="0" w:line="1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ectPr>
          <w:pgSz w:w="11900" w:h="16916" w:orient="portrait"/>
          <w:cols w:equalWidth="0" w:num="1">
            <w:col w:w="11140"/>
          </w:cols>
          <w:pgMar w:left="320" w:top="1235" w:right="439" w:bottom="0" w:gutter="0" w:footer="0" w:header="0"/>
          <w:type w:val="continuous"/>
        </w:sectPr>
      </w:pPr>
    </w:p>
    <w:bookmarkStart w:id="1" w:name="page2"/>
    <w:bookmarkEnd w:id="1"/>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25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of Common Stock on June 30, 2025 of $13.05 as reported on the Nasdaq Global Select Market, was $393,124,934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calculation does not reflect a determination that persons are affiliated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17, 2026, 32,318,741 shares of Common Stock, $0.0001 par value per share, were outstanding.</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900"/>
        <w:spacing w:after="0" w:line="312"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2026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60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2"/>
              </w:rPr>
              <w:t>PART I</w:t>
            </w:r>
          </w:p>
        </w:tc>
        <w:tc>
          <w:tcPr>
            <w:tcW w:w="70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1.</w:t>
            </w:r>
          </w:p>
        </w:tc>
        <w:tc>
          <w:tcPr>
            <w:tcW w:w="780" w:type="dxa"/>
            <w:vAlign w:val="bottom"/>
            <w:gridSpan w:val="6"/>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Business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1A.</w:t>
            </w:r>
          </w:p>
        </w:tc>
        <w:tc>
          <w:tcPr>
            <w:tcW w:w="700" w:type="dxa"/>
            <w:vAlign w:val="bottom"/>
            <w:gridSpan w:val="5"/>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Risk Factors</w:t>
            </w:r>
          </w:p>
        </w:tc>
        <w:tc>
          <w:tcPr>
            <w:tcW w:w="8280" w:type="dxa"/>
            <w:vAlign w:val="bottom"/>
            <w:gridSpan w:val="18"/>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1B.</w:t>
            </w:r>
          </w:p>
        </w:tc>
        <w:tc>
          <w:tcPr>
            <w:tcW w:w="700" w:type="dxa"/>
            <w:vAlign w:val="bottom"/>
            <w:gridSpan w:val="5"/>
          </w:tcPr>
          <w:p>
            <w:pPr>
              <w:spacing w:after="0"/>
              <w:rPr>
                <w:sz w:val="24"/>
                <w:szCs w:val="24"/>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6"/>
              </w:rPr>
              <w:t>Unresolved Staff Comments</w:t>
            </w:r>
          </w:p>
        </w:tc>
        <w:tc>
          <w:tcPr>
            <w:tcW w:w="71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22</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Item 1C.</w:t>
            </w:r>
          </w:p>
        </w:tc>
        <w:tc>
          <w:tcPr>
            <w:tcW w:w="80" w:type="dxa"/>
            <w:vAlign w:val="bottom"/>
            <w:tcBorders>
              <w:bottom w:val="single" w:sz="8" w:color="auto"/>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3"/>
              </w:rPr>
              <w:t>Cybersecurity</w:t>
            </w:r>
          </w:p>
        </w:tc>
        <w:tc>
          <w:tcPr>
            <w:tcW w:w="1040" w:type="dxa"/>
            <w:vAlign w:val="bottom"/>
            <w:gridSpan w:val="5"/>
          </w:tcPr>
          <w:p>
            <w:pPr>
              <w:spacing w:after="0"/>
              <w:rPr>
                <w:sz w:val="24"/>
                <w:szCs w:val="24"/>
                <w:color w:val="auto"/>
              </w:rPr>
            </w:pPr>
          </w:p>
        </w:tc>
        <w:tc>
          <w:tcPr>
            <w:tcW w:w="71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22</w:t>
            </w: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2.</w:t>
            </w:r>
          </w:p>
        </w:tc>
        <w:tc>
          <w:tcPr>
            <w:tcW w:w="780" w:type="dxa"/>
            <w:vAlign w:val="bottom"/>
            <w:gridSpan w:val="6"/>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Properties</w:t>
            </w:r>
          </w:p>
        </w:tc>
        <w:tc>
          <w:tcPr>
            <w:tcW w:w="8460" w:type="dxa"/>
            <w:vAlign w:val="bottom"/>
            <w:gridSpan w:val="19"/>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3.</w:t>
            </w:r>
          </w:p>
        </w:tc>
        <w:tc>
          <w:tcPr>
            <w:tcW w:w="80" w:type="dxa"/>
            <w:vAlign w:val="bottom"/>
          </w:tcPr>
          <w:p>
            <w:pPr>
              <w:spacing w:after="0"/>
              <w:rPr>
                <w:sz w:val="24"/>
                <w:szCs w:val="24"/>
                <w:color w:val="auto"/>
              </w:rPr>
            </w:pPr>
          </w:p>
        </w:tc>
        <w:tc>
          <w:tcPr>
            <w:tcW w:w="700" w:type="dxa"/>
            <w:vAlign w:val="bottom"/>
            <w:gridSpan w:val="5"/>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4.</w:t>
            </w:r>
          </w:p>
        </w:tc>
        <w:tc>
          <w:tcPr>
            <w:tcW w:w="80" w:type="dxa"/>
            <w:vAlign w:val="bottom"/>
          </w:tcPr>
          <w:p>
            <w:pPr>
              <w:spacing w:after="0"/>
              <w:rPr>
                <w:sz w:val="24"/>
                <w:szCs w:val="24"/>
                <w:color w:val="auto"/>
              </w:rPr>
            </w:pPr>
          </w:p>
        </w:tc>
        <w:tc>
          <w:tcPr>
            <w:tcW w:w="700" w:type="dxa"/>
            <w:vAlign w:val="bottom"/>
            <w:gridSpan w:val="5"/>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Mine Safety Disclosures</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24</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6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00" w:type="dxa"/>
            <w:vAlign w:val="bottom"/>
            <w:gridSpan w:val="5"/>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Item 6.</w:t>
            </w:r>
          </w:p>
        </w:tc>
        <w:tc>
          <w:tcPr>
            <w:tcW w:w="80" w:type="dxa"/>
            <w:vAlign w:val="bottom"/>
            <w:tcBorders>
              <w:top w:val="single" w:sz="8" w:color="auto"/>
            </w:tcBorders>
          </w:tcPr>
          <w:p>
            <w:pPr>
              <w:spacing w:after="0"/>
              <w:rPr>
                <w:sz w:val="24"/>
                <w:szCs w:val="24"/>
                <w:color w:val="auto"/>
              </w:rPr>
            </w:pPr>
          </w:p>
        </w:tc>
        <w:tc>
          <w:tcPr>
            <w:tcW w:w="700" w:type="dxa"/>
            <w:vAlign w:val="bottom"/>
            <w:gridSpan w:val="5"/>
          </w:tcPr>
          <w:p>
            <w:pPr>
              <w:spacing w:after="0"/>
              <w:rPr>
                <w:sz w:val="24"/>
                <w:szCs w:val="24"/>
                <w:color w:val="auto"/>
              </w:rPr>
            </w:pPr>
          </w:p>
        </w:tc>
        <w:tc>
          <w:tcPr>
            <w:tcW w:w="802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7.</w:t>
            </w:r>
          </w:p>
        </w:tc>
        <w:tc>
          <w:tcPr>
            <w:tcW w:w="80" w:type="dxa"/>
            <w:vAlign w:val="bottom"/>
          </w:tcPr>
          <w:p>
            <w:pPr>
              <w:spacing w:after="0"/>
              <w:rPr>
                <w:sz w:val="24"/>
                <w:szCs w:val="24"/>
                <w:color w:val="auto"/>
              </w:rPr>
            </w:pPr>
          </w:p>
        </w:tc>
        <w:tc>
          <w:tcPr>
            <w:tcW w:w="700" w:type="dxa"/>
            <w:vAlign w:val="bottom"/>
            <w:gridSpan w:val="5"/>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7A.</w:t>
            </w:r>
          </w:p>
        </w:tc>
        <w:tc>
          <w:tcPr>
            <w:tcW w:w="700" w:type="dxa"/>
            <w:vAlign w:val="bottom"/>
            <w:gridSpan w:val="5"/>
          </w:tcPr>
          <w:p>
            <w:pPr>
              <w:spacing w:after="0"/>
              <w:rPr>
                <w:sz w:val="24"/>
                <w:szCs w:val="24"/>
                <w:color w:val="auto"/>
              </w:rPr>
            </w:pPr>
          </w:p>
        </w:tc>
        <w:tc>
          <w:tcPr>
            <w:tcW w:w="426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8"/>
              </w:rPr>
              <w:t>Quantitative and Qualitative Disclosures about Market Risk</w:t>
            </w:r>
          </w:p>
        </w:tc>
        <w:tc>
          <w:tcPr>
            <w:tcW w:w="48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38</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8.</w:t>
            </w:r>
          </w:p>
        </w:tc>
        <w:tc>
          <w:tcPr>
            <w:tcW w:w="80" w:type="dxa"/>
            <w:vAlign w:val="bottom"/>
          </w:tcPr>
          <w:p>
            <w:pPr>
              <w:spacing w:after="0"/>
              <w:rPr>
                <w:sz w:val="24"/>
                <w:szCs w:val="24"/>
                <w:color w:val="auto"/>
              </w:rPr>
            </w:pPr>
          </w:p>
        </w:tc>
        <w:tc>
          <w:tcPr>
            <w:tcW w:w="700" w:type="dxa"/>
            <w:vAlign w:val="bottom"/>
            <w:gridSpan w:val="5"/>
          </w:tcPr>
          <w:p>
            <w:pPr>
              <w:spacing w:after="0"/>
              <w:rPr>
                <w:sz w:val="24"/>
                <w:szCs w:val="24"/>
                <w:color w:val="auto"/>
              </w:rPr>
            </w:pPr>
          </w:p>
        </w:tc>
        <w:tc>
          <w:tcPr>
            <w:tcW w:w="32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7"/>
              </w:rPr>
              <w:t>Financial Statements and Supplementary Data</w:t>
            </w:r>
          </w:p>
        </w:tc>
        <w:tc>
          <w:tcPr>
            <w:tcW w:w="980" w:type="dxa"/>
            <w:vAlign w:val="bottom"/>
            <w:gridSpan w:val="2"/>
          </w:tcPr>
          <w:p>
            <w:pPr>
              <w:spacing w:after="0"/>
              <w:rPr>
                <w:sz w:val="24"/>
                <w:szCs w:val="24"/>
                <w:color w:val="auto"/>
              </w:rPr>
            </w:pPr>
          </w:p>
        </w:tc>
        <w:tc>
          <w:tcPr>
            <w:tcW w:w="48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38</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Item 9.</w:t>
            </w:r>
          </w:p>
        </w:tc>
        <w:tc>
          <w:tcPr>
            <w:tcW w:w="80" w:type="dxa"/>
            <w:vAlign w:val="bottom"/>
          </w:tcPr>
          <w:p>
            <w:pPr>
              <w:spacing w:after="0"/>
              <w:rPr>
                <w:sz w:val="24"/>
                <w:szCs w:val="24"/>
                <w:color w:val="auto"/>
              </w:rPr>
            </w:pPr>
          </w:p>
        </w:tc>
        <w:tc>
          <w:tcPr>
            <w:tcW w:w="700" w:type="dxa"/>
            <w:vAlign w:val="bottom"/>
            <w:gridSpan w:val="5"/>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9A.</w:t>
            </w:r>
          </w:p>
        </w:tc>
        <w:tc>
          <w:tcPr>
            <w:tcW w:w="700" w:type="dxa"/>
            <w:vAlign w:val="bottom"/>
            <w:gridSpan w:val="5"/>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Controls and Procedures</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38</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9B.</w:t>
            </w:r>
          </w:p>
        </w:tc>
        <w:tc>
          <w:tcPr>
            <w:tcW w:w="700" w:type="dxa"/>
            <w:vAlign w:val="bottom"/>
            <w:gridSpan w:val="5"/>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39</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9C.</w:t>
            </w:r>
          </w:p>
        </w:tc>
        <w:tc>
          <w:tcPr>
            <w:tcW w:w="700" w:type="dxa"/>
            <w:vAlign w:val="bottom"/>
            <w:gridSpan w:val="5"/>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5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11.</w:t>
            </w:r>
          </w:p>
        </w:tc>
        <w:tc>
          <w:tcPr>
            <w:tcW w:w="700" w:type="dxa"/>
            <w:vAlign w:val="bottom"/>
            <w:gridSpan w:val="5"/>
          </w:tcPr>
          <w:p>
            <w:pPr>
              <w:spacing w:after="0"/>
              <w:rPr>
                <w:sz w:val="24"/>
                <w:szCs w:val="24"/>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6"/>
              </w:rPr>
              <w:t>Executive Compensation</w:t>
            </w:r>
          </w:p>
        </w:tc>
        <w:tc>
          <w:tcPr>
            <w:tcW w:w="2280" w:type="dxa"/>
            <w:vAlign w:val="bottom"/>
            <w:gridSpan w:val="5"/>
          </w:tcPr>
          <w:p>
            <w:pPr>
              <w:spacing w:after="0"/>
              <w:rPr>
                <w:sz w:val="24"/>
                <w:szCs w:val="24"/>
                <w:color w:val="auto"/>
              </w:rPr>
            </w:pPr>
          </w:p>
        </w:tc>
        <w:tc>
          <w:tcPr>
            <w:tcW w:w="510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40</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580" w:type="dxa"/>
            <w:vAlign w:val="bottom"/>
            <w:gridSpan w:val="3"/>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Stockholders Matters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580" w:type="dxa"/>
            <w:vAlign w:val="bottom"/>
            <w:gridSpan w:val="3"/>
          </w:tcPr>
          <w:p>
            <w:pPr>
              <w:spacing w:after="0"/>
              <w:rPr>
                <w:sz w:val="24"/>
                <w:szCs w:val="24"/>
                <w:color w:val="auto"/>
              </w:rPr>
            </w:pPr>
          </w:p>
        </w:tc>
        <w:tc>
          <w:tcPr>
            <w:tcW w:w="73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840" w:type="dxa"/>
            <w:vAlign w:val="bottom"/>
            <w:gridSpan w:val="2"/>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580" w:type="dxa"/>
            <w:vAlign w:val="bottom"/>
            <w:gridSpan w:val="3"/>
          </w:tcPr>
          <w:p>
            <w:pPr>
              <w:spacing w:after="0"/>
              <w:rPr>
                <w:sz w:val="24"/>
                <w:szCs w:val="24"/>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to “we,” “us,” “our,” “the Company,” or “Cross Country” in this Annual Report on Form 10-K means Cross Country Healthcare, Inc., and its consolidated subsidiaries.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Website addresses referenced in this Annual Report on Form 10-K are provided for convenience only, and the content on the referenced websites does not constitute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titled “Item 1A - Risk Factors,” and the other documents that we file from time to time with the Securities and Exchange Commission (SEC).</w:t>
      </w: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Company</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Cross Country Healthcare, Inc. (Nasdaq: CCRN) is a healthcare workforce solutions company delivering an AI-powered digital platform and advisory services, backed by nearly 40 years of healthcare labor expertise, to help health systems optimize and sustain their entire labor ecosystem.</w:t>
      </w:r>
    </w:p>
    <w:p>
      <w:pPr>
        <w:spacing w:after="0" w:line="185"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18"/>
          <w:szCs w:val="18"/>
          <w:color w:val="auto"/>
        </w:rPr>
        <w:t>Through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Cross Country's cloud-based workforce management and vendor management system, health systems gain clear visibility across internal and contingent labor.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integrates with core hospital systems and brings all service lines, including non-clinical, nursing, allied health, and locums, into one centralized view. Powered by real-time analytics and AI-driven insights,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helps leaders make smarter workforce decisions, streamline operations, reduce labor costs, improve flexibility, and support high-quality outcomes.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Leveraging national and in-market staffing teams, we place highly qualified healthcare professionals in virtually every specialty on travel and per diem assignments, local short-term contracts, and permanent positions. We also place teachers, substitute teachers, and other education specialties at educational facilities, healthcare leaders within nursing, allied, physician, and human resources at healthcare organizations, and non-healthcare providers to participants in Programs of All-Inclusive Care for the Elderly (PACE) programs. Our varied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including those in underserved communities.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believe that our national footprint provides a unique value proposition, as we are able to engage with a broader pool of talent and offer customers a more consultative approach relying on our understanding of the local and regional markets that they serve.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services to our customers through our two reportable segments as described below:</w:t>
      </w:r>
    </w:p>
    <w:p>
      <w:pPr>
        <w:spacing w:after="0" w:line="248" w:lineRule="exact"/>
        <w:rPr>
          <w:sz w:val="20"/>
          <w:szCs w:val="20"/>
          <w:color w:val="auto"/>
        </w:rPr>
      </w:pPr>
    </w:p>
    <w:p>
      <w:pPr>
        <w:ind w:left="660" w:right="420" w:hanging="328"/>
        <w:spacing w:after="0" w:line="259" w:lineRule="auto"/>
        <w:tabs>
          <w:tab w:leader="none" w:pos="72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Nursing and Allied Staffing. </w:t>
      </w:r>
      <w:r>
        <w:rPr>
          <w:rFonts w:ascii="Times New Roman" w:cs="Times New Roman" w:eastAsia="Times New Roman" w:hAnsi="Times New Roman"/>
          <w:sz w:val="18"/>
          <w:szCs w:val="18"/>
          <w:color w:val="auto"/>
        </w:rPr>
        <w:t>The Nurse and Allied Staffing segment provides traditional staffing, recruiting, and value-added total talent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including: (i) temporary and permanent placement of travel and local nurse and allied professionals, and healthcare leaders within nursing, allied, human resources, and finance; (ii) vendor neutral programs and managed service programs (MSPs); (iii) education healthcare services; (iv) caregiver services to PACE programs (home-based staffing); and (v) outsourcing services. We also serve as a direct-hire talent acquisition partner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ind w:left="660" w:right="340"/>
        <w:spacing w:after="0" w:line="262" w:lineRule="auto"/>
        <w:rPr>
          <w:sz w:val="20"/>
          <w:szCs w:val="20"/>
          <w:color w:val="auto"/>
        </w:rPr>
      </w:pPr>
      <w:r>
        <w:rPr>
          <w:rFonts w:ascii="Times New Roman" w:cs="Times New Roman" w:eastAsia="Times New Roman" w:hAnsi="Times New Roman"/>
          <w:sz w:val="18"/>
          <w:szCs w:val="18"/>
          <w:color w:val="auto"/>
        </w:rPr>
        <w:t>to healthcare organizations and academic institutions throughout the nation, providing a full suite of prescriptive talent management solutions, including flexible talent delivery models such as executive search services for healthcare professionals, as well as contingent search and recruitment process outsourcing (RPO) services. We also offer our Software as a Service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w:t>
      </w:r>
    </w:p>
    <w:p>
      <w:pPr>
        <w:spacing w:after="0" w:line="140"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A majority of our revenue is generated from staffing registered nurses and allied professionals on travel contract assignments of varying lengths (typically, 13 weeks) at hospitals and health systems. We staff registered nurses, licensed practical nurses, certified nurse assistants, advanced practitioners, pharmacists, and more than 100 specialties of allied professionals on local per diem and short-term assignments in a variety of clinical and non-clinical settings. We also provide clinical and non-clinical professionals on long-term assignments to customers such as public and private acute care and non-acute care hospitals, government facilities, public and charter schools, academic medical centers, outpatient clinics, ambulatory care facilities, physician practice groups, local and national healthcare plans, managed care providers, PACE programs, correctional facilities, and many other healthcare providers. We also receive administrative fees from subcontractors at our MSP clients or from those subcontractors who use our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solution to staff hospital facilities directly.</w:t>
      </w:r>
    </w:p>
    <w:p>
      <w:pPr>
        <w:spacing w:after="0" w:line="139" w:lineRule="exact"/>
        <w:rPr>
          <w:sz w:val="20"/>
          <w:szCs w:val="20"/>
          <w:color w:val="auto"/>
        </w:rPr>
      </w:pPr>
    </w:p>
    <w:p>
      <w:pPr>
        <w:ind w:left="660" w:right="80" w:hanging="328"/>
        <w:spacing w:after="0" w:line="244" w:lineRule="auto"/>
        <w:tabs>
          <w:tab w:leader="none" w:pos="72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Physician Staffing. </w:t>
      </w:r>
      <w:r>
        <w:rPr>
          <w:rFonts w:ascii="Times New Roman" w:cs="Times New Roman" w:eastAsia="Times New Roman" w:hAnsi="Times New Roman"/>
          <w:sz w:val="18"/>
          <w:szCs w:val="18"/>
          <w:color w:val="auto"/>
        </w:rPr>
        <w:t>Our Physician Staffing segment provides licensed practitioners across a broad array of specialties, as well as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nurse anesthetists (CRNAs), nurse practitioners (NPs), and physician assistants (PAs) on temporary assignments throughout the United States (U.S.). The list of customers we serve includes healthcare facilities, such as acute and non-acute care facilities, medical group practices, government facilities, and managed care organizations. We recruit these professionals nationally and place them on assignments varying in length from several days up to one year. We also offer our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to these facilities to manage all or a portion of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agency services.</w:t>
      </w:r>
    </w:p>
    <w:p>
      <w:pPr>
        <w:spacing w:after="0" w:line="222"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Our Nurse and Allied Staffing and Physician Staffing revenue and contribution income is set forth in Note 17 - Segment Data to the consolidated financial statements.</w:t>
      </w:r>
    </w:p>
    <w:p>
      <w:pPr>
        <w:spacing w:after="0" w:line="18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healthcare staffing industry continues to evolve, with both healthcare providers and professionals demanding speed and placing heavier reliance on technology for fulfillment and delivery activities. Recognizing this trend, we are continuing on a path of digital transformation and innovation across our business with investments in expanding our technology capabilities both on the customer facing and candidate engagement fronts. We have executed multiple initiatives to enhance our position as a leading, consultative, and strategic partner in the healthcare industry. Some key focus areas include personalizing the candidate experience, delivering a superior customer experience, infusing technology-enablement to drive efficiencies and increased productivity, and continuing our commitment to clinical excellence. As part of our 2025 IT strategy, we continued to invest in technologies for both internal and externally facing systems, with a focus on utilizing artificial intelligence (AI) and other automation technologies. In 2025, we added innovative search and match capabilities for both our internal staff and our candidates. We also added capabilities to our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to support our Education business. We expect these initiatives to drive growth through better operational execution, enhanced productivity, and a world-class customer and candidate experience.</w:t>
      </w:r>
    </w:p>
    <w:p>
      <w:pPr>
        <w:spacing w:after="0" w:line="2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Areas of investment also include recruitment and candidate nurturing tools, market analytics, mobile applications and self-serve capabilities, programmatic advertising, social media, and other technology. These investments enhance our recruiting capabilities and allow us to quickly respond to demand across a wide range of specialties.</w:t>
      </w:r>
    </w:p>
    <w:p>
      <w:pPr>
        <w:spacing w:after="0" w:line="20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One of our goals is to grow stockholder value by continuing to deepen our relationships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requires our continued focus on: (i) providing workforce solutions offerings to new customers; (ii) expanding the services we provide to current customers, including usage of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(iii) further diversifying our customer base; (iv) accessing more candidates; and (v) continuing to modernize technologies and processes to optimize our relationships with healthcare professionals and customers.</w:t>
      </w:r>
    </w:p>
    <w:p>
      <w:pPr>
        <w:spacing w:after="0" w:line="21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To successfully execute our business strategy, we rely on experienced and innovative executive and operational teams. Our executive team has extensive experience in staffing, workforce solutions, technology services, and healthcare industries. We also foster a culture of performance, talented leadership, and collegiality that promotes the achievement of Company, professional and personal goals. With more than 20 healthcare clinicians on our corporate staff, our Clinical Quality Council continues to serve as an advisory committee to our entire organization and customers. In 2022, the Company’s Chairman and current Chief Executive Officer (CEO) and President was named to the Staffing Industry Analysts’ Staffing 100 List of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right="140"/>
        <w:spacing w:after="0" w:line="245" w:lineRule="auto"/>
        <w:rPr>
          <w:sz w:val="20"/>
          <w:szCs w:val="20"/>
          <w:color w:val="auto"/>
        </w:rPr>
      </w:pPr>
      <w:r>
        <w:rPr>
          <w:rFonts w:ascii="Times New Roman" w:cs="Times New Roman" w:eastAsia="Times New Roman" w:hAnsi="Times New Roman"/>
          <w:sz w:val="18"/>
          <w:szCs w:val="18"/>
          <w:color w:val="auto"/>
        </w:rPr>
        <w:t>most notable leaders in the industry, and was also nominated as a top staffing leader to watch in 2023 for World Staffing Awards. At least one of our executives has been included on Staffing Industry Analysts’ 2025 and 2024 Global Power 150 - Women in Staffing List that recognizes the 100 most influential women in the Americas and 50 additional women internationally. Another executive has been recognized as one of the 2025 Top 10 Marketing professionals presented by OnCon.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on December 3, 2024, the Company entered into an Agreement and Plan of Merger (Aya Merger Agreement) with Aya Holdings</w:t>
      </w:r>
    </w:p>
    <w:p>
      <w:pPr>
        <w:spacing w:after="0" w:line="27" w:lineRule="exact"/>
        <w:rPr>
          <w:sz w:val="20"/>
          <w:szCs w:val="20"/>
          <w:color w:val="auto"/>
        </w:rPr>
      </w:pPr>
    </w:p>
    <w:p>
      <w:pPr>
        <w:ind w:right="300" w:firstLine="8"/>
        <w:spacing w:after="0" w:line="260" w:lineRule="auto"/>
        <w:tabs>
          <w:tab w:leader="none" w:pos="1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 (Parent), Spark Merger Sub One Inc., a wholly owned subsidiary of Parent, and, solely for the limited purposes set forth therein, Aya Healthcare, Inc., providing for, subject to the satisfaction or waiver of certain conditions, the acquisition of the Company by Parent (the Aya Merger).</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After market close on December 3, 2025, the Company received a notice of termination of the Aya Merger Agreement from Parent, effective December 4, 2025, as a result of the Aya Merger not being consummated prior to the end date under the Aya Merger Agreement. In accordance with the terms of the Aya Merger Agreement, Parent paid a termination fee of $20.0 million in cash to the Company.</w:t>
      </w:r>
    </w:p>
    <w:p>
      <w:pPr>
        <w:spacing w:after="0" w:line="203"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Effective December 14, 2025, John A. Martins, the Company’s President and Chief Executive Officer (CEO), separated from the Company. Kevin C. Clark, the Company’s current Chairman of the Board, former CEO (from January 16, 2019 through March 31, 2022), and co-founder, was appointed President and CEO of the Company, effective December 15, 2025. Mr. Clark will continue to serve as the Chairman of the Board.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Challenges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remain competitive within our industry, we are required to continuously innovate, improve processes, and expand services to meet the needs of our employees, customers and their patients. The market remains highly competitive for both clients and candidates, especially within travel nurse and allied.</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plan to continue to manage the business for long-term success and strategically position ourselves for future growth opportunities in the market. We are committed to continuing to grow our base of clinicians on assignment and our market share while maintaining the quality that we are known for.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seeking higher compensation, exploring diverse practice settings, building skills and experience by working at prestigious healthcare facilities, working through life and career transitions, and as a means of access to a permanent staff position all while practicing in the most appreciated and highly altruistic trade.</w:t>
      </w:r>
    </w:p>
    <w:p>
      <w:pPr>
        <w:spacing w:after="0" w:line="20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Healthcare Professionals</w:t>
      </w:r>
      <w:r>
        <w:rPr>
          <w:rFonts w:ascii="Times New Roman" w:cs="Times New Roman" w:eastAsia="Times New Roman" w:hAnsi="Times New Roman"/>
          <w:sz w:val="18"/>
          <w:szCs w:val="18"/>
          <w:b w:val="1"/>
          <w:bCs w:val="1"/>
          <w:i w:val="1"/>
          <w:iCs w:val="1"/>
          <w:color w:val="auto"/>
        </w:rPr>
        <w:t>.</w:t>
      </w:r>
    </w:p>
    <w:p>
      <w:pPr>
        <w:spacing w:after="0" w:line="252" w:lineRule="exact"/>
        <w:rPr>
          <w:rFonts w:ascii="Times New Roman" w:cs="Times New Roman" w:eastAsia="Times New Roman" w:hAnsi="Times New Roman"/>
          <w:sz w:val="18"/>
          <w:szCs w:val="18"/>
          <w:b w:val="1"/>
          <w:bCs w:val="1"/>
          <w:color w:val="auto"/>
        </w:rPr>
      </w:pPr>
    </w:p>
    <w:p>
      <w:pPr>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Nurse and Allied Staffing. </w:t>
      </w:r>
      <w:r>
        <w:rPr>
          <w:rFonts w:ascii="Times New Roman" w:cs="Times New Roman" w:eastAsia="Times New Roman" w:hAnsi="Times New Roman"/>
          <w:sz w:val="18"/>
          <w:szCs w:val="18"/>
          <w:color w:val="auto"/>
        </w:rPr>
        <w:t>Our Company is well positioned to attract candidates, as clinical professionals routinely seek a wide range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assignments in attractive locations, with competitive compensation and benefit packages, scheduling options, as well as a high level of service. We believe nurses and allied professionals are confident that we will be able to offer them new assignments as they complete their current assignment. Each of our nurse and allied healthcare professionals is employed by us and is typically paid an hourly wage and receive other benefits they are entitled to receive during the assignment period. Competitive benefits for our employees generally include professional liability and workers compensation insurance, a 401(k) plan, health insurance, reimbursed travel, per diem allowances, and housing.</w:t>
      </w:r>
    </w:p>
    <w:p>
      <w:pPr>
        <w:spacing w:after="0" w:line="213" w:lineRule="exact"/>
        <w:rPr>
          <w:rFonts w:ascii="Times New Roman" w:cs="Times New Roman" w:eastAsia="Times New Roman" w:hAnsi="Times New Roman"/>
          <w:sz w:val="18"/>
          <w:szCs w:val="18"/>
          <w:b w:val="1"/>
          <w:bCs w:val="1"/>
          <w:color w:val="auto"/>
        </w:rPr>
      </w:pPr>
    </w:p>
    <w:p>
      <w:pPr>
        <w:ind w:left="66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Recruiters are an essential element of our Nurse and Allied Staffing business and are responsible for establishing and maintaining key relationships with candidates for the duration of their assignments. Leveraging our database of clinicians, recruiters match the supply of qualified candidates with the demand for open orders from customers. While word-of-mouth and referrals, especially from current and former healthcare professionals we have placed, continue as our leading channel of access to candidates, we also market our brands through strategic sourcing initiatives including programmatic strategic sourcing and extensive utilization of social media and mobile applications, which have become an increasingly important component of our recruitment efforts. In addition to maintaining engaging and intuitive websites to allow potential applicants to obtain information about the Company and assignment opportunities, we further enhanced Cross Country Marketplace, our proprietary mobile on-demand staffing platform, as a one-stop, self-</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ind w:left="328" w:right="340"/>
        <w:spacing w:after="0" w:line="230" w:lineRule="auto"/>
        <w:rPr>
          <w:sz w:val="20"/>
          <w:szCs w:val="20"/>
          <w:color w:val="auto"/>
        </w:rPr>
      </w:pPr>
      <w:r>
        <w:rPr>
          <w:rFonts w:ascii="Times New Roman" w:cs="Times New Roman" w:eastAsia="Times New Roman" w:hAnsi="Times New Roman"/>
          <w:sz w:val="18"/>
          <w:szCs w:val="18"/>
          <w:color w:val="auto"/>
        </w:rPr>
        <w:t>service portal to support candidates throughout their experience with Cross Country. Our self-service candidate portal, known as Xperience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provides our travel and allied healthcare professionals with real-time matching to open positions.</w:t>
      </w:r>
    </w:p>
    <w:p>
      <w:pPr>
        <w:spacing w:after="0" w:line="223" w:lineRule="exact"/>
        <w:rPr>
          <w:sz w:val="20"/>
          <w:szCs w:val="20"/>
          <w:color w:val="auto"/>
        </w:rPr>
      </w:pPr>
    </w:p>
    <w:p>
      <w:pPr>
        <w:ind w:left="328"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Physician Staffing. </w:t>
      </w:r>
      <w:r>
        <w:rPr>
          <w:rFonts w:ascii="Times New Roman" w:cs="Times New Roman" w:eastAsia="Times New Roman" w:hAnsi="Times New Roman"/>
          <w:sz w:val="18"/>
          <w:szCs w:val="18"/>
          <w:color w:val="auto"/>
        </w:rPr>
        <w:t>Cross Country Locums recruits and contracts with physicians and advanced practice professionals to provide medical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its healthcare customers. We offer a wide variety of assignments, competitive fees, medical malpractice insurance, and a high level of service. Physicians or advanced practice professionals are independent contractors (unless prohibited by applicable law) and enter into agreements with Cross Country Locums to provide medical services at a particular healthcare facility or physician practice group based on terms and conditions specified by that customer, for assignments ranging from a few days to up to one year.</w:t>
      </w:r>
    </w:p>
    <w:p>
      <w:pPr>
        <w:spacing w:after="0" w:line="206" w:lineRule="exact"/>
        <w:rPr>
          <w:sz w:val="20"/>
          <w:szCs w:val="20"/>
          <w:color w:val="auto"/>
        </w:rPr>
      </w:pPr>
    </w:p>
    <w:p>
      <w:pPr>
        <w:ind w:left="328" w:hanging="328"/>
        <w:spacing w:after="0" w:line="262" w:lineRule="auto"/>
        <w:tabs>
          <w:tab w:leader="none" w:pos="3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take an enterprise sales approach by marketing our full capabilities across the continuum of care to hospitals,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schools, PACE programs, and other organizations across the U.S. addressing total talent management needs. We provide flexible workforce solutions to the healthcare, education, and PACE markets customizing delivery of diversified offerings to meet the specific needs of each customer.</w:t>
      </w:r>
    </w:p>
    <w:p>
      <w:pPr>
        <w:spacing w:after="0" w:line="203" w:lineRule="exact"/>
        <w:rPr>
          <w:rFonts w:ascii="Times New Roman" w:cs="Times New Roman" w:eastAsia="Times New Roman" w:hAnsi="Times New Roman"/>
          <w:sz w:val="18"/>
          <w:szCs w:val="18"/>
          <w:b w:val="1"/>
          <w:bCs w:val="1"/>
          <w:color w:val="auto"/>
        </w:rPr>
      </w:pPr>
    </w:p>
    <w:p>
      <w:pPr>
        <w:ind w:left="328" w:right="80"/>
        <w:spacing w:after="0" w:line="22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Our delivery brands include Cross Country Nurses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Cross Country Allied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Cross Country Local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formerly known as Cross Country Medical Staffing Network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Cross Country Search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Cross Country Locums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Cross Country Community Care, formerly known as Cross Country Workforce Solutions Group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Cross Country Education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Intellify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Talent Solutions. Our recruiters leverage the Company’s extensive databases of clinicians and healthcare professionals, as well as their expertise in their given specialties, to qualify and place healthcare candidates.</w:t>
      </w:r>
    </w:p>
    <w:p>
      <w:pPr>
        <w:spacing w:after="0" w:line="223" w:lineRule="exact"/>
        <w:rPr>
          <w:rFonts w:ascii="Times New Roman" w:cs="Times New Roman" w:eastAsia="Times New Roman" w:hAnsi="Times New Roman"/>
          <w:sz w:val="18"/>
          <w:szCs w:val="18"/>
          <w:b w:val="1"/>
          <w:bCs w:val="1"/>
          <w:color w:val="auto"/>
        </w:rPr>
      </w:pPr>
    </w:p>
    <w:p>
      <w:pPr>
        <w:ind w:left="328" w:right="40" w:hanging="328"/>
        <w:spacing w:after="0" w:line="259" w:lineRule="auto"/>
        <w:tabs>
          <w:tab w:leader="none" w:pos="3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Credentialing and Quality Management. </w:t>
      </w:r>
      <w:r>
        <w:rPr>
          <w:rFonts w:ascii="Times New Roman" w:cs="Times New Roman" w:eastAsia="Times New Roman" w:hAnsi="Times New Roman"/>
          <w:sz w:val="18"/>
          <w:szCs w:val="18"/>
          <w:color w:val="auto"/>
        </w:rPr>
        <w:t>We screen all of our healthcare employees prior to placement through our credentialing departments.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credentialing processes are designed to ensure that professionals have the requisite skill sets required by our customers, as well as the aptitude to meet the day-to-day requirements and challenges they would typically encounter on assignments where they are placed. The credentialing of our nurse and allied healthcare professionals is designed to ensure quality of care and align with the guidelines of The Joint Commission, a national accrediting body.</w:t>
      </w:r>
    </w:p>
    <w:p>
      <w:pPr>
        <w:spacing w:after="0" w:line="206" w:lineRule="exact"/>
        <w:rPr>
          <w:rFonts w:ascii="Times New Roman" w:cs="Times New Roman" w:eastAsia="Times New Roman" w:hAnsi="Times New Roman"/>
          <w:sz w:val="18"/>
          <w:szCs w:val="18"/>
          <w:b w:val="1"/>
          <w:bCs w:val="1"/>
          <w:color w:val="auto"/>
        </w:rPr>
      </w:pPr>
    </w:p>
    <w:p>
      <w:pPr>
        <w:ind w:left="328" w:right="60" w:hanging="328"/>
        <w:spacing w:after="0" w:line="257" w:lineRule="auto"/>
        <w:tabs>
          <w:tab w:leader="none" w:pos="3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Billing and Payment for Services. </w:t>
      </w:r>
      <w:r>
        <w:rPr>
          <w:rFonts w:ascii="Times New Roman" w:cs="Times New Roman" w:eastAsia="Times New Roman" w:hAnsi="Times New Roman"/>
          <w:sz w:val="18"/>
          <w:szCs w:val="18"/>
          <w:color w:val="auto"/>
        </w:rPr>
        <w:t>Our shared service center processes hours worked by field employees in various time and attendance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 turn generate billable transactions to our customers. Hours worked by independent contractor physicians are reported to our Cross Country Locums office. Billing for other services such as RPO, Search, or Project Management vary depending on the contract, but typically are invoiced upon the success of achieving agreed upon milestones or completion of specific deliverables, such as the placement of a candidate. On occasion, we are able to bill for the reimbursement of certain expenses incurred, such as candidate marketing costs, or set-up fees incurred for certain projects, such as travel costs for internal staff.</w:t>
      </w:r>
    </w:p>
    <w:p>
      <w:pPr>
        <w:spacing w:after="0" w:line="209" w:lineRule="exact"/>
        <w:rPr>
          <w:rFonts w:ascii="Times New Roman" w:cs="Times New Roman" w:eastAsia="Times New Roman" w:hAnsi="Times New Roman"/>
          <w:sz w:val="18"/>
          <w:szCs w:val="18"/>
          <w:b w:val="1"/>
          <w:bCs w:val="1"/>
          <w:color w:val="auto"/>
        </w:rPr>
      </w:pPr>
    </w:p>
    <w:p>
      <w:pPr>
        <w:ind w:left="328" w:right="140" w:hanging="328"/>
        <w:spacing w:after="0" w:line="262" w:lineRule="auto"/>
        <w:tabs>
          <w:tab w:leader="none" w:pos="3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Operations. </w:t>
      </w:r>
      <w:r>
        <w:rPr>
          <w:rFonts w:ascii="Times New Roman" w:cs="Times New Roman" w:eastAsia="Times New Roman" w:hAnsi="Times New Roman"/>
          <w:sz w:val="18"/>
          <w:szCs w:val="18"/>
          <w:color w:val="auto"/>
        </w:rPr>
        <w:t>Our businesses are operated through a relatively centralized model, servicing all assignment needs of our healthcare professionals,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physicians, and customer facilities, as well as support activities, such as coordinating housing, payroll processing, benefits administration, billing and collections, travel reimbursement processing, customer service, and risk management. These activities are performed by a predominantly remote work team, in addition to a few corporate offices.</w:t>
      </w:r>
    </w:p>
    <w:p>
      <w:pPr>
        <w:spacing w:after="0" w:line="203" w:lineRule="exact"/>
        <w:rPr>
          <w:rFonts w:ascii="Times New Roman" w:cs="Times New Roman" w:eastAsia="Times New Roman" w:hAnsi="Times New Roman"/>
          <w:sz w:val="18"/>
          <w:szCs w:val="18"/>
          <w:b w:val="1"/>
          <w:bCs w:val="1"/>
          <w:color w:val="auto"/>
        </w:rPr>
      </w:pPr>
    </w:p>
    <w:p>
      <w:pPr>
        <w:ind w:left="328" w:hanging="328"/>
        <w:spacing w:after="0" w:line="254" w:lineRule="auto"/>
        <w:tabs>
          <w:tab w:leader="none" w:pos="3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Information Systems. </w:t>
      </w:r>
      <w:r>
        <w:rPr>
          <w:rFonts w:ascii="Times New Roman" w:cs="Times New Roman" w:eastAsia="Times New Roman" w:hAnsi="Times New Roman"/>
          <w:sz w:val="18"/>
          <w:szCs w:val="18"/>
          <w:color w:val="auto"/>
        </w:rPr>
        <w:t>Various information systems are utilized to run customer relationship management, recruitment, and placement functions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different brands. Some of these sophisticated applications are proprietary and are hosted in Tier 1 hosting facilities while other systems are SaaS-based and hosted by vendor partners. Our systems maintain detailed information about customer-required skill sets and status, which assists us in enabling fulfillment and assignment renewals. Our databases contain an extensive pool of existing and potential customers and all related recruitment and sales activity. Our financial and human resource systems are housed on enterprise resource planning software suites that manage certain aspects of accounts payable, accounts receivable, general ledger, billing, and human capital management. We manage our information systems with internal team members located both in the U.S. and in India. Cybersecurity remains a central focus point across our organization, including dedicated resources, iterative training for all employees, and third parties engaged to assist in monitoring and managing systems and devices, detecting cyber threats, and preventing breaches. See further discussion in the section titled "Item 1C - Cybersecurity."</w:t>
      </w:r>
    </w:p>
    <w:p>
      <w:pPr>
        <w:spacing w:after="0" w:line="215" w:lineRule="exact"/>
        <w:rPr>
          <w:rFonts w:ascii="Times New Roman" w:cs="Times New Roman" w:eastAsia="Times New Roman" w:hAnsi="Times New Roman"/>
          <w:sz w:val="18"/>
          <w:szCs w:val="18"/>
          <w:b w:val="1"/>
          <w:bCs w:val="1"/>
          <w:color w:val="auto"/>
        </w:rPr>
      </w:pPr>
    </w:p>
    <w:p>
      <w:pPr>
        <w:ind w:left="328" w:right="180" w:hanging="328"/>
        <w:spacing w:after="0" w:line="268" w:lineRule="auto"/>
        <w:tabs>
          <w:tab w:leader="none" w:pos="3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Insurance, and Benefits. </w:t>
      </w:r>
      <w:r>
        <w:rPr>
          <w:rFonts w:ascii="Times New Roman" w:cs="Times New Roman" w:eastAsia="Times New Roman" w:hAnsi="Times New Roman"/>
          <w:sz w:val="18"/>
          <w:szCs w:val="18"/>
          <w:color w:val="auto"/>
        </w:rPr>
        <w:t>Our risk management program is designed to ensure prompt notification of incidents, educational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training to our employees, loss analysis, and timely reporting procedures to reduce our risk of exposure. We continuously review facts and incidents associated with professional liability and</w:t>
      </w: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87" w:right="339" w:bottom="1440" w:gutter="0" w:footer="0" w:header="0"/>
        </w:sectPr>
      </w:pPr>
    </w:p>
    <w:bookmarkStart w:id="7" w:name="page8"/>
    <w:bookmarkEnd w:id="7"/>
    <w:p>
      <w:pPr>
        <w:ind w:left="660" w:right="40"/>
        <w:spacing w:after="0" w:line="266" w:lineRule="auto"/>
        <w:rPr>
          <w:sz w:val="20"/>
          <w:szCs w:val="20"/>
          <w:color w:val="auto"/>
        </w:rPr>
      </w:pPr>
      <w:r>
        <w:rPr>
          <w:rFonts w:ascii="Times New Roman" w:cs="Times New Roman" w:eastAsia="Times New Roman" w:hAnsi="Times New Roman"/>
          <w:sz w:val="18"/>
          <w:szCs w:val="18"/>
          <w:color w:val="auto"/>
        </w:rPr>
        <w:t>workers’ compensation claims in order to identify trends and reduce our risk of loss in the future where possible. We consider assessments provided by our customers, and we work with clinicians and experts from our insurance carriers to determine employment eligibility and potential exposure.</w:t>
      </w:r>
    </w:p>
    <w:p>
      <w:pPr>
        <w:spacing w:after="0" w:line="203" w:lineRule="exact"/>
        <w:rPr>
          <w:sz w:val="20"/>
          <w:szCs w:val="20"/>
          <w:color w:val="auto"/>
        </w:rPr>
      </w:pPr>
    </w:p>
    <w:p>
      <w:pPr>
        <w:ind w:left="660" w:right="100"/>
        <w:spacing w:after="0" w:line="256" w:lineRule="auto"/>
        <w:rPr>
          <w:sz w:val="20"/>
          <w:szCs w:val="20"/>
          <w:color w:val="auto"/>
        </w:rPr>
      </w:pPr>
      <w:r>
        <w:rPr>
          <w:rFonts w:ascii="Times New Roman" w:cs="Times New Roman" w:eastAsia="Times New Roman" w:hAnsi="Times New Roman"/>
          <w:sz w:val="18"/>
          <w:szCs w:val="18"/>
          <w:color w:val="auto"/>
        </w:rPr>
        <w:t>We provide workers’ compensation insurance coverage, professional liability coverage, and healthcare benefits for our eligible employed professionals. We record estimates of the ultimate cost of, and reserves for, workers’ compensation and professional liability benefits based on actuarial models prepared or reviewed by an independent actuary using our loss history as well as industry statistics, and include reserves for estimated claims incurred but not reported. On a quarterly basis, we estimate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214"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Company maintains a number of insurance policies including general liability, workers’ compensation, fidelity, employment practices liability, fiduciary, directors and officers, cyber, property, and professional liability policies. These policies provide coverage for certain liabilities that may arise from our operations, subject to the policy’s terms, conditions, limits of liability, and deductibles. Any of the above policies may not be adequate for our needs, or we may not maintain all such policies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increasingly called upon by our customers to provide creative and innovative talent sourcing strategies across a continuum of care. Over the past several years, our workforce solutions have evolved into a total talent management approach as our customers focus on maintaining high-quality patient outcomes, while improving their total labor management to address complex financial, compliance, and other challenges within the healthcare industry. As part of this total talent management approach, we consider the following: (i) solving the immediate and future needs of our customers; (ii) enhancing our network of healthcare professionals by improving their experience; (iii) expanding service offerings to reduce sensitivity to economic cycles; (iv) expanding our expertise with various healthcare solutions in various geographic areas of the U.S.; (v) continuing to diversify our customer base to enhance long-term business prospects; and (vi) enhancing and expanding technology to deliver efficient and automated services to customer facilities. Our workforce solutions include:</w:t>
      </w:r>
    </w:p>
    <w:p>
      <w:pPr>
        <w:spacing w:after="0" w:line="215" w:lineRule="exact"/>
        <w:rPr>
          <w:sz w:val="20"/>
          <w:szCs w:val="20"/>
          <w:color w:val="auto"/>
        </w:rPr>
      </w:pPr>
    </w:p>
    <w:p>
      <w:pPr>
        <w:ind w:left="660" w:right="200" w:hanging="328"/>
        <w:spacing w:after="0" w:line="24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MSP. </w:t>
      </w:r>
      <w:r>
        <w:rPr>
          <w:rFonts w:ascii="Times New Roman" w:cs="Times New Roman" w:eastAsia="Times New Roman" w:hAnsi="Times New Roman"/>
          <w:sz w:val="18"/>
          <w:szCs w:val="18"/>
          <w:color w:val="auto"/>
        </w:rPr>
        <w:t>As healthcare providers continue to adopt centralized, outsourced models for managing contingent labor for both clinical and non-clinical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we offer an MSP in which we manage all or a portion of the customer’s staffing needs. This includes both the placement of our own healthcare professionals and the utilization of other staffing agencies. The benefits to our MSP customers include cost optimization, increased certainty of supply, visibility into labor needs and usage, and market insight from our industry expertise on a broad range of topics. We have converted close to 100% of our MSPs onto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SaaS-based, proprietary, vendor management system that provides analytics and real-time insights, with industry-leading dashboards and reporting.</w:t>
      </w:r>
    </w:p>
    <w:p>
      <w:pPr>
        <w:spacing w:after="0" w:line="2" w:lineRule="exact"/>
        <w:rPr>
          <w:rFonts w:ascii="Times New Roman" w:cs="Times New Roman" w:eastAsia="Times New Roman" w:hAnsi="Times New Roman"/>
          <w:sz w:val="18"/>
          <w:szCs w:val="18"/>
          <w:color w:val="auto"/>
        </w:rPr>
      </w:pPr>
    </w:p>
    <w:p>
      <w:pPr>
        <w:jc w:val="both"/>
        <w:ind w:left="660" w:right="240" w:hanging="328"/>
        <w:spacing w:after="0" w:line="2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Vendor Neutral Program. </w:t>
      </w:r>
      <w:r>
        <w:rPr>
          <w:rFonts w:ascii="Times New Roman" w:cs="Times New Roman" w:eastAsia="Times New Roman" w:hAnsi="Times New Roman"/>
          <w:sz w:val="18"/>
          <w:szCs w:val="18"/>
          <w:color w:val="auto"/>
        </w:rPr>
        <w:t>We also provide a vendor management system through our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which also includes the placement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professionals or a menu of various other services. The benefits of our vendor neutral solution include control over the staffing program and suppliers, cost optimization, and visibility into labor needs and usage.</w:t>
      </w:r>
    </w:p>
    <w:p>
      <w:pPr>
        <w:ind w:left="660" w:right="2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Home-Based Staffing. </w:t>
      </w:r>
      <w:r>
        <w:rPr>
          <w:rFonts w:ascii="Times New Roman" w:cs="Times New Roman" w:eastAsia="Times New Roman" w:hAnsi="Times New Roman"/>
          <w:sz w:val="18"/>
          <w:szCs w:val="18"/>
          <w:color w:val="auto"/>
        </w:rPr>
        <w:t>Our Cross Country Community Care division is a premier provider in clinical and non-clinical staffing for home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senior care facilities, including Federally Qualified Health Centers (FQHCs), Community Health Centers (CHCs), and PACE centers, allowing aging populations to remain in their homes as long as clinically advisable. We are a full-service partner, with market expertise and a breadth of services, including contingent staffing, consulting, human capital, management solutions, recruitment process outsourcing, vendor management, and direct hiring.</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Healthcare Services. </w:t>
      </w:r>
      <w:r>
        <w:rPr>
          <w:rFonts w:ascii="Times New Roman" w:cs="Times New Roman" w:eastAsia="Times New Roman" w:hAnsi="Times New Roman"/>
          <w:sz w:val="18"/>
          <w:szCs w:val="18"/>
          <w:color w:val="auto"/>
        </w:rPr>
        <w:t>Through Cross Country Education, we focus our knowledge and resources on engaging with and understanding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educational organizations, industry trends, and leadership challenges. We provide a wide range of services to our educational partners to meet their individual needs, including special education providers, substitute teachers, behavioral aides, speech language pathologists, and occupational therapists, among others. We also fulfill HR-related tasks, alleviating human resource and administrative paperwork so school administrators can focus on student success.</w:t>
      </w:r>
    </w:p>
    <w:p>
      <w:pPr>
        <w:spacing w:after="0" w:line="1" w:lineRule="exact"/>
        <w:rPr>
          <w:rFonts w:ascii="Times New Roman" w:cs="Times New Roman" w:eastAsia="Times New Roman" w:hAnsi="Times New Roman"/>
          <w:sz w:val="18"/>
          <w:szCs w:val="18"/>
          <w:color w:val="auto"/>
        </w:rPr>
      </w:pPr>
    </w:p>
    <w:p>
      <w:pPr>
        <w:ind w:left="660" w:right="160" w:hanging="328"/>
        <w:spacing w:after="0" w:line="25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RPO Services. </w:t>
      </w:r>
      <w:r>
        <w:rPr>
          <w:rFonts w:ascii="Times New Roman" w:cs="Times New Roman" w:eastAsia="Times New Roman" w:hAnsi="Times New Roman"/>
          <w:sz w:val="18"/>
          <w:szCs w:val="18"/>
          <w:color w:val="auto"/>
        </w:rPr>
        <w:t>Through our RPO services, we offer targeted recruitment solutions designed to increase core staff while reducing dependency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labor. Our RPO program provides support to replace or complement a customer’s existing internal recruitment functions for permanent hiring needs and is delivered to healthcare organizations throughout the country and serves to provide creative, cost and operationally efficient hiring support and labor optimization, which leads to improvements in quality of care.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ind w:left="660" w:right="18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Management. </w:t>
      </w:r>
      <w:r>
        <w:rPr>
          <w:rFonts w:ascii="Times New Roman" w:cs="Times New Roman" w:eastAsia="Times New Roman" w:hAnsi="Times New Roman"/>
          <w:sz w:val="18"/>
          <w:szCs w:val="18"/>
          <w:color w:val="auto"/>
        </w:rPr>
        <w:t>Periodically, our customers have urgent needs that fall outside the scope of an MSP arrangement and require a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effort to place staff within a very short window. For example, as healthcare systems continue to upgrade their electronic medical records or encounter a labor disruption, we can provide comprehensive project management, deployment of a full staffing plan, and ultimately an organized volume of quality healthcare professionals during the process so that customers may continue to deliver quality care.</w:t>
      </w:r>
    </w:p>
    <w:p>
      <w:pPr>
        <w:spacing w:after="0" w:line="3"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Interim Leadership, and Contingent Search. </w:t>
      </w:r>
      <w:r>
        <w:rPr>
          <w:rFonts w:ascii="Times New Roman" w:cs="Times New Roman" w:eastAsia="Times New Roman" w:hAnsi="Times New Roman"/>
          <w:sz w:val="18"/>
          <w:szCs w:val="18"/>
          <w:color w:val="auto"/>
        </w:rPr>
        <w:t>We specialize in placing interim and permanent professionals across all levels,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clinical, executive, and administrative functions. Our recruitment services are available on both a retained and contingent basis, with performance-based success fees upon every placement.</w:t>
      </w:r>
    </w:p>
    <w:p>
      <w:pPr>
        <w:spacing w:after="0" w:line="1"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Services. </w:t>
      </w:r>
      <w:r>
        <w:rPr>
          <w:rFonts w:ascii="Times New Roman" w:cs="Times New Roman" w:eastAsia="Times New Roman" w:hAnsi="Times New Roman"/>
          <w:sz w:val="18"/>
          <w:szCs w:val="18"/>
          <w:color w:val="auto"/>
        </w:rPr>
        <w:t>We offer other value-added services such as IRP Consulting &amp; Development. These services seek to augment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with managing, supplementing, and outsourcing aspects of their internal processes of managing their workforce.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Geographic Markets and Customer Base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2025, 2024, and 2023, our revenue was generated in the U.S., and all of our long-lived assets were located in the U.S. and India. We provide our staffing services and workforce solutions in all 50 states. During 2025, the largest percentage of our revenue was concentrated in California, Florida, and New York. We provide services to public and private acute care and non-acute care hospitals, outpatient clinics, ambulatory care facilities, single and multi-specialty physician practices, rehabilitation facilities, PACE programs, urgent care centers, public and charter schools, correctional facilities, government facilities, retailers, and many other healthcare providers. For the years ended December 31, 2025, 2024, and 2023, no customer accounted for more than 10%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compete in the U.S. temporary healthcare staffing and workforce solutions markets. Staffing Industry Analysts’ September 2025 report estimates the 2025 healthcare staffing markets had an aggregate market size of $39.4 billion, of which $14.2 billion was travel nursing, $4.5 billion was per diem nursing, $9.8 billion was allied health, and $9.6 billion was locum tenens and advanced practitioners. The demand for our services is impacted by many factors, of which we believe the most significant are the following: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Demand Drivers</w:t>
      </w:r>
    </w:p>
    <w:p>
      <w:pPr>
        <w:spacing w:after="0" w:line="144" w:lineRule="exact"/>
        <w:rPr>
          <w:sz w:val="20"/>
          <w:szCs w:val="20"/>
          <w:color w:val="auto"/>
        </w:rPr>
      </w:pPr>
    </w:p>
    <w:p>
      <w:pPr>
        <w:ind w:left="58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Healthcare Backdrop. </w:t>
      </w:r>
      <w:r>
        <w:rPr>
          <w:rFonts w:ascii="Times New Roman" w:cs="Times New Roman" w:eastAsia="Times New Roman" w:hAnsi="Times New Roman"/>
          <w:sz w:val="18"/>
          <w:szCs w:val="18"/>
          <w:color w:val="auto"/>
        </w:rPr>
        <w:t>According to the Staffing Industry Analysts’ “US Staffing Industry Pulse Survey Report” (November 2025), no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 year-over-year decline, though travel nursing, per diem nursing, and direct hire were flat as compared to the prior year. Median revenue growth was greatest in locum tenens, up 5%. Staffing Industry Analysts’ “US Staffing Industry Forecast: September 2025 Update” (September 2, 2025) forecasts moderate continued expansion in the locum tenens segment, in part due to persistent physician shortages, with a moderate decline in the allied healthcare segment and the per diem nurse segment in 2025, followed by a modest expansion in both segments in 2026. The travel nurse segment is forecasted to contract for the third consecutive year before experiencing slight growth in 2026, although recovery will be slow with bill rates remaining under pressure. According to the most recent Bureau of Labor Statistics 10-year projections (August 28, 2025), overall, employment is expected to grow 3.1% annually, with the healthcare and social assistance sector having the largest growth of 8.4% annually. Within healthcare, healthcare support occupations and healthcare practitioners and technical occupations are projected to be among the fastest growing of all occupational groups, growing 12.4% and 7.2%, respectively, from 2024 to 2034. Employment growth in the healthcare and social assistance sector is expected to be primarily driven by both the aging population and the growing prevalence of chronic conditions.</w:t>
      </w:r>
    </w:p>
    <w:p>
      <w:pPr>
        <w:spacing w:after="0" w:line="209" w:lineRule="exact"/>
        <w:rPr>
          <w:sz w:val="20"/>
          <w:szCs w:val="20"/>
          <w:color w:val="auto"/>
        </w:rPr>
      </w:pPr>
    </w:p>
    <w:p>
      <w:pPr>
        <w:ind w:left="580"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Supply of Nurses. </w:t>
      </w:r>
      <w:r>
        <w:rPr>
          <w:rFonts w:ascii="Times New Roman" w:cs="Times New Roman" w:eastAsia="Times New Roman" w:hAnsi="Times New Roman"/>
          <w:sz w:val="18"/>
          <w:szCs w:val="18"/>
          <w:color w:val="auto"/>
        </w:rPr>
        <w:t>According to the Bureau of Labor Statistics’ Occupational Outlook Handbook (August 28, 2025), employment of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nurses is projected to grow 5%, or 166,100, from 2024 to 2034, faster than the average for all occupations. The registered nurse workforce is expected to grow from 3.4 million in 2024 to 3.6 million in 2034. The Bureau of Labor Statistics also projects the need for an additional 189,100 new registered nurses each year, on average, through 2034, factoring in nurse retirements and workforce exits.</w:t>
      </w:r>
    </w:p>
    <w:p>
      <w:pPr>
        <w:spacing w:after="0" w:line="203" w:lineRule="exact"/>
        <w:rPr>
          <w:sz w:val="20"/>
          <w:szCs w:val="20"/>
          <w:color w:val="auto"/>
        </w:rPr>
      </w:pPr>
    </w:p>
    <w:p>
      <w:pPr>
        <w:ind w:left="580"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Physician Shortage. </w:t>
      </w:r>
      <w:r>
        <w:rPr>
          <w:rFonts w:ascii="Times New Roman" w:cs="Times New Roman" w:eastAsia="Times New Roman" w:hAnsi="Times New Roman"/>
          <w:sz w:val="18"/>
          <w:szCs w:val="18"/>
          <w:color w:val="auto"/>
        </w:rPr>
        <w:t>According to the Bureau of Labor Statistics’ Occupational Outlook Handbook (August 28, 2025), employment of physicians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surgeons is projected to grow 3% from 2024 to 2034, about as fast as the average for all occupations. About 23,600 openings for physicians and surgeons are projected each year, on average, over the decade. According to the Association of American Medical Colleges’ (AAMC) “Addressing the Physician Workforce Shortage” (March 2024), the United States faces a projected physician shortage of up to 86,000 by 2036. Population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ind w:left="580" w:right="460"/>
        <w:spacing w:after="0" w:line="282" w:lineRule="auto"/>
        <w:rPr>
          <w:sz w:val="20"/>
          <w:szCs w:val="20"/>
          <w:color w:val="auto"/>
        </w:rPr>
      </w:pPr>
      <w:r>
        <w:rPr>
          <w:rFonts w:ascii="Times New Roman" w:cs="Times New Roman" w:eastAsia="Times New Roman" w:hAnsi="Times New Roman"/>
          <w:sz w:val="18"/>
          <w:szCs w:val="18"/>
          <w:color w:val="auto"/>
        </w:rPr>
        <w:t>growth and aging, exacerbated by older physicians who will be retiring soon, serve as the primary drivers of increasing demand for physician services.</w:t>
      </w:r>
    </w:p>
    <w:p>
      <w:pPr>
        <w:spacing w:after="0" w:line="171" w:lineRule="exact"/>
        <w:rPr>
          <w:sz w:val="20"/>
          <w:szCs w:val="20"/>
          <w:color w:val="auto"/>
        </w:rPr>
      </w:pPr>
    </w:p>
    <w:p>
      <w:pPr>
        <w:ind w:left="580" w:right="2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Increased Need for Healthcare and Special Education Services in Schools. </w:t>
      </w:r>
      <w:r>
        <w:rPr>
          <w:rFonts w:ascii="Times New Roman" w:cs="Times New Roman" w:eastAsia="Times New Roman" w:hAnsi="Times New Roman"/>
          <w:sz w:val="18"/>
          <w:szCs w:val="18"/>
          <w:color w:val="auto"/>
        </w:rPr>
        <w:t>According to the U.S. Department of Education, National Center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Education Statistics projections, </w:t>
      </w:r>
      <w:r>
        <w:rPr>
          <w:rFonts w:ascii="Times New Roman" w:cs="Times New Roman" w:eastAsia="Times New Roman" w:hAnsi="Times New Roman"/>
          <w:sz w:val="18"/>
          <w:szCs w:val="18"/>
          <w:color w:val="222222"/>
        </w:rPr>
        <w:t>during 2025, the number of students ages three to twenty-one who received special education services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Individuals with Disabilities Education Act (IDEA) was approximately 7.9 million, or approximately 15% of all public school students. </w:t>
      </w:r>
      <w:r>
        <w:rPr>
          <w:rFonts w:ascii="Times New Roman" w:cs="Times New Roman" w:eastAsia="Times New Roman" w:hAnsi="Times New Roman"/>
          <w:sz w:val="18"/>
          <w:szCs w:val="18"/>
          <w:color w:val="000000"/>
        </w:rPr>
        <w:t>IDEA</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requires that these children and young adults receive care from speech language pathologists, physical therapists, occupational therapists, nurses, and other healthcare professionals while at school.</w:t>
      </w:r>
    </w:p>
    <w:p>
      <w:pPr>
        <w:spacing w:after="0" w:line="221" w:lineRule="exact"/>
        <w:rPr>
          <w:sz w:val="20"/>
          <w:szCs w:val="20"/>
          <w:color w:val="auto"/>
        </w:rPr>
      </w:pPr>
    </w:p>
    <w:p>
      <w:pPr>
        <w:ind w:left="58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Macro Drivers of Demand. </w:t>
      </w:r>
      <w:r>
        <w:rPr>
          <w:rFonts w:ascii="Times New Roman" w:cs="Times New Roman" w:eastAsia="Times New Roman" w:hAnsi="Times New Roman"/>
          <w:sz w:val="18"/>
          <w:szCs w:val="18"/>
          <w:color w:val="auto"/>
        </w:rPr>
        <w:t>According to Insider Intelligence, eMarketer, "The aging US population is creating many problems - especially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elderly healthcare issues" (January 1, 2023), by 2030, one out of every five U.S. citizens will be of retirement age. Every baby boomer will be 65 or older and the oldest close to 85. The U.S. Department of Health and Human Services estimates that a person turning 65 today has a 70% chance of requiring long-term care services at some point. As the massive baby boomer generation ages, demand for nursing facilities will continue to climb. According to a survey by the American Health Care Association and National Center for Assisted Living, 94% of nursing homes deal with staffing shortages, and 46% limit new admissions due to workforce issues.</w:t>
      </w:r>
    </w:p>
    <w:p>
      <w:pPr>
        <w:spacing w:after="0" w:line="213" w:lineRule="exact"/>
        <w:rPr>
          <w:sz w:val="20"/>
          <w:szCs w:val="20"/>
          <w:color w:val="auto"/>
        </w:rPr>
      </w:pPr>
    </w:p>
    <w:p>
      <w:pPr>
        <w:ind w:left="580"/>
        <w:spacing w:after="0" w:line="255" w:lineRule="auto"/>
        <w:rPr>
          <w:sz w:val="20"/>
          <w:szCs w:val="20"/>
          <w:color w:val="auto"/>
        </w:rPr>
      </w:pPr>
      <w:r>
        <w:rPr>
          <w:rFonts w:ascii="Times New Roman" w:cs="Times New Roman" w:eastAsia="Times New Roman" w:hAnsi="Times New Roman"/>
          <w:sz w:val="18"/>
          <w:szCs w:val="18"/>
          <w:color w:val="auto"/>
        </w:rPr>
        <w:t>As an alternative to address these challenges, PACE, a Medicare/Medicaid at-home care program, was created for older adults and people over age 55 living with disabilities. This program provides community-based care and services to people who otherwise would need nursing home levels of care. An Aging in Place study showed that 70% of respondents preferred to age at home. The focus of every PACE organization is to help individuals live in the community for as long as possible. To meet this goal, these organizations focus on preventive care. According to the National PACE Association (NPA), seniors over the age of 65 represent 83% of its members, and 17% of its members are between the ages of 55 and 64. Although all people enrolled in this program are eligible for nursing home care, less than 5% live in nursing homes. On average, states pay PACE programs 12% less than the cost of caring for a comparable population through other Medicaid services, including nursing homes.</w:t>
      </w:r>
    </w:p>
    <w:p>
      <w:pPr>
        <w:spacing w:after="0" w:line="202" w:lineRule="exact"/>
        <w:rPr>
          <w:sz w:val="20"/>
          <w:szCs w:val="20"/>
          <w:color w:val="auto"/>
        </w:rPr>
      </w:pPr>
    </w:p>
    <w:p>
      <w:pPr>
        <w:jc w:val="both"/>
        <w:ind w:left="580" w:right="380"/>
        <w:spacing w:after="0" w:line="242" w:lineRule="auto"/>
        <w:rPr>
          <w:sz w:val="20"/>
          <w:szCs w:val="20"/>
          <w:color w:val="auto"/>
        </w:rPr>
      </w:pPr>
      <w:r>
        <w:rPr>
          <w:rFonts w:ascii="Times New Roman" w:cs="Times New Roman" w:eastAsia="Times New Roman" w:hAnsi="Times New Roman"/>
          <w:sz w:val="18"/>
          <w:szCs w:val="18"/>
          <w:color w:val="auto"/>
        </w:rPr>
        <w:t>New developments with PACE include significant state-level expansion, federal pushes for growth (i.e. veterans’ access and rural grants), new CMS regulations for 2025 impacting Medicare Advantage integration, and a growing focus on leveraging PACE to save costs and serve more seniors through strategic partnerships, with ongoing efforts to streamline operations and address workforce challenges.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one of the largest providers of workforce solutions and healthcare staffing in the U.S., Cross Country operates on a national, regional, and local basis in a highly competitive industry for both healthcare customers and healthcare professionals. In general, we compete against other national companies, as well as numerous smaller, regional, and local companies.</w:t>
      </w:r>
    </w:p>
    <w:p>
      <w:pPr>
        <w:spacing w:after="0" w:line="20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principal competitive factors in attracting, retaining, and expanding business with healthcare customers nationally include: (i) understanding the customer’s environment; (ii) offering a comprehensive suite of services to assist in assessing personnel needs; (iii) partnering with customers to design various customizable alternative solutions; (iv) timely filling of customers’ needs; (v) price; (vi) customer service; (vii) quality assurance and screening capabilities; (viii) risk management policies; (ix) insurance coverage; and (x) general industry reputation.</w:t>
      </w:r>
    </w:p>
    <w:p>
      <w:pPr>
        <w:spacing w:after="0" w:line="20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Through our breadth of and expertise in value-added workforce solutions and tech-enabled services, we have the ability to meet a national shift towards a more integrated delivery of healthcare, which allows us to assist hospitals and health systems turning to lower-cost, more accessible alternatives, such as outpatient or ambulatory care centers. In today’s environment, healthcare systems are seeking alternatives to lower costs, with a trend towards vendor neutral and tech-enabled platforms. Our technology solutions, such as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help our customers better manage their spend. By offering travel, per diem, and permanent placement for a variety of healthcare professionals, we are able to present many different types of personnel to hospitals and health systems at their main campuses and their ambulatory and outpatient facilities.</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principal competitive factors in attracting qualified healthcare professionals for temporary employment include: (i) a large national pool of desirable assignments; (ii) pay and benefits; (iii) speed of placements; (iv) customer service; (v) quality of accommodations; and (vi) overall industry reputation. We focus on retaining healthcare professionals by providing high-quality customer service, long-term benefits (to employees), and medical malpractice insurance.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From a candidate attraction standpoint, we have an extensive customer base with hospitals, healthcare facilities, and other healthcare providers throughout the U.S. As a result, we have a diverse portfolio of assignments for healthcare professionals to choose from. Healthcare professionals apply with us through our differentiated nursing, locum tenens, and allied healthcare recruitment brands. We believe our access to such a large and varied group of healthcare professionals makes us more attractive to healthcare institutions and facilities seeking healthcare staffing and workforce solutions in the current marketplace. Our applicant tracking system for our travel nurse and allied professionals business provides a world-class candidate experience. Our self-service candidate portal, Xperience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provides travel and allied professionals with real-time matching to open positions.</w:t>
      </w:r>
    </w:p>
    <w:p>
      <w:pPr>
        <w:spacing w:after="0" w:line="1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Staffing Industry Analysts recognized Cross Country Healthcare as a leading healthcare staffing firm in the U.S., with 3.0% market share in 2024. We rank as one of the largest firms in travel nurse staffing, per diem nurse staffing, allied healthcare staffing, and locum tenens. Some of our traditional competitors in the workforce solutions, healthcare staffing, and search businesses include: Aya Healthcare, Medical Solutions, AMN Healthcare Services, CHG Healthcare Services, Amergis, Jackson Healthcare, Ingenovis Health, Hallmark Healthcare Staffing, RightSourcing, American Healthcare Services Association, Favorite Staffing, GHR Healthcare, SimpliFi, and HealthTrust Workforce Solutions (HCA). The market continues to evolve with new competitors entering the industry as barriers to entry are fairly low, especially for other non-clinical staffing companies.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number of healthcare professionals on assignment with us is subject to seasonal fluctuations which may impact quarterly revenue and earnings. Hospital patient census and staffing needs of hospital and healthcare facilities may fluctuate, for example, during flu season. This seasonality of revenue and earnings may vary due to a variety of factors and the results of any one quarter are not necessarily indicative of the results to be expected for any other quarter or for any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staffing businesses brands are certified by The Joint Commission under its Health Care Staffing Services Certification Program. The Joint Commission is the recognized global leader for healthcare accreditation. Certification promotes a culture of excellence across the organization and is recognized nationwide as a symbol of quality that reflects an organization’s commitment to meeting certain performance standards. Cross Country is the first publicly traded staffing firm to obtain The Joint Commission Certification, which it still holds with a Letter of Distinction. In 2025, the Company was once again certified by The Joint Commission with no deficiencies.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6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Our business is subject to regulations by numerous governmental authorities in the jurisdictions in which we operate throughout the U.S. Complex federal and state laws and regulations govern, among other things, the licensure of professionals, the payment of our employees (e.g., wage and hour laws, employment taxes, and income tax withholdings), state licensing and reporting requirements, privacy, and our general operations, which may be amended from time to time. Future federal and state legislation or interpretations thereof may require us to change our business practices. Compliance with all of these applicable rules and regulations requires a significant amount of resources. We endeavor to be in compliance with all such rules and regulations.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 (CSR)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(Board) regularly meets with management to discuss CSR-related topics.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CSR Overview - 2025 Highlights:</w:t>
      </w:r>
    </w:p>
    <w:p>
      <w:pPr>
        <w:spacing w:after="0" w:line="252" w:lineRule="exact"/>
        <w:rPr>
          <w:sz w:val="20"/>
          <w:szCs w:val="20"/>
          <w:color w:val="auto"/>
        </w:rPr>
      </w:pPr>
    </w:p>
    <w:p>
      <w:pPr>
        <w:ind w:left="420" w:hanging="412"/>
        <w:spacing w:after="0" w:line="261"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steadfast in our commitment to accelerate employability and access to career growth, continue to be a preferred employer, partner with our customers, and drive positive social impacts.</w:t>
      </w:r>
    </w:p>
    <w:p>
      <w:pPr>
        <w:ind w:left="420" w:right="300" w:hanging="412"/>
        <w:spacing w:after="0" w:line="250"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is informed by topics assessed as critical to the business by internal and external stakeholders such as, but not limited to, strong corporate governance, risk oversight and management, business ethics, talent attraction and retention, career development, training and education, safety, health and wellness, technology innovation, and access to quality healthcare.</w:t>
      </w:r>
    </w:p>
    <w:p>
      <w:pPr>
        <w:spacing w:after="0" w:line="1" w:lineRule="exact"/>
        <w:rPr>
          <w:rFonts w:ascii="Times New Roman" w:cs="Times New Roman" w:eastAsia="Times New Roman" w:hAnsi="Times New Roman"/>
          <w:sz w:val="18"/>
          <w:szCs w:val="18"/>
          <w:color w:val="auto"/>
        </w:rPr>
      </w:pPr>
    </w:p>
    <w:p>
      <w:pPr>
        <w:ind w:left="420" w:right="280" w:hanging="412"/>
        <w:spacing w:after="0" w:line="255"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full responsibility for risk oversight, which occurs at the full Board level and at committees assigned critical risks. The CEO and executive leadership are responsible for alignment of CSR commitments and business strategy. Senior management outlines programs and assigns resources to support CSR commitments and mitigate risk.</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color w:val="auto"/>
        </w:rPr>
        <w:t>Executive leadership reports to and consults with both the Board and Board committees regularly to assess CSR risks and program performance.</w:t>
      </w:r>
    </w:p>
    <w:p>
      <w:pPr>
        <w:spacing w:after="0" w:line="27" w:lineRule="exact"/>
        <w:rPr>
          <w:sz w:val="20"/>
          <w:szCs w:val="20"/>
          <w:color w:val="auto"/>
        </w:rPr>
      </w:pPr>
    </w:p>
    <w:p>
      <w:pPr>
        <w:ind w:left="420" w:right="220" w:hanging="412"/>
        <w:spacing w:after="0" w:line="229"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accelerate employability and continue to be a preferred employer for candidates by connecting them to positions that are meaningful and conducive to career growth through our Xperience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We continue to support healthcare professionals’ needs through a 24/7 hotline, specialized teams, and education and training tuition discount opportunities.</w:t>
      </w:r>
    </w:p>
    <w:p>
      <w:pPr>
        <w:ind w:left="420" w:right="200" w:hanging="412"/>
        <w:spacing w:after="0"/>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supporting our communities through several charities. We remain a loyal supporter of the American Red Cross, Leukemia and Lymphoma Society, American Heart Association, Random Acts of Flowers, Alzheimer’s Association, American Rivers, and Mission 22, among others.</w:t>
      </w:r>
    </w:p>
    <w:p>
      <w:pPr>
        <w:spacing w:after="0" w:line="1" w:lineRule="exact"/>
        <w:rPr>
          <w:rFonts w:ascii="Times New Roman" w:cs="Times New Roman" w:eastAsia="Times New Roman" w:hAnsi="Times New Roman"/>
          <w:sz w:val="18"/>
          <w:szCs w:val="18"/>
          <w:color w:val="auto"/>
        </w:rPr>
      </w:pPr>
    </w:p>
    <w:p>
      <w:pPr>
        <w:ind w:left="420" w:right="320" w:hanging="412"/>
        <w:spacing w:after="0" w:line="243"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Employee Communities have offered insights and support to their members and promoted meaningful advances, based on Cross Country Culture Pillars of Education &amp; Empowerment, Community &amp; Belonging, Health &amp; Wellness, and Innovation &amp; Technology.</w:t>
      </w:r>
    </w:p>
    <w:p>
      <w:pPr>
        <w:spacing w:after="0" w:line="220"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Cross Country was named to the ClearlyRated Best of Staffing awards for all divisions for client, employees, and talent. We have recently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with a Best Company Culture Work-Life Balance and Best Company for Leadership, among others, from Comparably, and were named in the 2024 Best Companies to Work For on U.S. News &amp; World Report’s list. Cross Country has received the Industry Award for Healthcare 2025 by Energage Top Workplaces, along with Top Workplaces LA.</w:t>
      </w:r>
    </w:p>
    <w:p>
      <w:pPr>
        <w:spacing w:after="0" w:line="20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We believe a framework that supports integrity and high ethical standards is key to the long-term success of our business.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is the foundation of trust with employees, customers and vendors and is of the utmost importance in all that we do. The Board oversees the Company’s enterprise risk management function to help ensure that communication among the Board, its committees and management on risk, strategic, sustainability, cybersecurity, and other matters is open, continuous, and robust.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1,106 corporate employees. During 2025, we employed an average of 6,784 full-time equivalent field employees in Nurse and Allied Staffing, which does not include our Physician Staffing independent contractors.</w:t>
      </w:r>
    </w:p>
    <w:p>
      <w:pPr>
        <w:spacing w:after="0" w:line="24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Our goal is to provide work conditions that enable employees to thrive in an environment that is healthy and reduces hazards and health and safety issues, as well as raising awareness on health and safety risks related to our business activities. We believe this drives employee retention and performance, thus allowing us to retain a healthy productive team. As part of our health and safety program, we partner with employees to help them maintain both their physical and mental welfare by providing education on health topics, facilitating complementary health screenings, and offering resources that include a confidential support line. Our culture is infused with a growth mindset that encourages employee internal progression and retention through an array of learning and coaching resources. Employees are held to the ethics standards set forth in our Code of Ethics policy, which also applies to vendors and suppliers. We aim to foster a sound, respectful, fair, and inclusive workplace and condemn all forms of unlawful and inappropriate conduct, such as violence, discrimination, intimidation, harassment, and any behavior that creates a hostile or coercive work environment. In 2025, Cross Country Healthcare was awarded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certification for a fifth year and named in the Best Companies to Work for - South 2024-2025 List by U.S. News &amp; World Report.</w:t>
      </w:r>
    </w:p>
    <w:p>
      <w:pPr>
        <w:spacing w:after="0" w:line="27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Our ability to be successful in our marketplace directly depends on attracting and retaining talented and skilled employees, and keeping those individuals fully engaged in our business. Through our adoption of a Human Rights and Labor Rights Policy guided by the International Labour Organization Declaration on Fundamental Principles, our goal is to help increase the enjoyment of human rights within the communities in which we operate. This policy sets forth our intolerance of discrimination and harassment, our employees’ freedom of association, and the importance we place on the safety and health of our employees.</w:t>
      </w:r>
    </w:p>
    <w:p>
      <w:pPr>
        <w:spacing w:after="0" w:line="27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We are committed to rewarding, supporting, and developing the associates who make it possible to deliver on our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that end, we offer a comprehensive total rewards program aimed at the varying health, home-life, and financial needs of our corporate associates. Our total corporate rewards package includes market-competitive pay, healthcare benefits, retirement savings plans, paid time off and family leave, various discount programs, and tuition assistance.</w:t>
      </w:r>
    </w:p>
    <w:p>
      <w:pPr>
        <w:spacing w:after="0" w:line="1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Health and Wellness. </w:t>
      </w:r>
      <w:r>
        <w:rPr>
          <w:rFonts w:ascii="Times New Roman" w:cs="Times New Roman" w:eastAsia="Times New Roman" w:hAnsi="Times New Roman"/>
          <w:sz w:val="18"/>
          <w:szCs w:val="18"/>
          <w:color w:val="auto"/>
        </w:rPr>
        <w:t>We are committed to the physical and mental health and well-being of our employees. Among other things, we are primarily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remote workforce. We provide free biometric healthcare screenings, a 24/7 hotline for healthcare workers who are experiencing emotional stress, and incentives to employees who achieve specific fitness goals through our “Burnalong” wellness challenge. Our wellness activity calendar features weekly and monthly events and educational sessions to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help employees reach and maintain their health and wellness goals. Monthly well-being newsletters focus on physical, mental, and financial wellness topics of interest. We also mark one or more health observances every month, such as heart health, high blood pressure awareness, men’s health, children’s dental health, and more, which provide additional resources for employees to educate themselves and their families. We believe the health and well-being of our employees has a direct impact on the quality of the services they deliver, and we continue to support them through providing the Compassion Fund for corporate employees suffering financial hardships, offering a paid volunteer day off for corporate employees to serve our communities, providing a psychologist and group therapy as needed, and providing a SaaS-based platform to all of our employees, and up to four family members, for free so they can stay connected through a universe of classes (e.g., yoga, language, psychology, and many others).</w:t>
      </w:r>
    </w:p>
    <w:p>
      <w:pPr>
        <w:spacing w:after="0" w:line="2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Talent Development. </w:t>
      </w:r>
      <w:r>
        <w:rPr>
          <w:rFonts w:ascii="Times New Roman" w:cs="Times New Roman" w:eastAsia="Times New Roman" w:hAnsi="Times New Roman"/>
          <w:sz w:val="17"/>
          <w:szCs w:val="17"/>
          <w:color w:val="auto"/>
        </w:rPr>
        <w:t>Our mission regarding talent management and development is to support organizational results and success by employing strategies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attract, engage, develop, and retain employees, and to partner with our leaders to nurture and grow leadership talent. These investments include providing clear insight into employee performance, creating career paths, promoting from within whenever possible, maintaining open communication, and offering professional development opportunities. We employ Dayforce, a human resources system which features a fully interactive learning management module, where employees can access professional development resources, such as skills training courses. We offer Career Pathing, a system that allows employees to create a path to help guide their career development and growth within the Company. We partner with Strayer University, Excelsior University, and Capella University to provide our employees with access to flexible degree programs at a discounted cost. In 2023, we launched an enterprise mentorship program and a new career pathing program called Cross Country University. Through our Innovation Challenge held in 2022 through 2024, employees voiced original ideas to improve our operations with the chance to win a monetary award. We have also embraced the Nursing Now pledge by reinforcing investment in the workforce, continuing to promote nurses to management roles, and providing guidance and support on best nursing practices through our dedicated clinical team. Nursing Now is a global campaign aimed at improving health by raising the status and profile of nursing.</w:t>
      </w:r>
    </w:p>
    <w:p>
      <w:pPr>
        <w:spacing w:after="0" w:line="20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Community and Social Impact. </w:t>
      </w:r>
      <w:r>
        <w:rPr>
          <w:rFonts w:ascii="Times New Roman" w:cs="Times New Roman" w:eastAsia="Times New Roman" w:hAnsi="Times New Roman"/>
          <w:sz w:val="18"/>
          <w:szCs w:val="18"/>
          <w:color w:val="auto"/>
        </w:rPr>
        <w:t>We participate in numerous events with a variety of non-profit organizations. Our mission to deliver quality patient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extends to our community and we are committed to action that fosters positive impact in our community and around the U.S. Our human resources department develops and implements programs to help our employees realize their potential through volunteering and supporting our communities. Employees are able to take paid time off to perform volunteer activities, and are able to donate to certain charities directly from their pay, either as a one-time or ongoing donation.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Financial reports and filings with the SEC, including this Annual Report on Form 10-K, are available free of charge as soon as reasonably practicable after filing such material with, or furnishing it to, the SEC, on or through our corporate website at www.crosscountry.com. References to websites contained in this Annual Report on Form 10-K are intended to be inactive textual references only. The information found on our website is not part of this Annual Report on Form 10-K or any other report we file with or furnish to the SEC. The SEC also maintains a website at </w:t>
      </w:r>
      <w:r>
        <w:rPr>
          <w:rFonts w:ascii="Times New Roman" w:cs="Times New Roman" w:eastAsia="Times New Roman" w:hAnsi="Times New Roman"/>
          <w:sz w:val="18"/>
          <w:szCs w:val="18"/>
          <w:color w:val="0563C1"/>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Economic, and Industry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financial results may be affected by pandemics, epidemics, or other public health crises.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a pandemic, epidemic, or other public health crisis, certain of our healthcare professionals may be exposed to disease, diagnosed with an illness and/or quarantined as a result of illness. Healthcare workers can become burned out from the emotional and physical stress of a prolonged pandemic, which may result in shortage of supply if core staff members leave their jobs. If, as a result of such risks, our healthcare professionals do not want to, or are not able to provide services, it could negatively impact our supply and ability to provide staffing services to our customers. In addition, census at healthcare facilities continues to vary for many reasons. All of these effects can result in reduced demand for our services or the cancellation of our healthcare professionals working at those facilities or under contract to provide services at those facilities in the future. These effects may also create specific demand in certain specialties and in specific regions of the country.</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financial impact to our healthcare customers from any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 and the effect of economic pressures could lead to decreases in demand or pricing for our services, which would adversely affect the profitability of our business.</w:t>
      </w:r>
    </w:p>
    <w:p>
      <w:pPr>
        <w:spacing w:after="0" w:line="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Uncertainties in global economic conditions that are beyond our control have in the past impacted our business and may in the future materially adversely affect our business, results of operations, financial condition, and stock price. These adverse economic conditions include economic downturns, inflation, recession, slow recovery or growth, new or increased tariffs and other taxes, changes to fiscal and monetary policy, higher interest rates, high unemployment, decreased consumer confidence in the economy, armed hostilities, foreign currency exchange rate fluctuations, conditions affecting the market for temporary staffing services, and other unexpected events, including public health crises.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decrease or stagnation in the general level of in-patient admissions, out-patient services, or government reimbursements at or to our customers’ facilities could lead to decreases in demand or pricing for our services. When a hospital’s admissions increase, temporary employees or other healthcare professionals are often added before full-time employees are hired. As admissions decrease, customers typically reduce their use of temporary employees or other healthcare professionals before undertaking layoffs of their permanent employees. In periods of economic downturn or high inflation, permanent healthcare staff generally work more hours, resulting in fewer vacancies and less demand for our services. Decreases in demand or pricing for our services may also affect our ability to provide attractive assignments to our healthcare professionals. Any substantial economic downturn, including significant inflationary pressures, could have a material adverse effect on our business, financial condition, or operating results.</w:t>
      </w:r>
    </w:p>
    <w:p>
      <w:pPr>
        <w:spacing w:after="0" w:line="19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competing in the marketplace if we are unable to anticipate and quickly respond to changing marketplace conditions, such as alternative modes of healthcare delivery, reimbursement, customer needs, and capabilities.</w:t>
      </w:r>
    </w:p>
    <w:p>
      <w:pPr>
        <w:spacing w:after="0" w:line="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Patient delivery settings continue to evolve, including potential changes related to AI, which may accelerate alternative modes of healthcare delivery, such as retail medicine, telemedicine, and home health. Our success is dependent upon our ability to develop innovative workforce solutions and quickly adapt to changing marketplace conditions and client needs, including making modifications to our technologies and evolving our technology platform. Among other things, we are currently using agentic agents to streamline work flow, and other AI automation platforms to improve our productivity and create efficiencies.</w:t>
      </w:r>
    </w:p>
    <w:p>
      <w:pPr>
        <w:spacing w:after="0" w:line="3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Advancements in AI and machine learning could materially disrupt traditional healthcare staffing models. Competitors – both existing and new entrants – may invest more aggressively in AI-enabled tools or develop and deploy advanced matching,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p>
      <w:pPr>
        <w:ind w:right="60"/>
        <w:spacing w:after="0" w:line="282" w:lineRule="auto"/>
        <w:rPr>
          <w:sz w:val="20"/>
          <w:szCs w:val="20"/>
          <w:color w:val="auto"/>
        </w:rPr>
      </w:pPr>
      <w:r>
        <w:rPr>
          <w:rFonts w:ascii="Times New Roman" w:cs="Times New Roman" w:eastAsia="Times New Roman" w:hAnsi="Times New Roman"/>
          <w:sz w:val="18"/>
          <w:szCs w:val="18"/>
          <w:color w:val="auto"/>
        </w:rPr>
        <w:t>credentialing, scheduling, or workforce optimization technologies faster than we do. If we are unable to match or exceed the pace of innovation within our industry, our competitive position could be adversely affected.</w:t>
      </w:r>
    </w:p>
    <w:p>
      <w:pPr>
        <w:spacing w:after="0" w:line="17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7"/>
          <w:szCs w:val="17"/>
          <w:color w:val="auto"/>
        </w:rPr>
        <w:t>In addition, our hospital, healthcare facility, and physician-group clients may increasingly adopt AI-based systems that automate or significantly streamline functions we have historically provided, such as candidate sourcing, skills matching, and workforce forecasting. If clients use AI tools to build or enhance</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their own internal staffing capabilities or otherwise reduce reliance on third-party staffing firms, demand for our services could decline. AI may also make it easier for clients to increase the productivity of their permanent staff or shift to alternative labor models, each of which could reduce the need for temporary staffing.</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markets in which we compete are highly competitive and our competitors may respond more quickly or effectively to new or emerging customer needs and technological advancements, or marketplace conditions. Uncertainty regarding or changes to federal healthcare law and the willingness of our healthcare providers to develop their own temporary staffing pools, replace core staff or to increase permanent staff productivity may, individually or in the aggregate, significantly affect demand for our services.</w:t>
      </w:r>
    </w:p>
    <w:p>
      <w:pPr>
        <w:spacing w:after="0" w:line="193" w:lineRule="exact"/>
        <w:rPr>
          <w:sz w:val="20"/>
          <w:szCs w:val="20"/>
          <w:color w:val="auto"/>
        </w:rPr>
      </w:pPr>
    </w:p>
    <w:p>
      <w:pPr>
        <w:jc w:val="both"/>
        <w:ind w:right="460"/>
        <w:spacing w:after="0" w:line="245" w:lineRule="auto"/>
        <w:rPr>
          <w:sz w:val="20"/>
          <w:szCs w:val="20"/>
          <w:color w:val="auto"/>
        </w:rPr>
      </w:pPr>
      <w:r>
        <w:rPr>
          <w:rFonts w:ascii="Times New Roman" w:cs="Times New Roman" w:eastAsia="Times New Roman" w:hAnsi="Times New Roman"/>
          <w:sz w:val="18"/>
          <w:szCs w:val="18"/>
          <w:color w:val="auto"/>
        </w:rPr>
        <w:t>The development of new service lines and business models using advanced technology solutions, including but not limited to AI, requires significant ongoing investment and continuing innovation. Our ability to compete effectively will depend on how well we anticipate emerging trends, adapt our business model, and implement new technologies. If we fail to do so, our business, financial condition, and results of operations could be materially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disruptions or downturns may adversely affect our, or our customer’s, operating results and financial condition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Economic conditions and volatility in the financial markets may have an adverse impact on the availability of credit to us and to our customers and businesses generally. Conditions in the credit markets and the economy generally could adversely impact our business and limit or prohibit us from refinancing our credit agreements on terms favorable to us, or at all, when they become due. To the extent that disruption in the financial markets occurs, it has the potential to materially affect our and our customers’ ability to access debt and/or equity markets to continue ongoing operations, cash, and/or pay debts as they come due. Although we monitor our credit risks to specific customers that we believe may present credit concerns, default risk or lack of access to liquidity may result from events or circumstances that are difficult to detect or foresee and this could have a material negative impact to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and regulatory risks associated with international operations.</w:t>
      </w:r>
    </w:p>
    <w:p>
      <w:pPr>
        <w:spacing w:after="0" w:line="121"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We maintain significant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office operations in India through our Cross Country Infotech, Pvt. Ltd. (Infotech) subsidiary, which provides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information systems development and support services, as well as certain finance, accounting, and other administrative processing functions. The concentration of these critical functions outside the United States exposes us to risks inherent in international business operations. Any material disruption affecting our India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operations could adversely impact our ability to support customers, process transactions, maintain systems, or manage key business functions.</w:t>
      </w:r>
    </w:p>
    <w:p>
      <w:pPr>
        <w:spacing w:after="0" w:line="185" w:lineRule="exact"/>
        <w:rPr>
          <w:sz w:val="20"/>
          <w:szCs w:val="20"/>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International operations are subject to numerous risks, including, but not limited to: (i) currency exchange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fluctuations; (ii) changes in foreign governmental regulations and labor laws; (iii) differing political, economic, and social conditions; (iv) overlapping, inconsistent, or shifting tax rules and enforcement practices; (v) employment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regulations governing compensation, benefits, leave, workforce restructuring, and termination; (vi) privacy,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 and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security requirements; and (vii) restrictions or disruptions arising from geopolitical tensions, civil unrest, public health crises, or infrastructure limitations.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India’s regulatory environment continues to evolve, including regulations governing data localization, cybersecurity, and technology services. Changes in these requirements, or our inability to comply with them, could require modifications to our technology infrastructure, limit our ability to process data internationally, increase costs, or subject us to penalties.</w:t>
      </w:r>
    </w:p>
    <w:p>
      <w:pPr>
        <w:spacing w:after="0" w:line="203"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Our operations in India also expose us to potential business interruptions arising from power outages, telecommunications failures, natural disasters, political instability, pandemics, or changes in government policy affecting foreign investment or business operations. Because these India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functions support key processes across our enterprise, any such interruption could delay billing or collections, impair system development or support, disrupt financial reporting processes, or otherwise negatively affect our operations.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if we are unable to effectively manage our international workforce, maintain the security and privacy of data handled abroad, or comply with applicable laws and regulations, we could incur increased operating costs, suffer operational delays,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5" w:name="page16"/>
    <w:bookmarkEnd w:id="15"/>
    <w:p>
      <w:pPr>
        <w:ind w:right="40"/>
        <w:spacing w:after="0" w:line="282" w:lineRule="auto"/>
        <w:rPr>
          <w:sz w:val="20"/>
          <w:szCs w:val="20"/>
          <w:color w:val="auto"/>
        </w:rPr>
      </w:pPr>
      <w:r>
        <w:rPr>
          <w:rFonts w:ascii="Times New Roman" w:cs="Times New Roman" w:eastAsia="Times New Roman" w:hAnsi="Times New Roman"/>
          <w:sz w:val="18"/>
          <w:szCs w:val="18"/>
          <w:color w:val="auto"/>
        </w:rPr>
        <w:t>face regulatory actions, or experience reputational harm. Any of these events could materially and adversely affect our business, financial condition, results of operations, or reputation.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adversely impacted by the loss of key management or corporate employee turnover.</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successful execution of our business strategy and our ability to continue building on significant recent investments depend on the continued leadership and industry expertise of our senior management team and other key corporate employees. In December 2025, we underwent a transition in the role of Chief Executive Officer (CEO). Kevin Clark, our current Chairman of the Board, former CEO, and co-founder, was appointed President and CEO of the Company, effective December 15, 2025. Mr. Clark will continue to serve as the Chairman of the Board. Leadership transitions of this nature inherently present risks, including potential disruption to strategic initiatives, operational focus, organizational stability, and employee engagement. The effectiveness of our new CEO, and our ability to maintain continuity during the transition, will be important to the continued execution of our strategy.</w:t>
      </w:r>
    </w:p>
    <w:p>
      <w:pPr>
        <w:spacing w:after="0" w:line="21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CEO transition, changes in other key leadership roles, whether planned or unplanned, could also create uncertainty, divert management attention, or lead to turnover among employees or customers. If we are unable to successfully manage leadership transitions or retain and attract qualified executives and corporate personnel, our operations and strategic objectives could be adversely affected.</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the loss of key employees or a significant number of corporate or operational staff, or our inability to recruit and retain individuals with the necessary skills and experience, could impair our ability to support the business, compete effectively, and execute on growth initiatives. Any such developments could materially and adversely affect our business,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terminate or not renew their contracts with us.</w:t>
      </w:r>
    </w:p>
    <w:p>
      <w:pPr>
        <w:spacing w:after="0" w:line="16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Our arrangements with hospitals, healthcare facilities, physician group, PACE, and education customers are generally terminable by the customer upon 30 to 90 days’ notice. These customers are focused on cost-saving measures and, more recently, the number of request for proposal (RFPs) appears to have</w:t>
      </w:r>
    </w:p>
    <w:p>
      <w:pPr>
        <w:ind w:right="20"/>
        <w:spacing w:after="0" w:line="266" w:lineRule="auto"/>
        <w:rPr>
          <w:sz w:val="20"/>
          <w:szCs w:val="20"/>
          <w:color w:val="auto"/>
        </w:rPr>
      </w:pPr>
      <w:r>
        <w:rPr>
          <w:rFonts w:ascii="Times New Roman" w:cs="Times New Roman" w:eastAsia="Times New Roman" w:hAnsi="Times New Roman"/>
          <w:sz w:val="18"/>
          <w:szCs w:val="18"/>
          <w:color w:val="auto"/>
        </w:rPr>
        <w:t>increased. As a result, we may lose customers if our customers issue RFPs and choose to contract with one of our competitors instead of us. We may have fixed costs, such as housing costs, associated with terminated arrangements that we will be obligated to pay post-termination, thus negatively impacting our profitability. In addition, the loss of one or more of our large customers could materially and adversely affect our profitability.</w:t>
      </w:r>
    </w:p>
    <w:p>
      <w:pPr>
        <w:spacing w:after="0" w:line="19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healthcare facility customers increase the use of intermediary organizations, it could impact our profitability and our ability to secure contracts with customers.</w:t>
      </w:r>
    </w:p>
    <w:p>
      <w:pPr>
        <w:spacing w:after="0" w:line="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continue to see our customers use intermediary organizations and an increase in the use of side-by-side managed service providers. Intermediaries typically enter into contracts with hospitals or health systems and then subcontract with us and other agencies to provide staffing services, thus interfering to some extent in our relationship with our customers. Each of these intermediaries charges an administrative fee. In instances where we do not win new MSP opportunities or where other vendors win this MSP, a side-by-side MSP opportunity, or vendor management system (VMS) business with our current customers, the number of professionals we have on assignment at those customers and/or our spend under management could decrease. If we are unable to negotiate hourly rates with intermediaries for the services we provide to these customers that are sufficient to cover administrative fees charged by those intermediaries, it could impact our profitability. If hospitals fail to pay the intermediaries for our services or those intermediaries become insolvent or fail to pay us for our services, it could impact our bad debt expense and thus our overall profitability. We also provide comprehensive MSP and other workforce solutions directly to certain of our customers. While such contracts typically improve our market share at these facilities, they could result in less diversification of our customer base, increased liability, and reduced margins.</w:t>
      </w:r>
    </w:p>
    <w:p>
      <w:pPr>
        <w:spacing w:after="0" w:line="10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of providing services may rise faster than we are able to adjust our bill rates and pay rates and, as a result, our margins could decline and our profitability could be adversely impacted.</w:t>
      </w:r>
    </w:p>
    <w:p>
      <w:pPr>
        <w:spacing w:after="0" w:line="9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Costs of providing our services and regulatory changes to required wages could change more quickly than we are able to renegotiate bill rates in our active customer contracts and pay rates with our thousands of healthcare professionals. For example, we offer housing subsidies to some of our healthcare professionals or directly provide housing to other healthcare professionals.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80"/>
        <w:spacing w:after="0" w:line="266" w:lineRule="auto"/>
        <w:rPr>
          <w:sz w:val="20"/>
          <w:szCs w:val="20"/>
          <w:color w:val="auto"/>
        </w:rPr>
      </w:pPr>
      <w:r>
        <w:rPr>
          <w:rFonts w:ascii="Times New Roman" w:cs="Times New Roman" w:eastAsia="Times New Roman" w:hAnsi="Times New Roman"/>
          <w:sz w:val="18"/>
          <w:szCs w:val="18"/>
          <w:color w:val="auto"/>
        </w:rPr>
        <w:t>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customers or renegotiate pay rates with our healthcare providers.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44" w:lineRule="exact"/>
        <w:rPr>
          <w:sz w:val="20"/>
          <w:szCs w:val="20"/>
          <w:color w:val="auto"/>
        </w:rPr>
      </w:pPr>
    </w:p>
    <w:p>
      <w:pPr>
        <w:ind w:right="860"/>
        <w:spacing w:after="0" w:line="241" w:lineRule="exact"/>
        <w:rPr>
          <w:sz w:val="20"/>
          <w:szCs w:val="20"/>
          <w:color w:val="auto"/>
        </w:rPr>
      </w:pPr>
      <w:r>
        <w:rPr>
          <w:rFonts w:ascii="Times New Roman" w:cs="Times New Roman" w:eastAsia="Times New Roman" w:hAnsi="Times New Roman"/>
          <w:sz w:val="18"/>
          <w:szCs w:val="18"/>
          <w:b w:val="1"/>
          <w:bCs w:val="1"/>
          <w:i w:val="1"/>
          <w:iCs w:val="1"/>
          <w:color w:val="auto"/>
        </w:rPr>
        <w:t>We are dependent on the proper functioning of the information systems and technology applications used to operate our business, including applications hosted by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-104140</wp:posOffset>
            </wp:positionV>
            <wp:extent cx="6413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8"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These systems support critical activities such as identifying and matching staffing resources to customer assignments, maintaining clinical and operational records, performing billing and accounts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receivable functions, and managing our accounting and financial reporting. We are in the process of implementing a new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enterprise resource planning (ERP) system intended to modernize and integrate key operational and financial processes.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technology implementations of this nature are inherently complex and involve significant operational dependencies,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migration risks, and 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challenges.</w:t>
      </w:r>
    </w:p>
    <w:p>
      <w:pPr>
        <w:spacing w:after="0" w:line="19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the ERP implementation is delayed, experiences defects or integration issues, or otherwise fails to operate as intended, we could experience business disruptions, reduced functionality of core systems, delays in billing or collections, impaired financial reporting processes, increased costs, or loss of operational efficiency. Any such issues could negatively affect our relationships with customers, PACE partners, and employees, and could result in reputational harm, increased remediation expenses, or material adverse effects on our operating results.</w:t>
      </w:r>
    </w:p>
    <w:p>
      <w:pPr>
        <w:spacing w:after="0" w:line="166"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8"/>
          <w:szCs w:val="18"/>
          <w:color w:val="auto"/>
        </w:rPr>
        <w:t>More broadly, our information systems and vendor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hosted applications are subject to risks including technological obsolescence, system failures, processing interruptions, and cyber or physical attacks. Although our systems are protected through secure hosting facilities and supported by backup and remote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processing capabilities, they remain vulnerable to events such as power outages, telecommunications failures, natural disasters, hardware or software malfunctions, or unauthorized access. If critical systems fail or become inaccessible, we may be forced to perform key functions manually, which could impair our ability to maintain billing and clinical records reliably, bill for services efficiently, manage payroll accurately, or maintain timely and accurate accounting and financial reporting.</w:t>
      </w:r>
    </w:p>
    <w:p>
      <w:pPr>
        <w:spacing w:after="0" w:line="22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Company and third-party computer, technology and communications hardware and software systems are vulnerable to damage, unauthorized access, and disruption that could expose the Company to material operational, financial, and reputational damage (including the unauthorized access to, or exposure of, personal and confidential information).</w:t>
      </w:r>
    </w:p>
    <w:p>
      <w:pPr>
        <w:spacing w:after="0" w:line="1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ability to manage its operations in both the U.S. and India through the use of key systems is critical to its success and largely depends upon the efficient and uninterrupted operation of its computer, technology and communications systems, some of which are provided and/or managed by third-party vendors. The Company’s primary systems (and, as a result, its operations) are vulnerable to damage or interruption from power outages, computer, technology and telecommunications failures, computer viruses, security breaches, cyber attacks, catastrophic events, and errors in usage by the Company’s or its vendors’ employees and contractors. In addition, the Company’s systems contain personal and confidential information, including information of importance to the Company, and its employees, vendors, contractors, and customers.</w:t>
      </w:r>
    </w:p>
    <w:p>
      <w:pPr>
        <w:spacing w:after="0" w:line="21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Cyberattacks, including attacks motivated by the desire for monetary gain, geopolitics, grievances against the business services industry in general or against the Company in particular, may disable or damage its systems or the systems of its vendors or customers, or allow unauthorized access to, or exposure of, personal or confidential information, including information about employees, vendors, candidates, contractors and customers. The Company’s security tools, controls and practices, including those relating to identity and access management, credential strength, and the security tools, controls and practices of its vendors and customers, may not prevent access, damage or disruption to Company or third-party systems or the unauthorized access to, or exposure of, personal or confidential information. There are many approaches through which such systems could be damaged or disrupted, or information exposed or accessed, including through system vulnerabilities, improperly obtaining and using user credentials, or the misuse of authorized user access.</w:t>
      </w:r>
    </w:p>
    <w:p>
      <w:pPr>
        <w:spacing w:after="0" w:line="19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damage or disruption to Company or third-party systems, or unauthorized access to, or exposure of, personal or confidential information, could harm the Company’s operations, reputation and brand, resulting in a loss of business or revenue. It could also subject the Company to government sanctions, litigation from candidates, contractors, customers, and employees, and legal liability under its contracts, resulting in increased costs or loss of revenue. The Company may also incur additional expenses, such as the cost of remediating incidents or improving security measures, the cost of identifying and retaining replacement vendors, increased costs of insurance, or ransomware payments.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p>
      <w:pPr>
        <w:ind w:right="340"/>
        <w:spacing w:after="0" w:line="261" w:lineRule="auto"/>
        <w:rPr>
          <w:sz w:val="20"/>
          <w:szCs w:val="20"/>
          <w:color w:val="auto"/>
        </w:rPr>
      </w:pPr>
      <w:r>
        <w:rPr>
          <w:rFonts w:ascii="Times New Roman" w:cs="Times New Roman" w:eastAsia="Times New Roman" w:hAnsi="Times New Roman"/>
          <w:sz w:val="18"/>
          <w:szCs w:val="18"/>
          <w:color w:val="auto"/>
        </w:rPr>
        <w:t>Cybersecurity threats continue to increase in frequency and sophistication, thereby increasing the difficulty of detecting and defending against them. Furthermore, the potential risk of security breaches and cyberattacks may increase as the Company introduces new service offerings. Any future events impacting the Company or its third-party vendors that damages or interrupts the Company's or its third-party vendors’ systems or exposes data or other confidential information could have a material adverse effect on our operations, reputation, and financial results.</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data privacy and protection laws and regulations in respect of control of personal information (and the failure to comply with such laws and regulations) could increase the Company’s costs or otherwise adversely impact its operations, financial results, and reputation.</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collects, uses, and retains personal information from its customers, employees, employment candidates, and contractors. The possession and use of personal information in conducting the Company’s business may subject it to a variety of complex and evolving laws and regulations regarding data privacy, which, in many cases, apply not only to third-party transfers, but also to transfers of information among the Company and its subsidiaries.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example, there has been a number of recently enacted state-level privacy regulations that assign specific rights to consumers, employees, and other data subjects, and imposes specific operational requirements for businesses that collect, process, and store personal information. Complying with these enhanced obligations, state-level privacy regulations (such as the California Consumer Privacy Act) and other current and future laws and regulations relating to data transfer, residency, privacy and protection have increased, and continue to increase the Company’s operating costs and require significant management time and attention. Simultaneously, any failure by the Company or its subsidiaries to comply with applicable laws could result in governmental enforcement actions, consumer actions, fines, and other penalties that could potentially have an adverse effect on the Company’s operations, financial results and reputation.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ethical, and security issues relating to the use of AI may result in reputational harm and liability</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Many of our business operations and support activities are performed by a predominantly remote workforce. Should any of these employees utilize non-approved AI, this could result in reputational harm to the Company and have an adverse effect on its operations. In addition, we may incorporate traditional and generative AI solutions into our information systems and products that may become important in our operations over time, such as agentic agents and other AI automation platforms to streamline work flow, improve our productivity, and create efficiencies. The ever-increasing use and evolution of technology, including AI, creates opportunities for the potential loss or misuse of personal data that we collect or use to run our business. There is also a risk that we may not have access to the technology and qualified AI personnel resources to adequately incorporate advancements into our AI initiatives. The rapid evolution of AI, including potential government regulations, will require significant resources to develop, test and maintain our platforms to help us implement AI responsibly. This may result in significantly increased business and security costs, administrative penalties, or costs related to defending legal claims.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recruit and retain enough quality professionals to meet our customers’ demands.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significantly on our ability to attract, develop, and retain professionals who possess the skills, experience and, as required, licensure necessary to meet the specified requirements of our customers. We compete for healthcare and other staffing personnel with other temporary staffing companies, as well as actual and potential customers such as healthcare facilities and physician groups, some of which seek to fill positions with either permanent or temporary employees. We rely on word-of-mouth referrals, as well as social and digital media, to attract qualified professionals. If our social and digital media strategy is not successful, our ability to attract qualified professionals could be negatively impacted.</w:t>
      </w:r>
    </w:p>
    <w:p>
      <w:pPr>
        <w:spacing w:after="0" w:line="1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with a shortage of certain qualified professionals in many areas of the United States, competition for these professionals remains intense. Our ability to recruit and retain professionals depends on our ability to, among other things, offer assignments that are attractive to professionals and offer them competitive wages and benefits or payments, as applicable. Our competitors might increase hourly wages or the value of benefits to induce professionals to take assignments with them. If we do not raise wages or increase the value of benefits in response to such increases by our competitors, we could face difficulties attracting and retaining qualified professionals. If we raise wages or increase benefits in response to our competitors’ increases, our customers and our margins could decline. At this time, we still do not have enough nurses, allied professionals, and physicians to meet all of our customers’ demands for these staffing services. A shortage of healthcare professionals generally and the competition for their services may limit our ability to increase the number of healthcare professionals that we successfully recruit, decreasing our ability to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Our labor costs could be adversely affected by a shortage of experienced healthcare professionals and labor union activity.</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operations are dependent on our ability to recruit and staff quality healthcare professionals. We compete with other staffing companies and technologies in recruiting and retaining qualified personnel. We may be required to enhance wages and benefits to our employees through mandatory minimum wage laws,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9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support personnel, or in controlling labor costs, this could have an adverse effect on our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for the execution of certain critical functions.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outsourced certain critical applications or business processes to external providers, including, but not limited to, background screenings of our employees. We exercise care in the selection and oversight of these providers. However, the failure or inability of one or more of these critical suppliers to perform could cause significant disruptions and increased costs to our business. In addition, we rely on third-party timekeeping systems in certain circumstances to process payroll. To the extent that these payroll systems experience a disruption or delay in reporting time worked by our healthcare professionals, we may not be able to make payroll to our healthcare workers timely. This could result in significant dissatisfaction by our healthcare workers and damage to our reputation, in addition to violations of certain laws or regulations. We have a risk mitigation plan in place in the event this were to occur, but the inability to effectively implement this plan, or its failure, could cause an adverse impact to our business and our financials.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use of social media platforms expands, new risks and challenges may cause damage to our brand and reputation.</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industry, the use of social media platforms has increased due to the ability to access to a broad audience through social media websites and other internet communication. Any inappropriate or unauthorized use of certain social media vehicles by our employees, contractors, customers, or vendors could cause damage to our brand, or result in information leakage that could have legal implications, including the dissemination of personally identifiable information of customers or employees. In addition, inaccurate or negative posts or comments on social media websites could damage our reputation or brand image.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reputation could have a material adverse effect on our business.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our industry reputation is critical to our success. We also believe that maintaining and enhancing our reputation directly relates to our ability to hire and retain healthcare professionals. Any negative claims or publicity about us, including through social media, may adversely impact our ability to recruit, hire, and retain qualified healthcare professionals, and may also adversely affect relationships with our customers. In this regard, failure to comply with ethical, social, product, labor, health and safety, accounting, or environmental standards could jeopardize our reputation and potentially lead to various adverse effects on our business.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reputation may also be impacted by our CSR and sustainability initiatives. Risks associated with these initiatives include any increased public focus, including by governmental and nongovernmental organizations, new laws and regulations, increased costs associated with sustainability efforts and/or compliance with laws and regulations. In addition, organizations that provide information to investors on corporate governance and related matters have developed ratings processes for evaluating companies on their approach to CSR matters. Such ratings are used by some investors to inform their investment and voting decisions. Unfavorable CSR ratings may lead to increased negative investor sentiment toward us, which could have a negative impact on the price of our securities and our access to and costs of capital.</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of the foregoing could expose us to market, operational, and execution costs or risks. Any CSR or sustainability metrics that we currently or may in the future disclose, whether based on the standards we set for ourselves or those set by others, may influence our reputation and the value of our brands.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right="60"/>
        <w:spacing w:after="0" w:line="252" w:lineRule="auto"/>
        <w:rPr>
          <w:sz w:val="20"/>
          <w:szCs w:val="20"/>
          <w:color w:val="auto"/>
        </w:rPr>
      </w:pPr>
      <w:r>
        <w:rPr>
          <w:rFonts w:ascii="Times New Roman" w:cs="Times New Roman" w:eastAsia="Times New Roman" w:hAnsi="Times New Roman"/>
          <w:sz w:val="18"/>
          <w:szCs w:val="18"/>
          <w:color w:val="auto"/>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financial health of our customers, which could have a negative impact on our business. In addition, application and interpretation of laws sometimes change and those changes may spark regulatory inquiries or investigations as a result, for which we may not be insured and which could adversely affect our business and financial condition. Insurance companies and managed care organizations also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customers’ reimbursement. Such limitations on reimbursement could reduce our customers’ cash flows, hampering the prices we can charge customers, and reducing their ability to pay us. Reimbursement changes in government programs, particularly Medicare and Medicaid, can and do indirectly affect the demand and the prices paid for our services. The impact of any legislation to repeal, amend, or replace the Affordable Care Act could also adversely affect our business and financial condition.</w:t>
      </w:r>
    </w:p>
    <w:p>
      <w:pPr>
        <w:spacing w:after="0" w:line="22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78"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Our industry is subject to numerous and complex federal, state, local, and international laws and regulations, including those relating to the: licensure of professionals; medical malpractice and associated indemnity obligations; wage and hour requirements; employment taxes; arbitration agreements; income tax withholdings; expense reimbursements; wage transparency mandates; and general business operations, including tax compliance. Failure to comply with applicable laws or regulations may result in civil or criminal penalties, government investigations, litigation, or other adverse actions.</w:t>
      </w:r>
    </w:p>
    <w:p>
      <w:pPr>
        <w:spacing w:after="0" w:line="212"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Although we maintain insurance for employment-related and other claims, such coverage may not cover all claims, may require us to pay significant self-insured retentions, or may not remain available at reasonable cost. If coverage is insufficient, unavailable, or subject to limitations, we could be required to pay substantial liabilities directly. Any of these outcomes could materially and adversely affect our business, financial condition, results of operations, and earnings per share</w:t>
      </w:r>
    </w:p>
    <w:p>
      <w:pPr>
        <w:spacing w:after="0" w:line="20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More specifically, our caregiver services to PACE programs (home-base staffing) business supports PACE programs in several states. Many states have not adopted licensure requirements or regulatory frameworks specific to our home-based staffing business model. However, existing statutes in certain jurisdictions could be interpreted to require licensure of our home-based staffing operations. If regulators adopt interpretations that differ from our own, we could be found to be out of compliance, which may result in reputational harm, financial penalties, operational disruption, or the need to modify our business model.</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2024, following an investigation, the California Department of Social Services (CDSS) determined that we were not required to register as a home care organization. Despite no change in applicable regulations or in our business model, CDSS conducted additional investigations in November 2025 and early 2026 that resulted in our receipt of a Notice of Violation of Law (NOVL) alleging that our operations require licensure. We appealed the NOVL, which was denied in February 2026. While we filed a second appeal and an application for licensure, an adverse outcome would require us to obtain licensure and result in additional costs, among other things, to register our caregivers with the State of California, and could result in the loss of caregivers, require us to restructure elements of our operations, or limit the services we provide in California. Other states may take similar positions or revisit prior regulatory interpretations. Any such developments could impose material costs, create operational uncertainty, or negatively affect our ability to serve PACE programs or other clients and we are not insured for this risk.</w:t>
      </w:r>
    </w:p>
    <w:p>
      <w:pPr>
        <w:spacing w:after="0" w:line="21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litigation, claims, investigations, and other proceedings which could result in substantial judgments, settlement costs, or uninsured liabilities.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party to various litigation, claims, investigations, and other proceedings. These matters primarily relate to employee-related matters that include individual and collective claims, professional liability, tax, and payroll and/or related practices. We evaluate these litigation claims and legal proceedings to assess the likelihood of unfavorable outcomes and to estimate, if possible, the amount of potential losses. Additionally, as a result of the economy and changes to the law, increased collective bargaining actions, healthcare professionals no longer being able to secure the same level of income as they did</w:t>
      </w:r>
    </w:p>
    <w:p>
      <w:pPr>
        <w:spacing w:after="0" w:line="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COVID-19 pandemic, and other factors, the number of litigation claims have increased in both volume and financial recovery. Based on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disclosures and our loss contingency accruals, which may increase as a result of increased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ind w:right="40"/>
        <w:spacing w:after="0" w:line="261" w:lineRule="auto"/>
        <w:rPr>
          <w:sz w:val="20"/>
          <w:szCs w:val="20"/>
          <w:color w:val="auto"/>
        </w:rPr>
      </w:pPr>
      <w:r>
        <w:rPr>
          <w:rFonts w:ascii="Times New Roman" w:cs="Times New Roman" w:eastAsia="Times New Roman" w:hAnsi="Times New Roman"/>
          <w:sz w:val="18"/>
          <w:szCs w:val="18"/>
          <w:color w:val="auto"/>
        </w:rPr>
        <w:t>litigation claims.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recent years, healthcare providers and the Company have become subject to or brought an increasing number of legal actions alleging, among other things, malpractice, vicarious liability, violation of certain consumer protection acts, negligent hiring, negligent credentialing, discrimination, wage and hour, or related legal theories. We may be subject to liability in such cases even if our Company’s contribution to the alleged injury was minimal or related to one of our subcontractors or its employees. Many of these actions, including class actions, involve large claims and significant defense costs. In addition, we may be subject to claims related to torts or crimes committed by our corporate employees or healthcare professionals that we place on assignment. In most instances, we are required to indemnify customers against some or all of these risks, and, at times, liabilities attributable to our subcontractors and their personnel, and the law may consider the Company and its customers to be joint employers, adding further complexities to litigation. A failure of any of our corporate employees, healthcare professionals, or subcontracted personnel to observe our policies and guidelines, relevant customer policies and guidelines, or applicable federal, state, or local laws, rules, and regulations could result in negative publicity, payment of fines, or other damages to us.</w:t>
      </w:r>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although we do not maintain insurance coverage for wage and hour claims or for liabilities of our subcontractors or their personnel. We are partially self-insured for our workers’ compensation coverage, health insurance coverage, and professional liability coverage for our healthcare providers. If we become subject to substantial uninsured workers’ compensation, wage and hour claims,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applicable government regulations change, we may face increased costs that reduce our revenue and profitability.</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Several states have adopted wage transparency or equity laws that have complex reporting requirements.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customers.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12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 (NOLs).</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periodically subject to a number of tax examinations by taxing authorities in the states and countries where we do business. We also have deferred tax assets related to our NOLs in federal and state taxing jurisdictions, which, generally carry forward for up to twenty years or indefinitely, depending on the year the NOL was generated.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 addition, federal, state and local, as well as international, tax laws and regulations are extremely complex and subject to varying interpretations. On March 27, 2020, President Biden signed the Coronavirus Aid, Relief, and Economic Security (CARES) Act into law, which was extended under the Taxpayer Certainty and Disaster Relief Act of 2020 passed on December 27, 2020. Further, on March 11, 2021, President Biden signed the American Rescue Plan Act of 2021 (ARPA). On July 4,</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2025, President Trump signed the One, Big, Beautiful Bill Act into legislation. We are not aware of any provision in the CARES Act, ARPA, or any other pending tax legislation that would have a material adverse impact on the Company's financial performance. There can be no assurance that the CARES Act, ARPA, the Tax Cuts and Jobs Act of 2017 (2017 Tax Act), or any other legislative changes will not negatively impact our operating results, financial condition, and future business operations.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be limited in our ability to utilize our remaining state NOLs to offset future taxable income and thereby reduce our otherwise payable income taxes. Our ability to utilize NOLs is also dependent, in part, upon us having sufficient future earnings to utilize our state NOLs before they expire. If market conditions change materially and we determine that we will be unable to generate sufficient taxable income in the future to utilize state NOLs, we could be required to record additional valuation allowances. We review the valuation allowances for state NOLs periodically and make adjustments from time to time, which can result in an increase or decrease to the net deferred tax asset related to our state NOLs. If we are unable to use state NOLs or use of state NOLs is limited, we may have to make significant payments or reduce our deferred tax assets, which could have a material adverse effect on our business, results of operations, and financial condition.</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Other than in California and Illinois, where advanced practitioners are required to be classified as W-2 employees by law,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method for paying locum tenens physicians changes, it could negatively impact our profitability.</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Medicare Access and CHIP Reauthorization Act of 2015 created a certain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have a level of indebtedness which may have an adverse effect on our business or limit our ability to take advantage of business, strategic, or financing opportunities.</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we had no borrowings under our Asset-Based Loan Agreement (ABL). A change in our level of indebtedness could have important negative consequences including: (i) increased demands on our cash resources to service the debt; (ii) our financial and operating flexibility may be restricted due to debt covenants to which we are subject, and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214"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and industry conditions;</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pay higher interest rates upon refinancing or on our variable rate indebtedness if interest rates rise, thereby reducing our cash flows;</w:t>
      </w:r>
    </w:p>
    <w:p>
      <w:pPr>
        <w:spacing w:after="0" w:line="157" w:lineRule="exact"/>
        <w:rPr>
          <w:rFonts w:ascii="Times New Roman" w:cs="Times New Roman" w:eastAsia="Times New Roman" w:hAnsi="Times New Roman"/>
          <w:sz w:val="18"/>
          <w:szCs w:val="18"/>
          <w:color w:val="auto"/>
        </w:rPr>
      </w:pPr>
    </w:p>
    <w:p>
      <w:pPr>
        <w:ind w:left="180" w:right="720" w:hanging="172"/>
        <w:spacing w:after="0" w:line="282"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obtain additional financing to fund future working capital, capital expenditures, acquisitions, and other general corporate requirements that would be in our long-term interests;</w:t>
      </w:r>
    </w:p>
    <w:p>
      <w:pPr>
        <w:spacing w:after="0" w:line="80" w:lineRule="exact"/>
        <w:rPr>
          <w:rFonts w:ascii="Times New Roman" w:cs="Times New Roman" w:eastAsia="Times New Roman" w:hAnsi="Times New Roman"/>
          <w:sz w:val="18"/>
          <w:szCs w:val="18"/>
          <w:color w:val="auto"/>
        </w:rPr>
      </w:pPr>
    </w:p>
    <w:p>
      <w:pPr>
        <w:ind w:left="180" w:right="100" w:hanging="172"/>
        <w:spacing w:after="0" w:line="282"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9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flexibility in planning for, or reacting to, changes in our business or in the industry;</w:t>
      </w:r>
    </w:p>
    <w:p>
      <w:pPr>
        <w:spacing w:after="0" w:line="1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competitive disadvantage relative to other companies in our industry that are less leveraged;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180" w:right="40" w:hanging="172"/>
        <w:spacing w:after="0" w:line="282"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sell debt or equity securities or sell some of our core assets, possibly on unfavorable terms, in order to meet payment obligations; and</w:t>
      </w:r>
    </w:p>
    <w:p>
      <w:pPr>
        <w:spacing w:after="0" w:line="9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raise capital to execute our mergers and acquisitions strategy.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constraints could have a material adverse effect on our business.</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generate sufficient cash to fund our liquidity needs and/or fail to satisfy the financial and other covenants to which we are subject under our existing indebtedness, which could adversely affect long term growth and results of operations.</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have sufficient liquidity to operate our business in the normal course. If, however, we were to close an acquisition or enter into a similar type of transaction, our liquidity needs may exceed our current capacity. Our credit facility currently contains an occurrence-based financial covenant that may be triggered if we fall below a certain level of excess availability, requiring us to operate above a minimum fixed charge coverage ratio. Additionally, our borrowing capacity is based on trade receivables and we could have a loss in availability due to market or other financial conditions affecting our customers and their ability to pay according to terms, resulting in ineligible receivables (to borrow against). Deterioration in our operating results could result in our inability to comply with this covenant and would result in a default under our credit facility. If an event of default exists, our lenders could call the indebtedness and we may be unable to renegotiate or secure other financing.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15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opportunities to acquire companies or enter into other strategic transactions which may involve significant cash expenditures and expose us to unforeseen liabilities and/or integration challenges.</w:t>
      </w:r>
    </w:p>
    <w:p>
      <w:pPr>
        <w:spacing w:after="0" w:line="18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We continually evaluate opportunities to acquire companies or enter into other strategic transactions. These transaction opportunities involve numerous risks and uncertainties, including, but not limited to, those related to our ability to successfully consummate a transaction and realize the expected benefits related thereto. If we pursue a strategic transaction that we are ultimately unable to complete, our business, results of operations, and financial condition could be adversely impacted. For example, as previously disclosed, on December 3, 2024, we entered into the Aya Merger Agreement, which, subject to certain closing conditions, provided for the acquisition of the Company by Parent. On December 3, 2025, we received a notice of termination of the Aya Merger Agreement from Parent. While Parent paid us a termination fee of $20.0 million as a result of the termination of the Aya Merger Agreement, we incurred substantial transaction costs in connection with the Aya Merger.</w:t>
      </w:r>
    </w:p>
    <w:p>
      <w:pPr>
        <w:spacing w:after="0" w:line="21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Additionally, we have in the past and may in the future acquire companies that we believe would complement or enhance our business. Acquiring a company may result in the loss of our key employees or customers or those of the acquired company; integration challenges including integrating acquired personnel and distinct cultures into our business; integrating the acquired company into our operating, financial planning, and financial reporting systems; diversion of management attention from existing operations; and assumptions of liabilities and exposure to unforeseen liabilities of the acquired company,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Notwithstanding the due diligence investigation we perform in connection with acquisitions, the acquired business may have liabilities, losses, or other exposures for which we do not have adequate insurance coverage, indemnification, or other protection.</w:t>
      </w:r>
    </w:p>
    <w:p>
      <w:pPr>
        <w:spacing w:after="0" w:line="1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we perform significant due diligence prior to signing purchase agreements, we are dependent on the accuracy and completeness of statements and disclosures made or actions taken by the sellers and their representatives when conducting due diligence and evaluating the results of such due diligence. We do not control and may be unaware of activities of the sellers before the acquisition, including intellectual property disputes and other litigation or disputes, information security vulnerabilities, violations of laws, policies, rules, and regulations, commercial disputes, tax liabilities, and other liabilities.</w:t>
      </w:r>
    </w:p>
    <w:p>
      <w:pPr>
        <w:spacing w:after="0" w:line="20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or be able to, collect sufficient, or any, indemnification or recourse from the sellers, which could have a material adverse impact on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natural disasters, such as hurricanes and fires, or other unexpected events, could cause us to suffer material financial losses.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Catastrophes can be caused by various events, including, but not limited to, hurricanes, fires, and other severe weather. The incidence and severity of catastrophes are inherently unpredictable. With our headquarters, shared services, and many of our remote workers located in South Florida, we are more vulnerable to possible disruptions from hurricanes and the impacts resulting therefrom, such as tornadoes, flooding, fuel shortages, and disruption of internet and telecommunications services. We also have a significant amount of business and employees in California, which is vulnerable to wildfires and earthquakes. Over time, these conditions could result in increases in our operating costs or business interruptions.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or other catastrophes, including unexpected events.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Locations operated by our vendors may also be subject to natural disasters or other extreme weather conditions. To the extent any of these events occur, our operations and financial results could be adversely affected.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inherent limitations, our system of disclosure and internal controls and procedures may not be successful in preventing all errors and fraud, or in making all material information known in a timely manner to management.</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any design may not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trade names, or other intangible assets could negatively impact our net income and earnings per share.</w:t>
      </w:r>
    </w:p>
    <w:p>
      <w:pPr>
        <w:spacing w:after="0" w:line="256"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an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In the fourth quarter of 2025, we recorded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goodwill impairment charges, triggered by the fourth quarter decline in the Company's equity market capitalization. Following these charges, the remaining goodwill balances for each reporting unit reflect management’s best estimate of fair value based on current market conditions and expectations for future performance. We cannot accurately predict the amount and timing of any future impairment of assets. Should the value of goodwill or other intangible assets become impaired, there could be an adverse effect on us.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9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involving us that our stockholders may consider favorable. For example, our certificate of incorporation authorizes our Board to issue up to 10,000,000 shares of “blank check” preferred stock. Without stockholder approval, the Board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acknowledge the evolving nature of cyber threats to our business and industry. The Board oversees management’s processes for identifying and mitigating cybersecurity risks to help align our risk exposure with our strategic objectives. To that end, cybersecurity risk management is integrated into the Company's overall enterprise risk management function. The Company utilizes a combination of processes and systems designed to assess, monitor, and respond to organizational cybersecurity risks in an effective manner across our operations. The cybersecurity risk management program includes regular assessments, providing a holistic view of our risk posture; this contributes to the ongoing improvement of our process, cybersecurity program, and security position.</w:t>
      </w:r>
    </w:p>
    <w:p>
      <w:pPr>
        <w:spacing w:after="0" w:line="21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Understanding the importance of cybersecurity, the Board maintains oversight of the cybersecurity risks and threats within the organization. Specifically, the Board has delegated authority to the Audit Committee to oversee risk management relating to cybersecurity. The Audit Committee is composed of members with various expertise including risk management, technology, and finance.</w:t>
      </w:r>
    </w:p>
    <w:p>
      <w:pPr>
        <w:spacing w:after="0" w:line="20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Company’s information security program is managed by a dedicated Vice President (VP) of Security Compliance and Risk Management (VP of Security), whose team is responsible for leading enterprise-wide cybersecurity strategy, policy, standards, architecture, and processes, and who reports directly to the Chief Information Officer (CIO).</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Security and Privacy Steering Committee meets on a regular basis and provides oversight of our security and privacy programs inclusive of defining the security strategy, reviewing risks and risk management strategies, and program performance. The committee is chaired by the VP of Security and comprises a broad selection of Senior Management leaders within the organization. This facilitates enterprise-wide collaboration in aligning cybersecurity objectives with organizational goals.</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VP of Security reports regularly to the CIO and the Security and Privacy Steering Committee. Further, the CIO provides regular reports to the Audit Committee and to the full Board. Reports include updates on our cyber risks and threats, projects to strengthen our information security systems, assessments of the information security program, and the emerging threat landscape.</w:t>
      </w:r>
    </w:p>
    <w:p>
      <w:pPr>
        <w:spacing w:after="0" w:line="199"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Program Components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Based Program</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use our best efforts to align our cybersecurity risk management with industry best practices, including processes to prevent, identify, assess, treat, monitor, and report on organizational risks. We design and assess our program utilizing tools such as the National Institute of Standards and Technology Cybersecurity Framework. This does not imply that we meet any particular technical standards, specifications, or requirements, only that we use these tools as a guide to help us identify, assess, and manage cybersecurity risks relevant to our business. This covers Company owned and managed systems and technologies, along with those supplied to the organization by third parties.</w:t>
      </w:r>
    </w:p>
    <w:p>
      <w:pPr>
        <w:sectPr>
          <w:pgSz w:w="11900" w:h="16838" w:orient="portrait"/>
          <w:cols w:equalWidth="0" w:num="1">
            <w:col w:w="11220"/>
          </w:cols>
          <w:pgMar w:left="320" w:top="10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Evolving Threats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 program utilizes various resources, inclusive of third-party partners, to support an awareness and understanding of evolving cybersecurity threats, allowing the organization to be actively engaged in understanding and staying abreast of risks, and thereby supporting informed decision-making.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Response</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strategy includes a formal Incident Response Plan, designed to help the organization prepare for, respond to, and recover from confirmed or suspected cybersecurity or privacy incidents. Further, it evaluates and validates the effectiveness of our incident response capabilities, and allows for improvements as needed.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course of normal business operations, the Company collects, stores, and processes personal data. Being cognizant of the importance of protecting personal data and respecting the rights of individuals to have control over their personal information, the organization implements a data privacy program designed to comply with U.S. data privacy regulations and incorporates data privacy into its risk management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Education</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Our enterprise-wide awareness and training program is utilized to mitigate risks by educating users on their role in combating security breaches, following good security practices, and maintaining awareness of security risks associated with their actions. This program includes mandatory and optional activities inclusive of online training, presentations, newsletters, blog posts, and simulation exercises.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Third Parties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Being cognizant of the complexity and dynamic nature of cybersecurity threats, the Company engages the services of various third-party experts, inclusive of managed security service providers, application and infrastructure cybersecurity assessors, consultants, and advisors. These engagements allow for the supplementing of our internal capabilities with specialized knowledge and expertise in the execution of cybersecurity strategic functions.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Risks</w:t>
      </w:r>
    </w:p>
    <w:p>
      <w:pPr>
        <w:spacing w:after="0" w:line="3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Given that risks associated with third parties can adversely impact an organization’s overall security and risk posture, the Company implements a third-party risk management program to assess the security posture of third-party service providers. This includes security assessments prior to service engagement and ongoing monitoring.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Benchmarking</w:t>
      </w:r>
    </w:p>
    <w:p>
      <w:pPr>
        <w:spacing w:after="0" w:line="3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The Company understands that the effective management of cybersecurity risks requires continuous assessment and improvement. Security benchmarking is a critical component to assess how well our security investments and processes compare with internal and external standards and objectives.</w:t>
      </w:r>
    </w:p>
    <w:p>
      <w:pPr>
        <w:spacing w:after="0" w:line="180"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Role and Expertise</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the Company’s cybersecurity risks rests with the VP of Security, who has nearly two decades of dedicated experience in the field of cybersecurity across multiple industries, and a Ph.D. in Information Systems. Their background includes extensive experience in cybersecurity program development, leadership, and risk management, which is instrumental in the execution of our cybersecurity strategies. Some specific responsibilities include overseeing our governance and compliance, risk management (identification, assessments, and treatment), and security and privacy awareness programs.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More broadly, the Company's CIO possesses a wealth of information technology expertise and has served in various technology leadership roles across multiple industries. The office of the CIO is responsible for all technology systems, services, and solutions. The cybersecurity function reports directly into the office of the CIO.</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the extensive approach we take to cybersecurity, we may not be successful in preventing or mitigating a cybersecurity incident that could have a material adverse effect on the Company. While we maintain cybersecurity insurance, the costs related to cybersecurity threats or disruptions may not be fully insured. See Item 1A. “Risk Factors”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we actively leased office space in 10 facilities located in 4 states within the United States. We also lease office space in a facility located in Pune, India. See our lease obligations as of December 31, 2025 in Note 9 - Leases to our consolidated financial statements. We continuously evaluate facility needs based on the extent of our service offerings, the rate of customer growth or decline, the geographic distribution of our customer base, changing market conditions, and our long-term goals. As of December 31, 2025, our material leased properties are described below:</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2025, we relocated our corporate headquarters within Boca Raton, Florida. Our new headquarters has approximately 26,000 square feet of office space under lease through December 2026. This space is occupied by our corporate executive staff, legal, finance, risk management, internal audit, and information technology teams. Our Nurse and Allied executive staff and operations personnel, as well as shared support functions of human resources, payroll and billing, sales, and marketing also occupy this space.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facility located in Pune, India has approximately 38,000 square feet of office space under lease through April 2029. This space houses certain software development and information technology support, as well as certain sourcing, finance, and shared support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12 - Contingencies to the consolidated financial statements contained in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and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7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currently trades under the symbol “CCRN” on the Nasdaq Global Select Market (Nasdaq).</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2020 and tracks it through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577215</wp:posOffset>
            </wp:positionV>
            <wp:extent cx="565785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65785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February 17, 2026, there were 124 stockholders of record of our common stock. In addition, there were 13,568 beneficial owners of our common stock held by brokers or other institutions on behalf of stockholders.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never paid or declared cash dividends on our common stock. Covenants in our credit agreement limit our ability to repurchase our common stock and declare and pay cash dividends on our common stock. On August 16, 2022, our Board of Directors authorized a new stock repurchase program (Repurchase Program), whereby we could repurchase up to $100.0 million of our shares of common stock, subject to the terms of our current credit agreements. In addition to the repurchase of $100.0 million of our shares of common stock under the Repurchase Program, we were authorized to continue to repurchase any remaining shares available for repurchase under our previous stock repurchase program, which was approved by the Board of Directors on February 28, 2008 (Prior Repurchase Program). In August 2022, we repurchased the remaining shares available for repurchase under the Prior Repurchase Program. Upon completion of the authorized number of shares available for repurchase under the Prior Repurchase Program, we commenced repurchases under the Repurchase Program during the third quarter of 2022. On May 1, 2023, our Board of Directors authorized approximately $59.0 million in additional share repurchases to be added to the Repurchase Program, such that, effective for trades made after May 3, 2023, the aggregate amount available for stock repurchases was set at $100.0 million. The shares may be repurchased from time-to-time in the open market or in privately negotiated transactions. The Repurchase Program was effective immediately and may be discontinued at any time at the Board's discretion.</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28" w:name="page29"/>
    <w:bookmarkEnd w:id="28"/>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fourth fiscal quarter ended December 31, 2025. See Note 14 - Stockholders’ Equity to our consolidated financial statements for additional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0" w:type="dxa"/>
            <w:vAlign w:val="bottom"/>
          </w:tcPr>
          <w:p>
            <w:pPr>
              <w:spacing w:after="0"/>
              <w:rPr>
                <w:sz w:val="17"/>
                <w:szCs w:val="17"/>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Approximate Dollar</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200" w:type="dxa"/>
            <w:vAlign w:val="bottom"/>
          </w:tcPr>
          <w:p>
            <w:pPr>
              <w:spacing w:after="0"/>
              <w:rPr>
                <w:sz w:val="16"/>
                <w:szCs w:val="16"/>
                <w:color w:val="auto"/>
              </w:rPr>
            </w:pPr>
          </w:p>
        </w:tc>
        <w:tc>
          <w:tcPr>
            <w:tcW w:w="16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Number of</w:t>
            </w:r>
          </w:p>
        </w:tc>
        <w:tc>
          <w:tcPr>
            <w:tcW w:w="220" w:type="dxa"/>
            <w:vAlign w:val="bottom"/>
          </w:tcPr>
          <w:p>
            <w:pPr>
              <w:spacing w:after="0"/>
              <w:rPr>
                <w:sz w:val="15"/>
                <w:szCs w:val="15"/>
                <w:color w:val="auto"/>
              </w:rPr>
            </w:pPr>
          </w:p>
        </w:tc>
        <w:tc>
          <w:tcPr>
            <w:tcW w:w="12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7"/>
              </w:rPr>
              <w:t>Average Price</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80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w w:val="99"/>
              </w:rPr>
              <w:t>May Yet Be Purchased</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00" w:type="dxa"/>
            <w:vAlign w:val="bottom"/>
          </w:tcPr>
          <w:p>
            <w:pPr>
              <w:spacing w:after="0"/>
              <w:rPr>
                <w:sz w:val="15"/>
                <w:szCs w:val="15"/>
                <w:color w:val="auto"/>
              </w:rPr>
            </w:pPr>
          </w:p>
        </w:tc>
        <w:tc>
          <w:tcPr>
            <w:tcW w:w="16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Paid per Share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 (a)</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Programs (b)</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44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(dollar value in thousands, except per share data)</w:t>
            </w: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through October 31</w:t>
            </w:r>
          </w:p>
        </w:tc>
        <w:tc>
          <w:tcPr>
            <w:tcW w:w="1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w:t>
            </w:r>
          </w:p>
        </w:tc>
        <w:tc>
          <w:tcPr>
            <w:tcW w:w="1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40,475</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803,175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803,175</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803,175</w:t>
            </w:r>
          </w:p>
        </w:tc>
        <w:tc>
          <w:tcPr>
            <w:tcW w:w="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right="560" w:firstLine="8"/>
        <w:spacing w:after="0" w:line="261"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under the Repurchase Program. The Repurchase Program has no expiration date but may be terminated by the Board of Directors at any time. No shares were purchased other than through publicly announced programs during the periods shown.</w:t>
      </w:r>
    </w:p>
    <w:p>
      <w:pPr>
        <w:ind w:right="100"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the Board of Directors authorized an aggregate of $100.0 million in share repurchases under the Repurchase Program. Amounts shown in this column reflect amounts remaining under the Repurchase Program referenced in Note 14 - Stockholders’ Equity to our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Item 1. Business, Item 1A. Risk Factors, Forward-Looking Statements, and Item 15. Consolidated Financial Statements and the accompanying notes and other data, all of which appear elsewhere in this Annual Report on Form 10-K.</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(MD&amp;A) below generally discusses 2025 and 2024 and provides year-to-year comparisons between 2025 and 2024. Discussions of 2023 and year-to-year comparisons between 2024 and 2023 that are not included in this Form 10-K can be found in “Management’s Discussion and Analysis of Financial Condition and Results of Operations” in the Company’s Annual Report on Form 10-K for the fiscal year ended December 31, 2024 filed with the SEC on March 5, 2025 and such information is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Workforce Solutions Group, Inc. (WSG) and Mint Medical Physician Staffing, LP and Lotus Medical Staffing LLC (collectively, Mint).</w:t>
      </w:r>
    </w:p>
    <w:p>
      <w:pPr>
        <w:spacing w:after="0" w:line="221"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18"/>
          <w:szCs w:val="18"/>
          <w:color w:val="auto"/>
        </w:rPr>
        <w:t>Our workforce solutions include MSPs, VMS, caregiver services to PACE programs (home-based staffing), education health services, RPO, project management, and other outsourcing and consultative services as described in Item 1. Business in this Annual Report on Form 10-K. By utilizing the solutions that we offer, customers are able to better plan their personnel needs,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right="60"/>
        <w:spacing w:after="0" w:line="266" w:lineRule="auto"/>
        <w:rPr>
          <w:sz w:val="20"/>
          <w:szCs w:val="20"/>
          <w:color w:val="auto"/>
        </w:rPr>
      </w:pPr>
      <w:r>
        <w:rPr>
          <w:rFonts w:ascii="Times New Roman" w:cs="Times New Roman" w:eastAsia="Times New Roman" w:hAnsi="Times New Roman"/>
          <w:sz w:val="18"/>
          <w:szCs w:val="18"/>
          <w:color w:val="auto"/>
        </w:rPr>
        <w:t>optimize their talent acquisition and management processes, strategically flex and balance their workforce, have access to quality healthcare personnel, and provide continuity of care for improved patient outcomes.</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Company's two reportable segments, Nurse and Allied Staffing and Physician Staffing, represented approximately 82% and 18%, respectively, of total revenue for the year ended December 31, 2025. See further discussion of these segments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 and Recent Updates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consolidated revenue decreased 21.6% year-over-year to $1.1 billion, primarily due to volume declines in the Nurse and Allied Staffing and Physician Staffing segments. These declines were partly offset by continued growth in home-based staffing, which was up 28.0% over the prior year. Net loss attributable to common stockholders for the year ended December 31, 2025 was $94.9 million, as compared to net loss of $14.6 million for the year ended December 31, 2024.</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recorded a non-cash goodwill impairment charge of $77.9 million related to its Nurse and Allied and Physician Staffing segments. The impairment assessment and related charge was primarily triggered by the fourth quarter decline in the Company's equity market capitalization.</w:t>
      </w:r>
    </w:p>
    <w:p>
      <w:pPr>
        <w:spacing w:after="0" w:line="9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 cumulative losses, primarily triggered by the significant impairment charge, the Company recorded an additional valuation allowance of $29.6 million in the fourth quarter of 2025 on its deferred tax assets.</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During the fourth quarter of 2025, the Company recorded executive transition severance costs of $6.0 million related to the former Chief Executive Officer's separation from the Company in December 2025. The costs include $3.1 million of equity compensation, pursuant to the former Chief Executive Officer’s employment agreement and the corresponding general release executed on December 31, 2025.</w:t>
      </w:r>
    </w:p>
    <w:p>
      <w:pPr>
        <w:spacing w:after="0" w:line="2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cash and cash equivalents totaled $108.7 million. During the fourth quarter, the Company repurchased 803,175 shares under its authorized Repurchase Program. The Company also entered into a new Rule 10b5-1 Repurchase Plan to allow for share repurchases during the Company's blackout periods, beginning on December 16, 2025 and effective through November 4, 2026. Cash flow provided by operating activities for the year ended December 31, 2025 was $48.3 million. As of December 31, 2025, there were no borrowings drawn under the ABL, and borrowing base availability under the ABL was $114.6 million, with $96.3 million of availability net of $18.3 million of letters of credit. See Note 8 - Debt to our consolidated financial statements.</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previously disclosed, on December 3, 2024, the Company entered into a Merger Agreement with Aya Healthcare, Inc. After market close on December 3, 2025, the Company received a notice of termination of the Aya Merger Agreement, effective December 4, 2025. In accordance with the terms of the Aya Merger Agreement, a termination fee of $20.0 million was paid to the Company. This was netted against associated fees paid by the Company and is included in acquisition and integration-related costs in the consolidated statement of operations and comprehensive (loss) income.</w:t>
      </w:r>
    </w:p>
    <w:p>
      <w:pPr>
        <w:spacing w:after="0" w:line="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incurred $16.6 million and $4.2 million, respectively, in gross fees associated with the Aya Merger, which is included in acquisition and integration-related costs in the consolidated statement of operations and comprehensive (loss) income. The net cash operating inflow associated with the Aya Merger was $5.8 million for the year ended December 31, 2025.</w:t>
      </w:r>
    </w:p>
    <w:p>
      <w:pPr>
        <w:spacing w:after="0" w:line="203" w:lineRule="exact"/>
        <w:rPr>
          <w:sz w:val="20"/>
          <w:szCs w:val="20"/>
          <w:color w:val="auto"/>
        </w:rPr>
      </w:pPr>
    </w:p>
    <w:p>
      <w:pPr>
        <w:ind w:right="2180"/>
        <w:spacing w:after="0" w:line="454" w:lineRule="auto"/>
        <w:rPr>
          <w:sz w:val="20"/>
          <w:szCs w:val="20"/>
          <w:color w:val="auto"/>
        </w:rPr>
      </w:pPr>
      <w:r>
        <w:rPr>
          <w:rFonts w:ascii="Times New Roman" w:cs="Times New Roman" w:eastAsia="Times New Roman" w:hAnsi="Times New Roman"/>
          <w:sz w:val="18"/>
          <w:szCs w:val="18"/>
          <w:color w:val="auto"/>
        </w:rPr>
        <w:t xml:space="preserve">See Results of Operations, Segment Results, and Liquidity and Capital Resources sections that follow for further information. </w:t>
      </w:r>
      <w:r>
        <w:rPr>
          <w:rFonts w:ascii="Times New Roman" w:cs="Times New Roman" w:eastAsia="Times New Roman" w:hAnsi="Times New Roman"/>
          <w:sz w:val="18"/>
          <w:szCs w:val="18"/>
          <w:b w:val="1"/>
          <w:bCs w:val="1"/>
          <w:u w:val="single" w:color="auto"/>
          <w:color w:val="auto"/>
        </w:rPr>
        <w:t>Operating Metrics</w:t>
      </w:r>
    </w:p>
    <w:p>
      <w:pPr>
        <w:spacing w:after="0" w:line="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the Company's financial condition by tracking operating metrics and financial results specific to each segment. Key operating metrics include hours worked, days filled, number of contract personnel on an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(as defined below)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r>
      <w:tr>
        <w:trPr>
          <w:trHeight w:val="218"/>
        </w:trPr>
        <w:tc>
          <w:tcPr>
            <w:tcW w:w="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on a full-time equivalent basis.</w:t>
            </w:r>
          </w:p>
        </w:tc>
      </w:tr>
      <w:tr>
        <w:trPr>
          <w:trHeight w:val="252"/>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worked in the respective periods.</w:t>
            </w:r>
          </w:p>
        </w:tc>
      </w:tr>
      <w:tr>
        <w:trPr>
          <w:trHeight w:val="522"/>
        </w:trPr>
        <w:tc>
          <w:tcPr>
            <w:tcW w:w="8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r>
      <w:tr>
        <w:trPr>
          <w:trHeight w:val="252"/>
        </w:trPr>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r>
      <w:tr>
        <w:trPr>
          <w:trHeight w:val="234"/>
        </w:trPr>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for the period presented.</w:t>
            </w:r>
          </w:p>
        </w:tc>
      </w:tr>
      <w:tr>
        <w:trPr>
          <w:trHeight w:val="283"/>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7660" w:type="dxa"/>
            <w:vAlign w:val="bottom"/>
          </w:tcPr>
          <w:p>
            <w:pPr>
              <w:spacing w:after="0"/>
              <w:rPr>
                <w:sz w:val="24"/>
                <w:szCs w:val="24"/>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consolidated statements of operations and comprehensive (loss) income data expressed as a percentage of revenue. Our historical results of operations are not necessarily indicative of future operating results.</w:t>
      </w:r>
    </w:p>
    <w:p>
      <w:pPr>
        <w:spacing w:after="0" w:line="7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(income) costs</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8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8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8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31, 2025 and the Year Ended December 31, 2024</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94"/>
        </w:trPr>
        <w:tc>
          <w:tcPr>
            <w:tcW w:w="6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4"/>
                <w:szCs w:val="24"/>
                <w:color w:val="auto"/>
              </w:rPr>
            </w:pPr>
          </w:p>
        </w:tc>
      </w:tr>
      <w:tr>
        <w:trPr>
          <w:trHeight w:val="169"/>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Increase</w:t>
            </w:r>
          </w:p>
        </w:tc>
      </w:t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38"/>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9"/>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(Amounts in thousands)</w:t>
            </w:r>
          </w:p>
        </w:tc>
        <w:tc>
          <w:tcPr>
            <w:tcW w:w="1340" w:type="dxa"/>
            <w:vAlign w:val="bottom"/>
            <w:shd w:val="clear" w:color="auto" w:fill="CCEEFF"/>
          </w:tcPr>
          <w:p>
            <w:pPr>
              <w:spacing w:after="0"/>
              <w:rPr>
                <w:sz w:val="18"/>
                <w:szCs w:val="18"/>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(income)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101.5 %</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715.7 %</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Revenue from services decreased $0.2 billion, or 21.6%, to $1.1 billion for the year ended December 31, 2025, as compared to $1.3 billion for the year ended December 31, 2024, primarily due to volume declines in the Nurse and Allied Staffing and Physician Staffing segments. See further discussion in Segment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Direct operating expenses consist primarily of field employee compensation and independent contractor expenses, housing expenses, travel expenses, and related insurance expenses. Direct operating expenses decreased $0.3 billion, or 21.4%, to $0.8 billion for the year ended December 31, 2025, as compared to $1.1 billion for the year ended December 31, 2024, as a result of revenue decreases. As a percentage of total revenue, direct operating expenses were relatively flat at 79.7%, as compared to 79.6% in the prior year.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$32.7 million, or 14.0%, to $200.7 million for the year ended December 31, 2025, as compared to $233.4 million for the year ended December 31, 2024, primarily due to decreases in compensation and benefit expense as a result of lower headcount, as well as marketing and consulting expense, partially offset by an increase in severance costs related to the CEO transition. As a percentage of total revenue, selling, general and administrative expenses increased to 19.0% for the year ended December 31, 2025, as compared to 17.4%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(credit) expense</w:t>
      </w:r>
    </w:p>
    <w:p>
      <w:pPr>
        <w:spacing w:after="0" w:line="25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Credit loss credit for the year ended December 31, 2025 was $0.4 million, due to collection of aged receivables, as compared to credit loss expense of $21.4 million for the year ended December 31, 2024, driven by a bankruptcy filing by a single MSP customer. There was no significant impact on operations from this MSP client as the majority of the business had been wound down in the prior year. As a percentage of revenue, credit loss credit was</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0.0% for the year ended December 31, 2025 and credit loss expense was 1.6% for the year ended December 31, 2024. See Note 2 - Summary of Significant Accounting Policies to our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2025 was $16.8 million as compared to $18.2 million for the year ended December 31, 2024. As a percentage of revenue, depreciation and amortization expense was relatively flat at 1.6% for the year ended December 31, 2025 and 1.4%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(income) costs</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Acquisition and integration-related income for the year ended December 31, 2025 includes a termination fee of $20.0 million received from Parent during the fourth quarter of 2025, in accordance with the terms of the Aya Merger Agreement, partially offset by associated fees of $16.6 million paid throughout the year. Acquisition and integration-related costs of $4.2 million for the year ended December 31, 2024 related primarily to fees associated with the Aya Merger. See Note 1 - Organization and Basis of Presentation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Restructuring costs of $3.7 million for the year ended December 31, 2025 were primarily comprised of employee termination costs. Restructuring costs of $4.3 million for the year ended December 31, 2024 were primarily comprised of employee termination costs, ongoing lease exit costs, and software license costs. See Note 2 - Summary of Significant Accounting Policies to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$2.7 million in legal fees and settlement charges related to various cases and claims. During the year ended December 31, 2024, the Company recorded legal and other losses of $6.7 million, which included the settlement of a class action lawsuit, as well as costs related to an unrecoverable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Non-cash impairment charges totaled $77.9 million for the year ended December 31, 2025 and included goodwill impairment charges related to the Nurse and Allied and Physician Staffing segments, primarily triggered by the fourth quarter decline in the Company's equity market capitalization and the write-off of indefinite-lived trade names related to Medical Staffing Network, as part of our rebranding activities. Non-cash impairment charges totaled $2.9 million for the year ended December 31, 2024, related primarily to real estate restructuring activities. See Note 5 - Goodwill, Trade Names, and Other Intangible Assets and Note 9 - Leases to our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income of $3.1 million for the year ended December 31, 2025 related to higher average cash on hand deposited in interest bearing accounts during the year. Interest income of $2.1 million for the year ended December 31, 2024 related to higher average cash on hand with slightly higher available interest rates during the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other expense (income), net included a decrease of the remaining earnout liability related to the Mint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such adjustments for the year ended December 31, 2025.</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 expense (benefit)</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Income tax expense totaled $11.3 million for the year ended December 31, 2025, as compared to income tax benefit of $1.8 million for the year ended December 31, 2024. The effective tax rate was (13.6)% and 11.2%, including the impact of discrete items, for the years ended December 31, 2025 and 2024, respectively. The effective tax rate and income tax expense in 2025 were predominantly impacted by the additional valuation allowance on deferred tax assets. The effective tax rate and the income tax benefit in 2024 were impacted by federal, international, and state taxes.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loss from operations for the periods indicated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60" w:type="dxa"/>
            <w:vAlign w:val="bottom"/>
            <w:gridSpan w:val="6"/>
            <w:shd w:val="clear" w:color="auto" w:fill="CCEEFF"/>
          </w:tcPr>
          <w:p>
            <w:pPr>
              <w:jc w:val="center"/>
              <w:ind w:right="78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29"/>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862,784</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Physician Staffing</w:t>
            </w: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191,509</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198,585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1,344,004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57,913</w:t>
            </w:r>
          </w:p>
        </w:tc>
        <w:tc>
          <w:tcPr>
            <w:tcW w:w="12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Physician Staffing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 overhead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and other losses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and integration-related (income)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(84,414)</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See Note 17 - Segment Data to our consolidated financial statements.</w:t>
            </w: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80" w:type="dxa"/>
            <w:vAlign w:val="bottom"/>
            <w:gridSpan w:val="5"/>
            <w:vMerge w:val="continue"/>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Nurse and Allied Staffing statistical data:</w:t>
            </w:r>
          </w:p>
        </w:tc>
        <w:tc>
          <w:tcPr>
            <w:tcW w:w="1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FTEs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Nurse and Allied Staffing revenue per FTE per day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Physician Staffing statistical data: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Days filled</w:t>
            </w:r>
          </w:p>
        </w:tc>
        <w:tc>
          <w:tcPr>
            <w:tcW w:w="232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84,213</w:t>
            </w:r>
          </w:p>
        </w:tc>
        <w:tc>
          <w:tcPr>
            <w:tcW w:w="2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97,888</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24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day filled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the MD&amp;A.</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Segment Comparison - Year Ended December 31, 2025 and Year Ended December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Nurse and Allied Staffing</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 decreased $282.6 million, or 24.7%, to $862.8 million for the year ended December 31, 2025, as compared to $1.1 billion for the year ended December 31, 2024, driven primarily by a decline in billable hours in travel and local, partly offset by year-over-year revenue growth of 28.0% in home-based staffing.</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Contribution income for the year ended December 31, 2025 decreased $14.7 million, or 20.2%, to $57.9 million, as compared to $72.6 million for the year ended December 31, 2024. As a percentage of segment revenue, contribution income margin increased to 6.7% for the year ended December 31, 2025, as compared to 6.3% for the year ended December 31, 2024.</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average number of FTEs on contract during the year ended December 31, 2025 decreased 17.3% from the year ended December 31, 2024, primarily due to declines in headcount. The average revenue per FTE per day decreased 8.5%.</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0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Revenue decreased $7.1 million, or 3.6%, to $191.5 million for the year ended December 31, 2025, as compared to $198.6 million for the year ended December 31, 2024, primarily due to volume declines in certain specialties partially offset by a slight increase in revenue per day filled.</w:t>
      </w: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Contribution income for the year ended December 31, 2025 increased $0.9 million, or 5.8%, to $16.2 million, as compared to $15.3 million for the year ended December 31, 2024. As a percentage of segment revenue, contribution income was 8.5% for the year ended December 31, 2025 and 7.7% for the year ended December 31, 2024.</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days filled decreased 14.0% to 84,213 for the year ended December 31, 2025, as compared to 97,888 for the year ended December 31, 2024. Revenue per day filled was $2,274 for the year ended December 31, 2025 and $2,029 for the year ended December 31, 2024, due to price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overhead includes unallocated executive leadership and other centralized corporate functional support costs such as finance, IT, legal, and human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as well as public company expenses and corporate-wide projects. Corporate overhead decreased to $60.8 million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from $68.5 million for the year ended December 31, 2024, primarily due to decreases in compensation and benefit expense,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hardware expense, and professional fees, partially offset by an increase of $6.0 million in severance costs related to the CEO transition. As</w:t>
      </w:r>
    </w:p>
    <w:p>
      <w:pPr>
        <w:spacing w:after="0" w:line="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a percentage of consolidated revenue, corporate overhead was 5.8% for the year ended December 31, 2025 and 5.1%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December 31, 2025, we reported $108.7 million in cash and cash equivalents, which is adequate to meet our short-term and long-term operations, with no borrowings drawn under the ABL. Working capital increased by $1.2 million to $215.8 million as of December 31, 2025, as compared to $214.6 million as of December 31, 2024. As of December 31, 2025, our days' sales outstanding, net of amounts owed to subcontractors, was 58 days, up 3 days year-over-year. As of December 31, 2025, we did not have any off-balance sheet arrangements.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needs from a combination of cash on hand, operating cash flows, and funds available through the ABL. See debt discussion which follows.</w:t>
      </w:r>
    </w:p>
    <w:p>
      <w:pPr>
        <w:spacing w:after="0" w:line="19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In the third quarter of 2022, the Board of Directors authorized the Repurchase Program, whereby we could repurchase up to $100.0 million shares of our common stock. Upon completion of the authorized number of shares available for repurchase under the previous repurchase program, we commenced repurchases under the Repurchase Program during the third quarter of 2022. On May 1, 2023, the Board of Directors authorized approximately</w:t>
      </w:r>
    </w:p>
    <w:p>
      <w:pPr>
        <w:spacing w:after="0" w:line="2"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8"/>
          <w:szCs w:val="18"/>
          <w:color w:val="auto"/>
        </w:rPr>
        <w:t>$59.0 million in additional share repurchases to be added to the Repurchase Program, such that, effective for trades made after May 3, 2023, the aggregate amount available for stock repurchases was set at $100.0 million. In the third quarter of 2023, we entered into a Rule 10b5-1 Repurchase Plan to allow for share repurchases during the Company's blackout periods, beginning on January 2, 2024 and effective through</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5" w:name="page36"/>
    <w:bookmarkEnd w:id="35"/>
    <w:p>
      <w:pPr>
        <w:ind w:right="40"/>
        <w:spacing w:after="0" w:line="241" w:lineRule="auto"/>
        <w:rPr>
          <w:sz w:val="20"/>
          <w:szCs w:val="20"/>
          <w:color w:val="auto"/>
        </w:rPr>
      </w:pPr>
      <w:r>
        <w:rPr>
          <w:rFonts w:ascii="Times New Roman" w:cs="Times New Roman" w:eastAsia="Times New Roman" w:hAnsi="Times New Roman"/>
          <w:sz w:val="18"/>
          <w:szCs w:val="18"/>
          <w:color w:val="auto"/>
        </w:rPr>
        <w:t>November 7, 2024. In the fourth quarter of 2025, we entered into a new Rule 10b5-1 Repurchase Plan to allow for share repurchases during the Company's blackout periods, beginning on December 16, 2025 and effective through November 4, 2026. During the year ended December 31, 2025, we repurchased and retired a total of 803,175 shares of common stock for $6.5 million, at an average price of $8.10 per share. During the year ended December 31, 2024, we repurchased and retired a total of 2,401,924 shares of common stock for $36.8 million, at an average price of $15.31 per share. As of December 31, 2025, we had $34.0 million remaining for share repurchase under the Repurchase Program, subject to certain conditions in the Loan Agreement (as defined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Comparisons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Compared to Year Ended December 31, 2024</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$71.8 million to $48.3 million for the year ended December 31, 2025, as compared to $120.1 million for the year ended December 31, 2024. The Company recorded the Aya termination fee of $20.0 million within operating cash flows for the year December 31, 2025. The fee was partially offset by operating cash outflows for acquisition-related costs. The net cash operating inflows associated with the Aya merger were $5.8 million for the year ended December 31, 2025.</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$8.2 million, as compared to $8.7 million for the year ended December 31, 2024, primarily for capital expenditures related to IT projects in both years.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2025 was $13.0 million, as compared to $46.8 million during the year ended December 31, 2024. During the year ended December 31, 2025, we used cash to pay $1.8 million for income taxes on share-based compensation, $6.8 million for share repurchases, and $4.4 million for contingent consideration. During the year ended December 31, 2024, we used cash to pay $2.9 million for income taxes on share-based compensation, $37.3 million for share repurchases and related excise tax, and $6.6 million for contingent consideration.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Agreement</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8, 2021, we entered into the Term Loan Credit Agreement (Term Loan Agreement), which provided for a six-year second lien subordinated term loan in the amount of $100.0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more fully described in Note 8 - Debt to our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consolidated statements of operations and comprehensive (loss) income. All subsidiary guarantees of the term loan were automatically released upon the termination of the Term Loan 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Asset-Based Loan Agreement</w:t>
      </w:r>
    </w:p>
    <w:p>
      <w:pPr>
        <w:spacing w:after="0" w:line="3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t>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(as defined in the Loan Agreement), at the election of the borrowers, plus an applicable margin. On September 29, 2023, we amended the Loan Agreement (Sixth Amendment), which changed the minimum fixed charge coverage ratio from a maintenance covenant to a springing covenant based on excess availability. On July 29, 2024, we amended the Loan Agreement (Seventh Amendment), which allows for all share repurchases paid in cash prior to June 30, 2024 and thereafter to be excluded as restricted payments in the fixed charge coverage ratio calculation if there is no revolving ABL balance.</w:t>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the interest rate spreads and fees under the ABL were based on SOFR plus 2.10% for the revolving portion of the borrowing base. The Base Rate margin would have been 1.00%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$114.6 million as of December 31, 2025, with no borrowings drawn and $96.3 million of availability net of $18.3 million of letters of credit outstanding. For the three months ended December 31, 2025, the excess availability did not fall below the stated threshold and, as a result, there was no covenant compliance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(U.S. GAAP) requires us to make estimates and judgments that affect our reported amounts of assets and liabilities, revenues and expenses, and related disclosures of contingent assets and liabilities. These estimates and judgments may also be impacted by the deterioration of demand for our services, deterioration of labor market conditions, reduction of our stock price for an extended period, or other factors as described in Item 1A. Risk Factors.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2025. See Note 2 - Summary of Significant Accounting Policies contained herein. These estimates are based on information that is currently available to us and on various assumptions that we believe to be reasonable under the circumstances, but come with certain risks and uncertainties, including but not limited to: projections of future income and cash flows, market demand, inflationary pressures, long-term growth rates, the identification of appropriate market multiples, royalty rates, and the choice of an appropriate discount rate. Actual results could vary from those estimates under different assumptions or conditions.</w:t>
      </w:r>
    </w:p>
    <w:p>
      <w:pPr>
        <w:spacing w:after="0" w:line="1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affect the more significant judgments and estimates used in the preparation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w:t>
      </w:r>
    </w:p>
    <w:p>
      <w:pPr>
        <w:spacing w:after="0" w:line="2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w:t>
      </w:r>
      <w:r>
        <w:rPr>
          <w:rFonts w:ascii="Times New Roman" w:cs="Times New Roman" w:eastAsia="Times New Roman" w:hAnsi="Times New Roman"/>
          <w:sz w:val="17"/>
          <w:szCs w:val="17"/>
          <w:color w:val="auto"/>
        </w:rPr>
        <w:t>Contract assets and contract liabilities acquired in a business combination are recognized in accordance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i w:val="1"/>
          <w:iCs w:val="1"/>
          <w:color w:val="auto"/>
        </w:rPr>
        <w:t xml:space="preserve">from Contracts with Customers </w:t>
      </w:r>
      <w:r>
        <w:rPr>
          <w:rFonts w:ascii="Times New Roman" w:cs="Times New Roman" w:eastAsia="Times New Roman" w:hAnsi="Times New Roman"/>
          <w:sz w:val="17"/>
          <w:szCs w:val="17"/>
          <w:color w:val="auto"/>
        </w:rPr>
        <w:t>Topic 606.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revenue contracts with customers are accounted for as if we had originated the contracts. The acquired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assets and contract liabilities are recognized and measured consistent with how they were recognized and measured in the acquiree's financial statements.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 See Note 5 -</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Goodwill, Trade Names, and Other Intangible Assets, where impairment testing in 2025, 2024, and 2023 is more fully described.</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related to our trade names were not amortized but instead tested for impairment at least annually, or more frequently should an event or circumstances indicate that a reduction in fair value may have occurred. We perform testing of indefinite-lived intangible assets, other than goodwill, at the asset group level using the relief from royalty method. If the carrying value exceeds the fair value, an impairment loss is recorded for that excess.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workers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compensation, and professional liability expense</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corporate employees and healthcare professionals on assignment as well as actual company experience and increases in national healthcare costs. As of December 31, 2025 and 2024, we had $3.0 million and $4.8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2025 and 2024, we had $12.0 million and $12.8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2025, and 2024, we had $8.6 million and $7.1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recognize revenue from our services when control of the promised services is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nature, amount, timing and uncertainty of revenue and cash flows from which we generate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Temporary Staffing Revenue</w:t>
      </w:r>
    </w:p>
    <w:p>
      <w:pPr>
        <w:spacing w:after="0" w:line="20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2025 and December 31, 2024, our estimate of amounts that had been worked but had not been billed totaled $48.3 million and $60.4 million, respectively, and are included in accounts receivable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Other Services Revenue</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offer other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2025, 2024, and 2023.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Versus Net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revenue on a gross basis as a principal or on a net basis as an agent depending on the contracted arrangement, as follows:</w:t>
      </w:r>
    </w:p>
    <w:p>
      <w:pPr>
        <w:spacing w:after="0" w:line="158" w:lineRule="exact"/>
        <w:rPr>
          <w:sz w:val="20"/>
          <w:szCs w:val="20"/>
          <w:color w:val="auto"/>
        </w:rPr>
      </w:pPr>
    </w:p>
    <w:p>
      <w:pPr>
        <w:jc w:val="both"/>
        <w:ind w:left="660" w:right="4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contracts with acute care facilities to provide comprehensive MSP solutions. Under these contract arrangements, we primarily use our nurses, along with third-party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1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Physician Staffing business is recognized on a gross basis as we are the principal in the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which results in a provision for credit loss expense. We determine the adequacy of this allowance based on historical write-off experience, current conditions, an analysis of the aging of outstanding receivables and customer payment patterns, and specific reserves for customers in adverse conditions adjusted for current expectations for the customers or industry. Based on the information currently available, we also consider current expectations of future economic conditions when estimating our allowance for credit losses.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rate and hour differences which may arise in the ordinary course of business and adjustments to the reserve are recorded as contra-revenue. As of December 31, 2025 and 2024, our total allowances were $9.1 million and $9.3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subject to various litigation, claims, investigations, and other proceedings that arise in the ordinary course of our business. These matters primarily relate to employee-related matters that include individual and collective claims, professional liability, tax, and payroll practices. Our healthcare facility customers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12 -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2025, we had deferred tax assets related to federal and certain state net operating loss carryforwards of $9.5 million. The federal and certain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9" w:name="page40"/>
    <w:bookmarkEnd w:id="39"/>
    <w:p>
      <w:pPr>
        <w:ind w:right="120"/>
        <w:spacing w:after="0" w:line="282" w:lineRule="auto"/>
        <w:rPr>
          <w:sz w:val="20"/>
          <w:szCs w:val="20"/>
          <w:color w:val="auto"/>
        </w:rPr>
      </w:pPr>
      <w:r>
        <w:rPr>
          <w:rFonts w:ascii="Times New Roman" w:cs="Times New Roman" w:eastAsia="Times New Roman" w:hAnsi="Times New Roman"/>
          <w:sz w:val="18"/>
          <w:szCs w:val="18"/>
          <w:color w:val="auto"/>
        </w:rPr>
        <w:t>state net operating loss carryforwards have an indefinite carryover. Except for those state net operating loss carryforwards with an indefinite carryover, the carryforwards will expire between 2027 and 2045.</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maintain valuation allowances when it is more likely than not that all or a portion of a deferred tax asset will not be realized.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the deferred tax asset. We consider losses in recent years as well as the impact of one-time events in assessing our pre-tax earnings. Assumptions regarding future taxable income required significant judgment. Our assumptions are consistent with estimates and plans used to manage our business, which include restructuring and other initiatives. In the event actual results differ from these estimates, or we adjust these estimates in future periods for current trends or changes in our estimating assumptions, we may modify the level of valuation allowance which could materially impact our business, financial condition, and results of operations.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2025 and 2024, we had $29.7 million and $0.2 million of valuation allowances on our deferred tax assets, respectively. As of December 31, 2025, management assessed the available positive and negative evidence to estimate whether sufficient future taxable income will be generated to permit use of its existing deferred tax assets. On the basis of this evaluation, additional nonrecurring and recurring valuation allowances of $29.5 million were recorded in the fourth quarter of 2025 as income tax expense to reduce the portion of the deferred tax assets that are not more likely than not to be realized. The Company intends to maintain a valuation allowance until sufficient positive evidence exists to support its removal. The December 31, 2025 valuation allowance applied to all domestic deferred tax assets other than certain deferred tax assets expected to be realized. The December 31, 2024 valuation allowance applied to the uncertainty of the realization of certain state net operating losses. See Note 13 - Income Taxes to our consolidated financial statements.</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An unrecognized tax benefit represents the difference between the recognition of benefits related to exposure items for income tax reporting purposes and financial reporting purposes. For the years ended December 31, 2025 and 2024, the unrecognized tax benefit is included in uncertain tax positions - non-current in the consolidated balance sheets. As of December 31, 2025, total unrecognized tax benefits recorded was $10.4 million. We reserve for interest and penalties on exposure items, if applicable, which is recorded as a component of the overall income tax provision.</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2024, many jurisdictions implemented the Pillar Two rules issued by the Organization for Economic Co-operation and Development. In general, large multinational entity groups with consolidated revenue in excess of 750 EUR in at least two of the preceding four years could be subject to the new rules in jurisdictions with an effective tax rate below fifteen percent. We currently operate in only one country that adopted the Pillar Two rules, but should meet the safe harbor rules. We do not expect the adoption of the Pillar Two rules by any jurisdiction in which we currently operate to have a material impact on our financial statements.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(the Act) into legislation, which among other changes, restored the full expensing of domestic research and experimental expenditures (R&amp;E) in the year incurred. Further, the Act provides taxpayers the option to immediately deduct unamortized domestic R&amp;E expenditures incurred in taxable years 2022 through 2024 over a one- or two-year period. We are not aware of any provision in the Act that would have a material adverse impact on our financial performance, the Balance Sheet, Income Statement and the Statement of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2012 through 2025 remain open to examination by certain taxing jurisdictions.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Loan Agreement entered into on October 25, 2019. This agreement charges interest at a rate based on either SOFR or Base Rate (as defined in the Loan Agreement) plus an applicable margin. Our Term Loan Agreement, entered into on June 8, 2021, was repaid and terminated on June 30, 2023.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1% change in interest rates would have resulted in interest expense fluctuating an immaterial amount for the years ended December 31, 2025 and 2024, respectively. See Note 8 - Debt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minor exposure to the impact of foreign currency fluctuations. Approximately 5% of selling, general and administrative expenses are related to certain software development and information technology support, as well as certain finance and shared support services,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 – Exhibits, Financial Statement Schedules of Part IV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during 2025 that have materially affected, or are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2025. In making this assessment, management used the criteria set forth by the Committee of Sponsoring Organizations of the Treadway Commission, or COSO, in the Internal Control-Integrated Framework (2013 framework).</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its evaluation, management concluded that, as of December 31, 2025, our internal control over financial reporting was effective based on the specific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43"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Deloitte &amp; Touche LLP, an independent registered public accounting firm, as stated in their report which appears in Part IV, Item 15 of this report.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As previously disclosed in the Company’s Current Report on Form 8-K filed with the SEC on January 29, 2026 (January 29th Form 8-K), the Company’s 2026 Annual Meeting of Stockholders (Annual Meeting) will be held on May 11, 2026. </w:t>
      </w:r>
      <w:r>
        <w:rPr>
          <w:rFonts w:ascii="Times New Roman" w:cs="Times New Roman" w:eastAsia="Times New Roman" w:hAnsi="Times New Roman"/>
          <w:sz w:val="18"/>
          <w:szCs w:val="18"/>
          <w:color w:val="212121"/>
        </w:rPr>
        <w:t>As the date of the 2026 Annual Meeting is being advanced by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than 30 days of the anniversary of the Company’s 2025 Annual Meeting of Stockholders, the Company provided notice of the revised deadlines for qualified stockholder proposals and stockholder nominations by means of its January 29th Form 8-K.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with respect to directors, executive officers and corporate governance is included in our Definitive Proxy Statement for the 2026 Annual Meeting of Stockholders (Proxy Statement) to be filed pursuant to Regulation 14A with the SEC not later than 120 days after the close of the fiscal year covered by this Annual Report on Form 10-K and such information is incorporated herein by reference.</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adopted the Securities Compliance Policy that applies to all employees, including officers, and non-employee directors of the Company and its subsidiaries, as well as the Company itself. The Company believes that the Securities Compliance Policy is reasonably designed to promote compliance with insider trading laws, rules, and regulations with respect to the purchase, sale, and/or other dispositions of the Company's securities, as well as the applicable rules and regulations of Nasdaq. A copy of our Securities Compliance Policy is filed as Exhibit 19.1 to this Annual Report on Form 10-K.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To our knowledge, based solely on our review of the Section 16(a) forms filed electronically with the SEC during the fiscal year ended December 31, 2025 (Fiscal 2025), and written representations that no other forms were required, with the exception of one late Form 3 filing, reporting one transaction for January 19, 2026, all reporting persons timely complied with the filing requirements of Section 16(a) of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our Proxy Statement to be filed with the SEC not later than 120 days after the close of the fiscal year covered by this Annual Report on Form 10-K and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with respect to beneficial ownership of our common stock is included in our Proxy Statement to be filed with the SEC not later than 120 days after the close of the fiscal year covered by this Annual Report on Form 10-K and such information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equity compensation plans as of December 31, 2025, see table below:</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securities to</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be issued upon exercise</w:t>
      </w:r>
    </w:p>
    <w:p>
      <w:pPr>
        <w:ind w:left="20"/>
        <w:spacing w:after="0" w:line="219" w:lineRule="auto"/>
        <w:rPr>
          <w:sz w:val="20"/>
          <w:szCs w:val="20"/>
          <w:color w:val="auto"/>
        </w:rPr>
      </w:pPr>
      <w:r>
        <w:rPr>
          <w:rFonts w:ascii="Times New Roman" w:cs="Times New Roman" w:eastAsia="Times New Roman" w:hAnsi="Times New Roman"/>
          <w:sz w:val="18"/>
          <w:szCs w:val="18"/>
          <w:b w:val="1"/>
          <w:bCs w:val="1"/>
          <w:color w:val="auto"/>
        </w:rPr>
        <w:t>of outstanding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4445</wp:posOffset>
            </wp:positionV>
            <wp:extent cx="709803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22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196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1960" w:type="dxa"/>
            <w:vAlign w:val="bottom"/>
            <w:vMerge w:val="continue"/>
          </w:tcPr>
          <w:p>
            <w:pPr>
              <w:spacing w:after="0"/>
              <w:rPr>
                <w:sz w:val="15"/>
                <w:szCs w:val="15"/>
                <w:color w:val="auto"/>
              </w:rPr>
            </w:pPr>
          </w:p>
        </w:tc>
        <w:tc>
          <w:tcPr>
            <w:tcW w:w="22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9"/>
        </w:trPr>
        <w:tc>
          <w:tcPr>
            <w:tcW w:w="1960" w:type="dxa"/>
            <w:vAlign w:val="bottom"/>
          </w:tcPr>
          <w:p>
            <w:pPr>
              <w:jc w:val="center"/>
              <w:ind w:right="3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22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175"/>
        </w:trPr>
        <w:tc>
          <w:tcPr>
            <w:tcW w:w="1960" w:type="dxa"/>
            <w:vAlign w:val="bottom"/>
          </w:tcPr>
          <w:p>
            <w:pPr>
              <w:jc w:val="center"/>
              <w:ind w:righ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2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175"/>
        </w:trPr>
        <w:tc>
          <w:tcPr>
            <w:tcW w:w="1960" w:type="dxa"/>
            <w:vAlign w:val="bottom"/>
          </w:tcPr>
          <w:p>
            <w:pPr>
              <w:jc w:val="center"/>
              <w:ind w:right="3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warrants and</w:t>
            </w:r>
          </w:p>
        </w:tc>
        <w:tc>
          <w:tcPr>
            <w:tcW w:w="222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258"/>
        </w:trPr>
        <w:tc>
          <w:tcPr>
            <w:tcW w:w="19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rights (b)</w:t>
            </w:r>
          </w:p>
        </w:tc>
        <w:tc>
          <w:tcPr>
            <w:tcW w:w="2220" w:type="dxa"/>
            <w:vAlign w:val="bottom"/>
          </w:tcPr>
          <w:p>
            <w:pPr>
              <w:jc w:val="center"/>
              <w:ind w:left="330"/>
              <w:spacing w:after="0" w:line="258" w:lineRule="exact"/>
              <w:rPr>
                <w:sz w:val="20"/>
                <w:szCs w:val="20"/>
                <w:color w:val="auto"/>
              </w:rPr>
            </w:pPr>
            <w:r>
              <w:rPr>
                <w:rFonts w:ascii="Times New Roman" w:cs="Times New Roman" w:eastAsia="Times New Roman" w:hAnsi="Times New Roman"/>
                <w:sz w:val="18"/>
                <w:szCs w:val="18"/>
                <w:b w:val="1"/>
                <w:bCs w:val="1"/>
                <w:color w:val="auto"/>
                <w:w w:val="97"/>
              </w:rPr>
              <w:t xml:space="preserve">column (a)) (c) </w:t>
            </w:r>
            <w:r>
              <w:rPr>
                <w:rFonts w:ascii="Times New Roman" w:cs="Times New Roman" w:eastAsia="Times New Roman" w:hAnsi="Times New Roman"/>
                <w:sz w:val="23"/>
                <w:szCs w:val="23"/>
                <w:b w:val="1"/>
                <w:bCs w:val="1"/>
                <w:color w:val="auto"/>
                <w:w w:val="97"/>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3400" w:space="720"/>
            <w:col w:w="1800" w:space="620"/>
            <w:col w:w="4700"/>
          </w:cols>
          <w:pgMar w:left="320" w:top="887" w:right="339" w:bottom="1440" w:gutter="0" w:footer="0" w:header="0"/>
          <w:type w:val="continuous"/>
        </w:sectPr>
      </w:pPr>
    </w:p>
    <w:p>
      <w:pPr>
        <w:ind w:left="20" w:right="280"/>
        <w:spacing w:after="0" w:line="226"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2,477,661</w:t>
            </w:r>
          </w:p>
        </w:tc>
      </w:tr>
      <w:tr>
        <w:trPr>
          <w:trHeight w:val="418"/>
        </w:trPr>
        <w:tc>
          <w:tcPr>
            <w:tcW w:w="2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None</w:t>
            </w:r>
          </w:p>
        </w:tc>
        <w:tc>
          <w:tcPr>
            <w:tcW w:w="920" w:type="dxa"/>
            <w:vAlign w:val="bottom"/>
          </w:tcPr>
          <w:p>
            <w:pPr>
              <w:spacing w:after="0"/>
              <w:rPr>
                <w:sz w:val="24"/>
                <w:szCs w:val="24"/>
                <w:color w:val="auto"/>
              </w:rPr>
            </w:pPr>
          </w:p>
        </w:tc>
        <w:tc>
          <w:tcPr>
            <w:tcW w:w="12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N/A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2300" w:type="dxa"/>
            <w:vAlign w:val="bottom"/>
            <w:tcBorders>
              <w:top w:val="single" w:sz="8" w:color="auto"/>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2,477,661</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-187960</wp:posOffset>
            </wp:positionV>
            <wp:extent cx="70980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60"/>
            <w:col w:w="7380"/>
          </w:cols>
          <w:pgMar w:left="320" w:top="887" w:right="339" w:bottom="1440" w:gutter="0" w:footer="0" w:header="0"/>
          <w:type w:val="continuous"/>
        </w:sectPr>
      </w:pPr>
    </w:p>
    <w:p>
      <w:pPr>
        <w:spacing w:after="0" w:line="106" w:lineRule="exact"/>
        <w:rPr>
          <w:sz w:val="20"/>
          <w:szCs w:val="20"/>
          <w:color w:val="auto"/>
        </w:rPr>
      </w:pPr>
    </w:p>
    <w:p>
      <w:pPr>
        <w:ind w:firstLine="8"/>
        <w:spacing w:after="0" w:line="258" w:lineRule="auto"/>
        <w:tabs>
          <w:tab w:leader="none" w:pos="181"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Performance Stock Awards issued under the 2020 and 2024 Omnibus Incentive Plans,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Performance Stock Awards were issued under the 2020 Omnibus Incentive Plan beginning March 31, 2021. Performance Stock Awards have been issued under the 2024 Omnibus Incentive Plan beginning December 18, 2025. See Note 14 - Stockholders’ Equity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and director independence is included in our Proxy Statement to be filed with the SEC not later than 120 days after the close of the fiscal year covered by this Annual Report on Form 10-K and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fees and services of our principal accountant is included in our Proxy Statement to be filed with the SEC not later than 120 days after the close of the fiscal year covered by this Annual Report on Form 10-K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44" w:name="page45"/>
    <w:bookmarkEnd w:id="4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91" w:lineRule="exact"/>
        <w:rPr>
          <w:sz w:val="20"/>
          <w:szCs w:val="20"/>
          <w:color w:val="auto"/>
        </w:rPr>
      </w:pPr>
    </w:p>
    <w:p>
      <w:pPr>
        <w:ind w:left="320" w:hanging="25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the report.</w:t>
      </w:r>
    </w:p>
    <w:p>
      <w:pPr>
        <w:spacing w:after="0" w:line="117" w:lineRule="exact"/>
        <w:rPr>
          <w:rFonts w:ascii="Times New Roman" w:cs="Times New Roman" w:eastAsia="Times New Roman" w:hAnsi="Times New Roman"/>
          <w:sz w:val="18"/>
          <w:szCs w:val="18"/>
          <w:color w:val="auto"/>
        </w:rPr>
      </w:pPr>
    </w:p>
    <w:p>
      <w:pPr>
        <w:ind w:left="1060" w:hanging="263"/>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1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71"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2025 and 2024</w:t>
      </w:r>
    </w:p>
    <w:p>
      <w:pPr>
        <w:spacing w:after="0" w:line="117" w:lineRule="exact"/>
        <w:rPr>
          <w:rFonts w:ascii="Times New Roman" w:cs="Times New Roman" w:eastAsia="Times New Roman" w:hAnsi="Times New Roman"/>
          <w:sz w:val="18"/>
          <w:szCs w:val="18"/>
          <w:color w:val="auto"/>
        </w:rPr>
      </w:pPr>
    </w:p>
    <w:p>
      <w:pPr>
        <w:ind w:left="10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 Income for the Years Ended December 31, 2025, 2024, and 2023 Consolidated Statements of Stockholders’ Equity for the Years Ended December 31, 2025, 2024, and 2023</w:t>
      </w:r>
    </w:p>
    <w:p>
      <w:pPr>
        <w:spacing w:after="0" w:line="1" w:lineRule="exact"/>
        <w:rPr>
          <w:rFonts w:ascii="Times New Roman" w:cs="Times New Roman" w:eastAsia="Times New Roman" w:hAnsi="Times New Roman"/>
          <w:sz w:val="18"/>
          <w:szCs w:val="18"/>
          <w:color w:val="auto"/>
        </w:rPr>
      </w:pPr>
    </w:p>
    <w:p>
      <w:pPr>
        <w:ind w:left="1060" w:right="25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2025, 2024, and 2023 Notes to Consolidated Financial Statements</w:t>
      </w:r>
    </w:p>
    <w:p>
      <w:pPr>
        <w:spacing w:after="0" w:line="1" w:lineRule="exact"/>
        <w:rPr>
          <w:rFonts w:ascii="Times New Roman" w:cs="Times New Roman" w:eastAsia="Times New Roman" w:hAnsi="Times New Roman"/>
          <w:sz w:val="18"/>
          <w:szCs w:val="18"/>
          <w:color w:val="auto"/>
        </w:rPr>
      </w:pPr>
    </w:p>
    <w:p>
      <w:pPr>
        <w:ind w:left="1060" w:hanging="263"/>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w:t>
      </w:r>
    </w:p>
    <w:p>
      <w:pPr>
        <w:spacing w:after="0" w:line="11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 for the Years Ended December 31, 2025, 2024, and 2023</w:t>
      </w:r>
    </w:p>
    <w:p>
      <w:pPr>
        <w:spacing w:after="0" w:line="117" w:lineRule="exact"/>
        <w:rPr>
          <w:rFonts w:ascii="Times New Roman" w:cs="Times New Roman" w:eastAsia="Times New Roman" w:hAnsi="Times New Roman"/>
          <w:sz w:val="18"/>
          <w:szCs w:val="18"/>
          <w:color w:val="auto"/>
        </w:rPr>
      </w:pPr>
    </w:p>
    <w:p>
      <w:pPr>
        <w:ind w:left="1060" w:hanging="263"/>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887" w:right="10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20" w:type="dxa"/>
            <w:vAlign w:val="bottom"/>
            <w:gridSpan w:val="40"/>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1"/>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37"/>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3"/>
          </w:tcPr>
          <w:p>
            <w:pPr>
              <w:spacing w:after="0" w:line="149"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Asset Purchase Agreement, by and among Cross Country Healthcare, Inc., Workforce Solutions Group, Inc., Health Talent Strategies,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40" w:type="dxa"/>
            <w:vAlign w:val="bottom"/>
            <w:tcBorders>
              <w:bottom w:val="single" w:sz="8" w:color="0000FF"/>
            </w:tcBorders>
            <w:gridSpan w:val="33"/>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Talent Strategies, Inc., and Pamela Jung, dated June 8, 2021 (Previously filed as an exhibit to the Company's Form 8-K dated June 14,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gridSpan w:val="36"/>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Agreement and Plan of Merger, dated as of December 3, 2024, among Cross Country Healthcare, Inc., Aya Holdings II Inc., Spark Merger</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Sub One Inc. and, solely for the purposes set forth therein, Aya Healthcare, Inc. (Previously filed as an exhibit to the Company's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dated December 4, 2024 and incorporated by reference herein.)</w:t>
              </w:r>
            </w:hyperlink>
          </w:p>
        </w:tc>
        <w:tc>
          <w:tcPr>
            <w:tcW w:w="548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Amended and Restated Certificate of Incorporation of the Registrant (Previously filed as an exhibit to the Company’s Registration Statement</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on Form S-1/A, Commission File No. 333-64914,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Certificate of Correction to Amended and Restated Certificate of Incorporation of the Registrant (Previously filed as an exhibit to the</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Company's Form 10-K for the year ended December 31, 2017 and incorporated by reference herein.)</w:t>
              </w:r>
            </w:hyperlink>
          </w:p>
        </w:tc>
        <w:tc>
          <w:tcPr>
            <w:tcW w:w="232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By-laws of the Registrant (Previously filed as an exhibit to the Company's Form 10-Q for the quarter ended March</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31, 2024 and incorporated by reference herein.)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specimen common stock certificate (Previously filed as an exhibit to the Company’s Registration Statement on Form S-1/A,</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Commission File No. 333-64914, and incorporated by reference herein.)</w:t>
              </w:r>
            </w:hyperlink>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4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2024 Omnibus Incentive Plan - Restricted Stock Agreement Form</w:t>
            </w:r>
          </w:p>
        </w:tc>
        <w:tc>
          <w:tcPr>
            <w:tcW w:w="440" w:type="dxa"/>
            <w:vAlign w:val="bottom"/>
            <w:tcBorders>
              <w:top w:val="single" w:sz="8" w:color="0000FF"/>
            </w:tcBorders>
            <w:gridSpan w:val="2"/>
          </w:tcPr>
          <w:p>
            <w:pPr>
              <w:spacing w:after="0"/>
              <w:rPr>
                <w:sz w:val="19"/>
                <w:szCs w:val="19"/>
                <w:color w:val="auto"/>
              </w:rPr>
            </w:pPr>
          </w:p>
        </w:tc>
        <w:tc>
          <w:tcPr>
            <w:tcW w:w="5080" w:type="dxa"/>
            <w:vAlign w:val="bottom"/>
            <w:gridSpan w:val="34"/>
          </w:tcPr>
          <w:p>
            <w:pPr>
              <w:spacing w:after="0"/>
              <w:rPr>
                <w:sz w:val="19"/>
                <w:szCs w:val="19"/>
                <w:color w:val="auto"/>
              </w:rPr>
            </w:pPr>
          </w:p>
        </w:tc>
      </w:tr>
      <w:tr>
        <w:trPr>
          <w:trHeight w:val="2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8"/>
                <w:szCs w:val="18"/>
                <w:color w:val="auto"/>
              </w:rPr>
            </w:pPr>
          </w:p>
        </w:tc>
        <w:tc>
          <w:tcPr>
            <w:tcW w:w="102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2024 Omnibus Incentive Plan - Performance Stock Agreement Form</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Description of the Company's Securities Registered Pursuant to Section 12 of the Securities Exchange Act of 1934 (Previously filed as an</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exhibit to the Company's Form 10-K for the year ended December 31, 2019 and incorporated by reference herein.)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Cross Country, Inc. Deferred Compensation Plan (Previously filed as an exhibit to the Company’s Form 10-K for the year ended December</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31, 2002, and incorporated by reference herein.)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Second Amendment to Lease Agreement by and between Meridian Commercial Properties Limited Partnership and Cross Country</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Healthcare, Inc., dated February 17, 2007 (Previously filed as an exhibit to the Company’s Form 10-K for the year ended December</w:t>
              </w:r>
            </w:hyperlink>
          </w:p>
        </w:tc>
        <w:tc>
          <w:tcPr>
            <w:tcW w:w="780" w:type="dxa"/>
            <w:vAlign w:val="bottom"/>
            <w:gridSpan w:val="22"/>
          </w:tcPr>
          <w:p>
            <w:pPr>
              <w:jc w:val="right"/>
              <w:ind w:right="40"/>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31, 2006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8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Executive Severance Plan of Cross Country Healthcare, Inc. (Previously filed as an exhibit to the Company’s Form 8-</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4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K dated May 28, 2010 and incorporated by reference herein.)</w:t>
              </w:r>
            </w:hyperlink>
          </w:p>
        </w:tc>
        <w:tc>
          <w:tcPr>
            <w:tcW w:w="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Fourth Amendment to Lease Agreement by and between Granite Meridian LLC and Cross Country Healthcare, Inc., dated September 29,</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2015 (Previously filed as an exhibit to the Company’s Form 8-K dated October 2, 2015 and incorporated by reference herein.)</w:t>
              </w:r>
            </w:hyperlink>
          </w:p>
        </w:tc>
        <w:tc>
          <w:tcPr>
            <w:tcW w:w="8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Asset Purchase Agreement between Mediscan, Inc. and Direct Ed Solutions, Inc. and Mihal Spiegel, dated August 19, 2014 (Previously filed</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 an exhibit to the Company's Form 8-K dated November 3, 2015 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6"/>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Cross Country Healthcare, Inc. Executive Nonqualified Excess Plan Adoption Agreement (Previously filed as an exhibit to the Company's</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Form 10-K dated December 31, 2017 and incorporated by reference herein.)</w:t>
              </w:r>
            </w:hyperlink>
          </w:p>
        </w:tc>
        <w:tc>
          <w:tcPr>
            <w:tcW w:w="452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9"/>
                <w:szCs w:val="19"/>
                <w:color w:val="auto"/>
              </w:rPr>
            </w:pPr>
          </w:p>
        </w:tc>
        <w:tc>
          <w:tcPr>
            <w:tcW w:w="97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Amendment and Restatement to Employment Agreement, dated January 31, 2019, by and between Cross Country Healthcare, Inc. and</w:t>
              </w:r>
            </w:hyperlink>
          </w:p>
        </w:tc>
        <w:tc>
          <w:tcPr>
            <w:tcW w:w="580" w:type="dxa"/>
            <w:vAlign w:val="bottom"/>
            <w:gridSpan w:val="22"/>
          </w:tcPr>
          <w:p>
            <w:pPr>
              <w:spacing w:after="0"/>
              <w:rPr>
                <w:sz w:val="19"/>
                <w:szCs w:val="19"/>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William J. Burns (Previously filed as an exhibit to the Company's Form 8-K dated January 31, 2019 and incorporated by reference herein)</w:t>
              </w:r>
            </w:hyperlink>
          </w:p>
        </w:tc>
        <w:tc>
          <w:tcPr>
            <w:tcW w:w="320" w:type="dxa"/>
            <w:vAlign w:val="bottom"/>
            <w:gridSpan w:val="15"/>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ABL Credit Agreement, dated October 25, 2019, by and among Cross Country Healthcare, Inc. and certain of its domestic subsidiaries as</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borrowers, certain of its domestic subsidiaries as guarantors, the Lenders referenced therein, and Wells Fargo Bank, as agent (Previously</w:t>
              </w:r>
            </w:hyperlink>
          </w:p>
        </w:tc>
        <w:tc>
          <w:tcPr>
            <w:tcW w:w="380" w:type="dxa"/>
            <w:vAlign w:val="bottom"/>
            <w:gridSpan w:val="18"/>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filed</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as an exhibit to the Company's Form 8-K dated October 28, 2019 and incorporated by reference herein.)</w:t>
              </w:r>
            </w:hyperlink>
          </w:p>
        </w:tc>
        <w:tc>
          <w:tcPr>
            <w:tcW w:w="2720" w:type="dxa"/>
            <w:vAlign w:val="bottom"/>
            <w:tcBorders>
              <w:top w:val="single" w:sz="8" w:color="0000FF"/>
            </w:tcBorders>
            <w:gridSpan w:val="28"/>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Amendment No. 1 to ABL Credit Agreement, dated as of June 30, 2020, by and among Cross Country Healthcare, Inc. and certain of its</w:t>
              </w:r>
            </w:hyperlink>
          </w:p>
        </w:tc>
        <w:tc>
          <w:tcPr>
            <w:tcW w:w="460" w:type="dxa"/>
            <w:vAlign w:val="bottom"/>
            <w:gridSpan w:val="20"/>
          </w:tcPr>
          <w:p>
            <w:pPr>
              <w:spacing w:after="0"/>
              <w:rPr>
                <w:sz w:val="19"/>
                <w:szCs w:val="19"/>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80" w:type="dxa"/>
            <w:vAlign w:val="bottom"/>
            <w:gridSpan w:val="44"/>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domestic subsidiaries as borrowers or guarantors, PNC Bank, N.A., as lender, and Wells Fargo Bank, N.A., as administrative agent, collateral</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agent, and lender (Previously filed as an exhibit to the Company's Form 8-K dated June 30, 2020 and incorporated by reference herein.)</w:t>
              </w:r>
            </w:hyperlink>
          </w:p>
        </w:tc>
        <w:tc>
          <w:tcPr>
            <w:tcW w:w="420" w:type="dxa"/>
            <w:vAlign w:val="bottom"/>
            <w:tcBorders>
              <w:top w:val="single" w:sz="8" w:color="0000FF"/>
            </w:tcBorders>
            <w:gridSpan w:val="18"/>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 #</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Non-Employee Directors' Restricted Stock Agreement under Cross Country Healthcare, Inc. 2020 Stock Incentive Plan (Previously</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filed as an exhibit to the Company's Form 10-Q for the quarter ended June 30, 2020 and incorporated by reference herein.)</w:t>
              </w:r>
            </w:hyperlink>
          </w:p>
        </w:tc>
        <w:tc>
          <w:tcPr>
            <w:tcW w:w="160" w:type="dxa"/>
            <w:vAlign w:val="bottom"/>
            <w:gridSpan w:val="7"/>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6"/>
            <w:shd w:val="clear" w:color="auto" w:fill="0000FF"/>
          </w:tcPr>
          <w:p>
            <w:pPr>
              <w:spacing w:after="0" w:line="20" w:lineRule="exact"/>
              <w:rPr>
                <w:sz w:val="1"/>
                <w:szCs w:val="1"/>
                <w:color w:val="auto"/>
              </w:rPr>
            </w:pPr>
          </w:p>
        </w:tc>
        <w:tc>
          <w:tcPr>
            <w:tcW w:w="4360" w:type="dxa"/>
            <w:vAlign w:val="bottom"/>
            <w:gridSpan w:val="11"/>
            <w:shd w:val="clear" w:color="auto" w:fill="0000FF"/>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420" w:type="dxa"/>
            <w:vAlign w:val="bottom"/>
            <w:gridSpan w:val="19"/>
          </w:tcPr>
          <w:p>
            <w:pPr>
              <w:spacing w:after="0" w:line="20" w:lineRule="exact"/>
              <w:rPr>
                <w:sz w:val="1"/>
                <w:szCs w:val="1"/>
                <w:color w:val="auto"/>
              </w:rPr>
            </w:pP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 #</w:t>
            </w:r>
          </w:p>
        </w:tc>
        <w:tc>
          <w:tcPr>
            <w:tcW w:w="120" w:type="dxa"/>
            <w:vAlign w:val="bottom"/>
          </w:tcPr>
          <w:p>
            <w:pPr>
              <w:spacing w:after="0"/>
              <w:rPr>
                <w:sz w:val="19"/>
                <w:szCs w:val="19"/>
                <w:color w:val="auto"/>
              </w:rPr>
            </w:pPr>
          </w:p>
        </w:tc>
        <w:tc>
          <w:tcPr>
            <w:tcW w:w="10280" w:type="dxa"/>
            <w:vAlign w:val="bottom"/>
            <w:gridSpan w:val="44"/>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Offer Letter by and between Cross Country Healthcare, Inc. and John Martins (Previously filed as an exhibit to the Company's Form 8-K</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dated January 25, 2021 and incorporated by reference herein.)</w:t>
              </w:r>
            </w:hyperlink>
          </w:p>
        </w:tc>
        <w:tc>
          <w:tcPr>
            <w:tcW w:w="420" w:type="dxa"/>
            <w:vAlign w:val="bottom"/>
            <w:gridSpan w:val="19"/>
          </w:tcPr>
          <w:p>
            <w:pPr>
              <w:spacing w:after="0"/>
              <w:rPr>
                <w:sz w:val="13"/>
                <w:szCs w:val="13"/>
                <w:color w:val="auto"/>
              </w:rPr>
            </w:pPr>
          </w:p>
        </w:tc>
      </w:tr>
      <w:tr>
        <w:trPr>
          <w:trHeight w:val="885"/>
        </w:trPr>
        <w:tc>
          <w:tcPr>
            <w:tcW w:w="8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40" w:type="dxa"/>
            <w:vAlign w:val="bottom"/>
            <w:tcBorders>
              <w:top w:val="single" w:sz="8" w:color="0000FF"/>
            </w:tcBorders>
            <w:gridSpan w:val="5"/>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0" w:type="dxa"/>
            <w:vAlign w:val="bottom"/>
            <w:gridSpan w:val="34"/>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9"/>
              </w:rPr>
              <w:t>EXHIBIT INDEX (CONTINUED)</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32"/>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10.12 #</w:t>
            </w:r>
          </w:p>
        </w:tc>
        <w:tc>
          <w:tcPr>
            <w:tcW w:w="120" w:type="dxa"/>
            <w:vAlign w:val="bottom"/>
          </w:tcPr>
          <w:p>
            <w:pPr>
              <w:spacing w:after="0"/>
              <w:rPr>
                <w:sz w:val="14"/>
                <w:szCs w:val="14"/>
                <w:color w:val="auto"/>
              </w:rPr>
            </w:pPr>
          </w:p>
        </w:tc>
        <w:tc>
          <w:tcPr>
            <w:tcW w:w="10160" w:type="dxa"/>
            <w:vAlign w:val="bottom"/>
            <w:gridSpan w:val="41"/>
          </w:tcPr>
          <w:p>
            <w:pPr>
              <w:spacing w:after="0" w:line="149"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Employment Agreement by and between Cross Country Healthcare, Inc. and John Martins (Previously filed as an exhibit to the Company's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2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Form 8-K dated January 25, 2021 and incorporated by reference herein.)</w:t>
              </w:r>
            </w:hyperlink>
          </w:p>
        </w:tc>
        <w:tc>
          <w:tcPr>
            <w:tcW w:w="48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10.13 #</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Revised Offer Letter by and between Cross Country Healthcare, Inc. and Susan E. Ball, dated as of February 22, 2021 (Previously filed as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an exhibit to the Company's Form 10-K filed February 25, 2021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10.14 #</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Amendment and Restatement to Employment Agreement, dated February 22, 2021, by and between Cross Country Healthcare, Inc. 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William J. Burns (Previously filed as an exhibit to the Company's Form 10-K filed February 25, 2021 and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herein.)</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Amendment No. 2 to ABL Credit Agreement and Amendment No. 1 to Guaranty and Security Agreement, dated as of March 8, 2021, by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and among Cross Country Healthcare, Inc. and certain of its domestic subsidiaries as borrowers or guarantors, PNC Bank N.A., as lender,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20" w:type="dxa"/>
            <w:vAlign w:val="bottom"/>
            <w:gridSpan w:val="11"/>
            <w:vMerge w:val="restart"/>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K</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gridSpan w:val="30"/>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and Wells Fargo Bank N.A., as administrative agent, collateral agent, and lender (Previously filed as an exhibit to the Company's Form 8-</w:t>
              </w:r>
            </w:hyperlink>
          </w:p>
        </w:tc>
        <w:tc>
          <w:tcPr>
            <w:tcW w:w="22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dated March 10, 2021 and incorporated by reference herein)</w:t>
              </w:r>
            </w:hyperlink>
          </w:p>
        </w:tc>
        <w:tc>
          <w:tcPr>
            <w:tcW w:w="57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Offer Letter by and between Cross Country Healthcare, Inc. and Phillip Noe (Previously filed as an exhibit to the Company's Form 8-K</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dated May 10, 2021 and 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10.17 #</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Employment Agreement by and between Cross Country Healthcare, Inc. and Phillip Noe (Previously filed as an exhibit to the Company's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8-K dated May 10, 2021 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Amendment No. 3 to ABL Credit Agreement, by and among Cross Country Healthcare, Inc. and certain of its domestic subsidiaries as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gridSpan w:val="41"/>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borrowers, certain of its domestic subsidiaries as guarantors, the Lenders (as defined therein), and Wells Fargo Bank, National Association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as agent dated June 8, 2021 (Previously filed as an exhibit to the Company's Form 8-K dated June 14, 2021 and incorporated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herein.)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8"/>
                <w:szCs w:val="18"/>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Amendment No. 4 to ABL Credit Agreement, by and among Cross Country Healthcare, Inc. and certain of its domestic subsidiaries as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gridSpan w:val="41"/>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borrowers, certain of its domestic subsidiaries as guarantors, the Lenders (as defined therein), and Wells Fargo Bank, National Association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as agent dated November 18, 2021 (Previously filed as an exhibit to the Company's Form 8-K dated November 19, 2021 and incorporated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by reference herein.)</w:t>
              </w:r>
            </w:hyperlink>
          </w:p>
        </w:tc>
        <w:tc>
          <w:tcPr>
            <w:tcW w:w="848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10.20 #</w:t>
            </w:r>
          </w:p>
        </w:tc>
        <w:tc>
          <w:tcPr>
            <w:tcW w:w="120" w:type="dxa"/>
            <w:vAlign w:val="bottom"/>
          </w:tcPr>
          <w:p>
            <w:pPr>
              <w:spacing w:after="0"/>
              <w:rPr>
                <w:sz w:val="18"/>
                <w:szCs w:val="18"/>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Employment Agreement, dated as of January 14, 2022, by and between Cross Country Healthcare, Inc. and John A. Martins (Previously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filed as an exhibit to the Company's Form 8-K dated January 19, 2022 and incorporated by reference herein.)</w:t>
              </w:r>
            </w:hyperlink>
          </w:p>
        </w:tc>
        <w:tc>
          <w:tcPr>
            <w:tcW w:w="1980" w:type="dxa"/>
            <w:vAlign w:val="bottom"/>
            <w:tcBorders>
              <w:top w:val="single" w:sz="8" w:color="0000FF"/>
            </w:tcBorders>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No. 5 to ABL Credit Agreement and Amendment No. 2 to Guaranty and Security Agreement, dated as of March 21, 2022, by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and among Cross Country Healthcare, Inc. and certain of its domestic subsidiaries as borrowers or guarantors, and Wells Fargo Bank N.A.,</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gridSpan w:val="37"/>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as administrative agent, collateral agent, and lender (Previously filed as an exhibit to the Company's Form 8-K dated March 22, 2022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incorporated by reference herein.)</w:t>
              </w:r>
            </w:hyperlink>
          </w:p>
        </w:tc>
        <w:tc>
          <w:tcPr>
            <w:tcW w:w="7440" w:type="dxa"/>
            <w:vAlign w:val="bottom"/>
            <w:tcBorders>
              <w:top w:val="single" w:sz="8" w:color="0000FF"/>
            </w:tcBorders>
            <w:gridSpan w:val="23"/>
          </w:tcPr>
          <w:p>
            <w:pPr>
              <w:spacing w:after="0"/>
              <w:rPr>
                <w:sz w:val="14"/>
                <w:szCs w:val="14"/>
                <w:color w:val="auto"/>
              </w:rPr>
            </w:pPr>
          </w:p>
        </w:tc>
        <w:tc>
          <w:tcPr>
            <w:tcW w:w="120" w:type="dxa"/>
            <w:vAlign w:val="bottom"/>
            <w:gridSpan w:val="6"/>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8"/>
                <w:szCs w:val="18"/>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Amendment No. 6 to ABL Credit Agreement, dated as of September 29, 2023, by and among Cross Country Healthcare, Inc. and certain of</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its domestic subsidiaries as borrowers or guarantors, and Wells Fargo Bank National Association, as administrative agent, collateral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and lender (Previously filed as an exhibit to the Company's Form 8-K dated October 2, 2023 and incorporated by reference herein.)</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Amendment No. 7 to ABL Credit Agreement, dated as of July 29, 2024, by and among Cross Country Healthcare, Inc. and certain of its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domestic subsidiaries as borrowers or guarantors, and Wells Fargo Bank, N.A., as administrative agent, collateral agent, and lender</w:t>
              </w:r>
            </w:hyperlink>
          </w:p>
        </w:tc>
        <w:tc>
          <w:tcPr>
            <w:tcW w:w="3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(Previously filed as an exhibit to the Company's Form 8-K dated July 29, 2024 and incorporated by reference herein.)</w:t>
              </w:r>
            </w:hyperlink>
          </w:p>
        </w:tc>
        <w:tc>
          <w:tcPr>
            <w:tcW w:w="9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3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10.24 #</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Cross Country Healthcare, Inc. 2024 Omnibus Incentive Plan (Previously filed as an exhibit to the Company’s Form S-8 dated May 22,</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2024 and incorporated by reference herein.)</w:t>
              </w:r>
            </w:hyperlink>
          </w:p>
        </w:tc>
        <w:tc>
          <w:tcPr>
            <w:tcW w:w="3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10.25 #</w:t>
            </w:r>
          </w:p>
        </w:tc>
        <w:tc>
          <w:tcPr>
            <w:tcW w:w="120" w:type="dxa"/>
            <w:vAlign w:val="bottom"/>
          </w:tcPr>
          <w:p>
            <w:pPr>
              <w:spacing w:after="0"/>
              <w:rPr>
                <w:sz w:val="19"/>
                <w:szCs w:val="19"/>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Employment Agreement, dated January 2, 2026, by and between Cross Country Healthcare, Inc. and Kevin C. Clark (Previously filed as an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exhibit to the Company's Amendment No. 1 to Form 8-K dated January 2, 2026 and incorporated by reference herein.)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*10.26 #</w:t>
            </w:r>
          </w:p>
        </w:tc>
        <w:tc>
          <w:tcPr>
            <w:tcW w:w="120" w:type="dxa"/>
            <w:vAlign w:val="bottom"/>
          </w:tcPr>
          <w:p>
            <w:pPr>
              <w:spacing w:after="0"/>
              <w:rPr>
                <w:sz w:val="19"/>
                <w:szCs w:val="19"/>
                <w:color w:val="auto"/>
              </w:rPr>
            </w:pPr>
          </w:p>
        </w:tc>
        <w:tc>
          <w:tcPr>
            <w:tcW w:w="9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Form of Non-Employee Directors' Restricted Stock Agreement under Cross Country Healthcare, Inc. 2024 Omnibus Incentive Plan</w:t>
            </w:r>
          </w:p>
        </w:tc>
        <w:tc>
          <w:tcPr>
            <w:tcW w:w="68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160" w:type="dxa"/>
            <w:vAlign w:val="bottom"/>
            <w:gridSpan w:val="41"/>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Code of Ethics, revised November 15, 2021 (Previously filed as an exhibit to the Company's Form 10-K filed February 28, 2022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incorporated by reference herein.)</w:t>
              </w:r>
            </w:hyperlink>
          </w:p>
        </w:tc>
        <w:tc>
          <w:tcPr>
            <w:tcW w:w="7100" w:type="dxa"/>
            <w:vAlign w:val="bottom"/>
            <w:tcBorders>
              <w:top w:val="single" w:sz="8" w:color="0000FF"/>
            </w:tcBorders>
            <w:gridSpan w:val="15"/>
          </w:tcPr>
          <w:p>
            <w:pPr>
              <w:spacing w:after="0"/>
              <w:rPr>
                <w:sz w:val="13"/>
                <w:szCs w:val="13"/>
                <w:color w:val="auto"/>
              </w:rPr>
            </w:pPr>
          </w:p>
        </w:tc>
        <w:tc>
          <w:tcPr>
            <w:tcW w:w="60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8540" w:type="dxa"/>
            <w:vAlign w:val="bottom"/>
            <w:gridSpan w:val="37"/>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2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List of subsidiaries of the Registrant</w:t>
            </w:r>
          </w:p>
        </w:tc>
        <w:tc>
          <w:tcPr>
            <w:tcW w:w="7540" w:type="dxa"/>
            <w:vAlign w:val="bottom"/>
            <w:gridSpan w:val="3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980" w:type="dxa"/>
            <w:vAlign w:val="bottom"/>
            <w:tcBorders>
              <w:top w:val="single" w:sz="8" w:color="0000FF"/>
            </w:tcBorders>
            <w:gridSpan w:val="9"/>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680" w:type="dxa"/>
            <w:vAlign w:val="bottom"/>
            <w:gridSpan w:val="10"/>
          </w:tcPr>
          <w:p>
            <w:pPr>
              <w:ind w:left="760"/>
              <w:spacing w:after="0"/>
              <w:rPr>
                <w:sz w:val="20"/>
                <w:szCs w:val="20"/>
                <w:color w:val="auto"/>
              </w:rPr>
            </w:pPr>
            <w:r>
              <w:rPr>
                <w:rFonts w:ascii="Times New Roman" w:cs="Times New Roman" w:eastAsia="Times New Roman" w:hAnsi="Times New Roman"/>
                <w:sz w:val="18"/>
                <w:szCs w:val="18"/>
                <w:b w:val="1"/>
                <w:bCs w:val="1"/>
                <w:color w:val="auto"/>
              </w:rPr>
              <w:t>EXHIBIT INDEX (CONTINUED)</w:t>
            </w:r>
          </w:p>
        </w:tc>
      </w:tr>
      <w:tr>
        <w:trPr>
          <w:trHeight w:val="238"/>
        </w:trPr>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460" w:type="dxa"/>
            <w:vAlign w:val="bottom"/>
          </w:tcPr>
          <w:p>
            <w:pPr>
              <w:spacing w:after="0"/>
              <w:rPr>
                <w:sz w:val="20"/>
                <w:szCs w:val="20"/>
                <w:color w:val="auto"/>
              </w:rPr>
            </w:pPr>
          </w:p>
        </w:tc>
        <w:tc>
          <w:tcPr>
            <w:tcW w:w="7680" w:type="dxa"/>
            <w:vAlign w:val="bottom"/>
            <w:gridSpan w:val="10"/>
          </w:tcPr>
          <w:p>
            <w:pPr>
              <w:ind w:left="2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40" w:type="dxa"/>
            <w:vAlign w:val="bottom"/>
            <w:tcBorders>
              <w:top w:val="single" w:sz="8" w:color="auto"/>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Pursuant to Rule 13a-14(a)/15d-14(a) and pursuant to Section 302 of the Sarbanes-Oxley Act of 2002 by Kevin C. Clark,</w:t>
            </w: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Chairman, Chief Executive Officer, President (Principal Executive Officer)</w:t>
            </w: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and pursuant to Section 302 of the Sarbanes-Oxley Act of 2002 by William J. Burns,</w:t>
            </w: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Executive Vice President, Chief Financial Officer (Principal Financial Officer)</w:t>
            </w:r>
          </w:p>
        </w:tc>
        <w:tc>
          <w:tcPr>
            <w:tcW w:w="320" w:type="dxa"/>
            <w:vAlign w:val="bottom"/>
          </w:tcPr>
          <w:p>
            <w:pPr>
              <w:spacing w:after="0"/>
              <w:rPr>
                <w:sz w:val="13"/>
                <w:szCs w:val="13"/>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Kevin C.</w:t>
            </w: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Clark, Chairman, Chief Executive Officer, President (Principal Executive Officer)</w:t>
            </w:r>
          </w:p>
        </w:tc>
        <w:tc>
          <w:tcPr>
            <w:tcW w:w="372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22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 J.</w:t>
            </w: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Burns, Executive Vice President, Chief Financial Officer (Principal Financial Officer)</w:t>
            </w:r>
          </w:p>
        </w:tc>
        <w:tc>
          <w:tcPr>
            <w:tcW w:w="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97.1 #</w:t>
            </w:r>
          </w:p>
        </w:tc>
        <w:tc>
          <w:tcPr>
            <w:tcW w:w="120" w:type="dxa"/>
            <w:vAlign w:val="bottom"/>
          </w:tcPr>
          <w:p>
            <w:pPr>
              <w:spacing w:after="0"/>
              <w:rPr>
                <w:sz w:val="19"/>
                <w:szCs w:val="19"/>
                <w:color w:val="auto"/>
              </w:rPr>
            </w:pPr>
          </w:p>
        </w:tc>
        <w:tc>
          <w:tcPr>
            <w:tcW w:w="10140" w:type="dxa"/>
            <w:vAlign w:val="bottom"/>
            <w:gridSpan w:val="11"/>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Compensation Recoupment (Clawback) Policy (Previously filed as an exhibit to the Company’s Form 10-K filed February 23, 2024 and</w:t>
              </w:r>
            </w:hyperlink>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incorporated by reference herein.)</w:t>
              </w:r>
            </w:hyperlink>
          </w:p>
        </w:tc>
        <w:tc>
          <w:tcPr>
            <w:tcW w:w="7340" w:type="dxa"/>
            <w:vAlign w:val="bottom"/>
            <w:tcBorders>
              <w:top w:val="single" w:sz="8" w:color="0000FF"/>
            </w:tcBorders>
            <w:gridSpan w:val="8"/>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947"/>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PRE XBRL Taxonomy Extension Presentation Linkbase Document</w:t>
            </w: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11"/>
          </w:tcPr>
          <w:p>
            <w:pPr>
              <w:ind w:left="6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56" w:lineRule="exact"/>
        <w:rPr>
          <w:sz w:val="20"/>
          <w:szCs w:val="20"/>
          <w:color w:val="auto"/>
        </w:rPr>
      </w:pPr>
    </w:p>
    <w:tbl>
      <w:tblPr>
        <w:tblLayout w:type="fixed"/>
        <w:tblInd w:w="52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C. Clark</w:t>
            </w:r>
          </w:p>
        </w:tc>
      </w:tr>
      <w:tr>
        <w:trPr>
          <w:trHeight w:val="218"/>
        </w:trPr>
        <w:tc>
          <w:tcPr>
            <w:tcW w:w="62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Kevin C. Clark</w:t>
            </w:r>
          </w:p>
        </w:tc>
      </w:tr>
      <w:tr>
        <w:trPr>
          <w:trHeight w:val="229"/>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Chief Executive Officer, and President</w:t>
            </w:r>
          </w:p>
        </w:tc>
      </w:tr>
      <w:tr>
        <w:trPr>
          <w:trHeight w:val="229"/>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6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9, 2026</w:t>
            </w: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indicated and on the dates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453"/>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C. Clark</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C. Clark</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J. Burns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Burns</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V. Redd III</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V. Redd III</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Dwayne Allen</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Dwayne Allen</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Venkat Bhamidipati</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Venkat Bhamidipati</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 Larry Cash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 Larry Cash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Gale Fitzgerald</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Gale Fitzgerald</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Janice E. Nevin, M.D., MPH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Janice E. Nevin, M.D., MPH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9" w:name="page50"/>
    <w:bookmarkEnd w:id="49"/>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0380" w:type="dxa"/>
            <w:vAlign w:val="bottom"/>
            <w:gridSpan w:val="7"/>
          </w:tcPr>
          <w:p>
            <w:pPr>
              <w:ind w:left="3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5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tc>
        <w:tc>
          <w:tcPr>
            <w:tcW w:w="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10540" w:type="dxa"/>
            <w:vAlign w:val="bottom"/>
            <w:gridSpan w:val="8"/>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7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Income for the Years Ended December 31, 2025, 2024, and 2023</w:t>
            </w: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660" w:type="dxa"/>
            <w:vAlign w:val="bottom"/>
          </w:tcPr>
          <w:p>
            <w:pPr>
              <w:spacing w:after="0"/>
              <w:rPr>
                <w:sz w:val="24"/>
                <w:szCs w:val="24"/>
                <w:color w:val="auto"/>
              </w:rPr>
            </w:pPr>
          </w:p>
        </w:tc>
        <w:tc>
          <w:tcPr>
            <w:tcW w:w="27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60" w:type="dxa"/>
            <w:vAlign w:val="bottom"/>
            <w:gridSpan w:val="3"/>
          </w:tcPr>
          <w:p>
            <w:pPr>
              <w:spacing w:after="0"/>
              <w:rPr>
                <w:sz w:val="24"/>
                <w:szCs w:val="24"/>
                <w:color w:val="auto"/>
              </w:rPr>
            </w:pPr>
          </w:p>
        </w:tc>
        <w:tc>
          <w:tcPr>
            <w:tcW w:w="33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0000FF"/>
                <w:w w:val="94"/>
              </w:rPr>
              <w:t>F- 9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2025, 2024, and 2023</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rPr>
              <w:t>II- 1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Schedules not filed herewith are either not applicable, the information is not material, or the information is set forth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Cross Country Healthcare,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5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Cross Country Healthcare, Inc and subsidiaries (the "Company") as of December 31, 2025 and 2024, the related consolidated statements of operations and comprehensive (loss) income, stockholders' equity, and cash flows, for each of the three years in the period ended December 31, 2025, and the related notes and the schedule listed in the Index at Item 15 (collectively referred to as the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0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51" w:name="page52"/>
    <w:bookmarkEnd w:id="51"/>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ind w:right="2480"/>
        <w:spacing w:after="0" w:line="42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Claim Liabilities and Insurance Recovery Receivables — Refer to Notes 2 and 7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provides workers’ compensation insurance coverage and professional liability coverage for eligible employees. The Company records its estimate of the ultimate cost of, and reserves for, workers' compensation and professional liability benefits based on actuarial models prepared by an independent actuary using the Company’s loss history as well as industry statistics.</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identified the insurance claim liabilities and insurance recovery receivables for workers’ compensation coverage and professional liability coverage as a critical audit matter because of the significant assumptions made by management and the specialized actuarial skill and knowledge required to assess the assumptions in estimating the liability and receivables. This required a moderate degree of auditor judgment as well as increased effort, including the involvement of actuarial specialists in performing procedures to evaluate the reasonableness of management’s judgement in estimating the liability and receivable.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insurance claim liabilities and insurance recovery receivables for workers’ compensation coverage and professional liability coverage included the following, among others:</w:t>
      </w:r>
    </w:p>
    <w:p>
      <w:pPr>
        <w:spacing w:after="0" w:line="81" w:lineRule="exact"/>
        <w:rPr>
          <w:sz w:val="20"/>
          <w:szCs w:val="20"/>
          <w:color w:val="auto"/>
        </w:rPr>
      </w:pPr>
    </w:p>
    <w:p>
      <w:pPr>
        <w:ind w:left="660" w:right="8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insurance claim liabilities and insurance recovery receivables, including those over the assumptions used to estimate the insurance claim liabilities and insurance recovery receivables.</w:t>
      </w:r>
    </w:p>
    <w:p>
      <w:pPr>
        <w:spacing w:after="0" w:line="9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including historical claims, that served as the basis for the actuarial analysis to test that the inputs to the actuarial estimate were complete and accurate.</w:t>
      </w:r>
    </w:p>
    <w:p>
      <w:pPr>
        <w:spacing w:after="0" w:line="9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 we evaluated the reasonableness of the actuarial methods and assumptions used by management to estimate the insurance claim liabilities and insurance recovery receivables by:</w:t>
      </w:r>
    </w:p>
    <w:p>
      <w:pPr>
        <w:spacing w:after="0" w:line="80" w:lineRule="exact"/>
        <w:rPr>
          <w:rFonts w:ascii="Times New Roman" w:cs="Times New Roman" w:eastAsia="Times New Roman" w:hAnsi="Times New Roman"/>
          <w:sz w:val="18"/>
          <w:szCs w:val="18"/>
          <w:color w:val="auto"/>
        </w:rPr>
      </w:pPr>
    </w:p>
    <w:p>
      <w:pPr>
        <w:ind w:left="980" w:right="1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Comparing prior-year assumptions of expected development and ultimate loss to actuals incurred during the current year to identify potential bias in the determination of the insurance claim liabilities and insurance recovery receivables.</w:t>
      </w:r>
    </w:p>
    <w:p>
      <w:pPr>
        <w:spacing w:after="0" w:line="94"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an independent range of estimates of the insurance claim liabilities and insurance recovery receivables, utilizing paid and reported loss development factors from the Company’s historical data and industry loss development factors and comparing our estimates to management’s estimates.</w:t>
      </w:r>
    </w:p>
    <w:p>
      <w:pPr>
        <w:spacing w:after="0" w:line="108" w:lineRule="exact"/>
        <w:rPr>
          <w:rFonts w:ascii="Times New Roman" w:cs="Times New Roman" w:eastAsia="Times New Roman" w:hAnsi="Times New Roman"/>
          <w:sz w:val="18"/>
          <w:szCs w:val="18"/>
          <w:color w:val="auto"/>
        </w:rPr>
      </w:pPr>
    </w:p>
    <w:p>
      <w:pPr>
        <w:ind w:left="980" w:right="4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qualifications of the Company’s actuaries by assessing the certifications and determining whether they meet the Qualification Standards of the American Academy of Actuaries to render the statements of actuarial opinion in their analyses.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Nurse And Allied Staffing and Physician Staffing Reporting Units — Refer to Notes 2 and 5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determines the fair value of its reporting units with the assistance of a third-party fair value specialist using the discounted cash flow model and the market approach. The determination of the fair value using the discount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cash flow model requires management to make significant estimates and assumptions related to forecasts of future revenues, profit margins, expenses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rates. The determination of the fair value using the market approach requires management to make significant assumptions related to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interest, taxes, depreciation, and amortization (EBITDA) multiples. The goodwill balance was $63.8 million as of December 31, 2025,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$47.9 million and $15.9 million was allocated to the Nurse And Allied Staffing and Physician Staffing reporting units, respectively. The carrying values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Nurse And Allied Staffing and Physician Staffing reporting units exceeded their fair values as of the measurement date and, therefore, an impairment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$64.2 million and $7.0 million was recognized, respectively. Nurse And Allied Staffing and Physician Staffing reporting units’ revenues, expenses,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margins, and EBITDA multiples are significant inputs in the fair value calculations and require management judgment and estimates of future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and market demand for the respective services.</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the significant estimates and assumptions management makes to estimate the fair value of the Nurse And Allied Staffing and Physician Staffing reporting units and the sensitivity of the Nurse And Allied Staffing and Physician Staffing reporting units’ operations to changes in market demand, performing audit procedures to evaluate the reasonableness of management’s estimates and assumptions related to forecasts of future revenues, expenses, profit margins, EBITDA multiples, and the selection of the discount rates for the Nurse And Allied Staffing and Physician Staffing reporting units required a high degree of auditor judgment and an increased extent of effort, including the need to involve our fair value specialists.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forecasts of future revenues, expenses, profit margins, and EBITDA multiples (“forecasts”), and the selection of discount rates for the Nurse And Allied Staffing and Physician Staffing reporting units included the following, among others:</w:t>
      </w:r>
    </w:p>
    <w:p>
      <w:pPr>
        <w:spacing w:after="0" w:line="189" w:lineRule="exact"/>
        <w:rPr>
          <w:sz w:val="20"/>
          <w:szCs w:val="20"/>
          <w:color w:val="auto"/>
        </w:rPr>
      </w:pPr>
    </w:p>
    <w:p>
      <w:pPr>
        <w:ind w:left="660" w:right="60" w:hanging="328"/>
        <w:spacing w:after="0" w:line="265"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Nurse And Allied Staffing and Physician Staffing reporting units, such as controls related to management’s forecasts and selection of the discount rates.</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14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 (1) historical results, (2) internal communications to management, and (3) forecasted information included in analyst and industry reports of the Company and companies in its peer group.</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impact of changes in management’s forecasts from the October 1, 2025, annual measurement date to December 31, 2025.</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the impact of industry trends on management’s forecasts.</w:t>
      </w:r>
    </w:p>
    <w:p>
      <w:pPr>
        <w:spacing w:after="0" w:line="14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10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EBITDA multiples, including testing the underlying source information and mathematical accuracy of the calculations, and comparing the multiples selected by management to its guideline companies.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9,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$9,112 in 2025 and $9,301 in 2024</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167,512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293,589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Cloud computing</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asset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448,951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589,251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CCEEFF"/>
              </w:rPr>
              <w:t>46,034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Earnout liability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77,756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claims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stock—$0.0001 par value; 100,000,000 shares authorized; 31,721,280 and 32,277,395 shares issued and</w:t>
            </w:r>
          </w:p>
        </w:tc>
        <w:tc>
          <w:tcPr>
            <w:tcW w:w="32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at December 31, 2025 and 2024, respectively</w:t>
            </w: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123,207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218,059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322,822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418,959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448,951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589,251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r>
        <w:rPr>
          <w:rFonts w:ascii="Times New Roman" w:cs="Times New Roman" w:eastAsia="Times New Roman" w:hAnsi="Times New Roman"/>
          <w:sz w:val="14"/>
          <w:szCs w:val="14"/>
          <w:color w:val="auto"/>
        </w:rPr>
        <w:t>.</w:t>
      </w:r>
    </w:p>
    <w:p>
      <w:pPr>
        <w:sectPr>
          <w:pgSz w:w="11900" w:h="16838" w:orient="portrait"/>
          <w:cols w:equalWidth="0" w:num="1">
            <w:col w:w="11220"/>
          </w:cols>
          <w:pgMar w:left="320" w:top="1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type w:val="continuous"/>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7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2,019,728</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1,569,318</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300,332</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(income)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3"/>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1,907,015</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(84,414)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112,713</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(83,510)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102,894</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30,263</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translation (loss) income,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7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(94,971)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72,633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35,158</w:t>
            </w:r>
          </w:p>
        </w:tc>
      </w:tr>
      <w:tr>
        <w:trPr>
          <w:trHeight w:val="248"/>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8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line="20" w:lineRule="exact"/>
              <w:rPr>
                <w:sz w:val="1"/>
                <w:szCs w:val="1"/>
                <w:color w:val="auto"/>
              </w:rPr>
            </w:pPr>
          </w:p>
        </w:tc>
      </w:tr>
      <w:tr>
        <w:trPr>
          <w:trHeight w:val="162"/>
        </w:trPr>
        <w:tc>
          <w:tcPr>
            <w:tcW w:w="3800" w:type="dxa"/>
            <w:vAlign w:val="bottom"/>
          </w:tcPr>
          <w:p>
            <w:pPr>
              <w:spacing w:after="0"/>
              <w:rPr>
                <w:sz w:val="14"/>
                <w:szCs w:val="14"/>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4"/>
                <w:szCs w:val="14"/>
                <w:color w:val="auto"/>
              </w:rPr>
            </w:pPr>
          </w:p>
        </w:tc>
        <w:tc>
          <w:tcPr>
            <w:tcW w:w="11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5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Deficit) Retained</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 net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30" w:right="339" w:bottom="1440" w:gutter="0" w:footer="0" w:header="0"/>
        </w:sectPr>
      </w:pPr>
    </w:p>
    <w:tbl>
      <w:tblPr>
        <w:tblLayout w:type="fixed"/>
        <w:tblInd w:w="20" w:type="dxa"/>
        <w:tblCellMar>
          <w:top w:w="0" w:type="dxa"/>
          <w:left w:w="0" w:type="dxa"/>
          <w:bottom w:w="0" w:type="dxa"/>
          <w:right w:w="0" w:type="dxa"/>
        </w:tblCellMar>
      </w:tblP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compensation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 excise tax</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 net of taxes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compensation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 excise tax</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 net of taxes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32,277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Equity-related severance and compensation</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 excise tax</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 net of taxes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292,876</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159,984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451,477</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(4,905)</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6,579</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8"/>
              </w:rPr>
              <w:t>(57,654)</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(57,654)</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(479)</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72,631</w:t>
            </w:r>
          </w:p>
        </w:tc>
      </w:tr>
      <w:tr>
        <w:trPr>
          <w:trHeight w:val="21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236,417</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232,615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467,651</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(2,960)</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6,025</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8"/>
              </w:rPr>
              <w:t>(36,830)</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(36,831)</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(314)</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(14,556)</w:t>
            </w:r>
          </w:p>
        </w:tc>
      </w:tr>
      <w:tr>
        <w:trPr>
          <w:trHeight w:val="21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202,338</w:t>
            </w: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218,059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418,959</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(1,762)</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7,144</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(6,519)</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w:t>
            </w:r>
          </w:p>
        </w:tc>
      </w:tr>
      <w:tr>
        <w:trPr>
          <w:trHeight w:val="216"/>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(94,852)</w:t>
            </w:r>
          </w:p>
        </w:tc>
      </w:tr>
      <w:tr>
        <w:trPr>
          <w:trHeight w:val="213"/>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201,172</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123,207</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322,822</w:t>
            </w:r>
          </w:p>
        </w:tc>
      </w:tr>
      <w:tr>
        <w:trPr>
          <w:trHeight w:val="23"/>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-7620</wp:posOffset>
            </wp:positionV>
            <wp:extent cx="6686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-1148080</wp:posOffset>
            </wp:positionV>
            <wp:extent cx="6686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360"/>
            <w:col w:w="5020"/>
          </w:cols>
          <w:pgMar w:left="320" w:top="1130" w:right="33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72,631</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18,347</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allowances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17,355</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charges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Equity-related severance and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251,427</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(126,611)</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r>
      <w:tr>
        <w:trPr>
          <w:trHeight w:val="21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120,116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248,498</w:t>
            </w:r>
          </w:p>
        </w:tc>
      </w:t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Acquisition-related settlements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w:t>
            </w:r>
          </w:p>
        </w:tc>
      </w:tr>
      <w:tr>
        <w:trPr>
          <w:trHeight w:val="20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(13,775)</w:t>
            </w:r>
          </w:p>
        </w:tc>
      </w:tr>
      <w:tr>
        <w:trPr>
          <w:trHeight w:val="185"/>
        </w:trPr>
        <w:tc>
          <w:tcPr>
            <w:tcW w:w="7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on term loan</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(73,875)</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Senior Secured Asset-Based revolving credit facility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720,991</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on Senior Secured Asset-Based revolving credit facility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(797,791)</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shares withheld for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(57,654)</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0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(13,006)</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(46,849)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(221,241)</w:t>
            </w:r>
          </w:p>
        </w:tc>
      </w:tr>
      <w:tr>
        <w:trPr>
          <w:trHeight w:val="185"/>
        </w:trPr>
        <w:tc>
          <w:tcPr>
            <w:tcW w:w="7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17,094</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2"/>
        </w:trPr>
        <w:tc>
          <w:tcPr>
            <w:tcW w:w="7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(received)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21,986</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Cross Country Healthcare, Inc. (the Company) provides total talent management services, including strategic workforce solutions, contingent staffing, permanent placement, and consultative services for healthcare customers. The Company places highly qualified healthcare professionals in virtually every specialty and area of expertise. Its diverse customer base includes both clinical and nonclinical settings, servicing both public and private acute care hospitals, non-acute care hospitals, outpatient clinics, ambulatory-care centers, physician practice groups, rehabilitation facilities, Program of All-Inclusive Care for the Elderly (PACE) programs, urgent care centers, local healthcare plans, national healthcare plans, managed care providers, public schools, charter schools, academic medical centers, correctional facilities, government facilities, pharmacies, and many other healthcare providers.</w:t>
      </w:r>
    </w:p>
    <w:p>
      <w:pPr>
        <w:spacing w:after="0" w:line="21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direct and indirect wholly-owned subsidiaries. All intercompany transactions and balances have been eliminated in consolidation.</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consolidated balance sheets and Note 7 - Balance Sheet Details and Note 13 -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 Healthcare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on December 3, 2024, the Company entered into an Agreement and Plan of Merger (Aya Merger Agreement) with Aya Holdings</w:t>
      </w:r>
    </w:p>
    <w:p>
      <w:pPr>
        <w:spacing w:after="0" w:line="27" w:lineRule="exact"/>
        <w:rPr>
          <w:sz w:val="20"/>
          <w:szCs w:val="20"/>
          <w:color w:val="auto"/>
        </w:rPr>
      </w:pPr>
    </w:p>
    <w:p>
      <w:pPr>
        <w:ind w:right="300" w:firstLine="8"/>
        <w:spacing w:after="0" w:line="260" w:lineRule="auto"/>
        <w:tabs>
          <w:tab w:leader="none" w:pos="1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 (Parent), Spark Merger Sub One Inc., a wholly owned subsidiary of Parent, and, solely for the limited purposes set forth therein, Aya Healthcare, Inc., providing for, subject to the satisfaction or waiver of certain conditions, the acquisition of the Company by Parent (the Aya Merger).</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After market close on December 3, 2025, the Company received a notice of termination of the Aya Merger Agreement from Parent, effective December 4, 2025, as a result of the Aya Merger not being consummated prior to the end date under the Aya Merger Agreement. In accordance with the terms of the Aya Merger Agreement, Parent paid a termination fee of $20.0 million in cash to the Company. See Note 2 -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9"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revenue recognition; (iv) accruals for health, workers’ compensation, and professional liability claims; (v) valuation of deferred tax assets; (vi) legal contingencies, and (vii)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s consolidated financial statements in future reporting periods. Actual results could differ from those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43"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3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The Company considers all investments with original maturities of three months or less to be cash and cash equivalents. Interest income on cash and cash equivalents was $3.1 million </w:t>
      </w:r>
      <w:r>
        <w:rPr>
          <w:rFonts w:ascii="Times New Roman" w:cs="Times New Roman" w:eastAsia="Times New Roman" w:hAnsi="Times New Roman"/>
          <w:sz w:val="17"/>
          <w:szCs w:val="17"/>
          <w:color w:val="auto"/>
        </w:rPr>
        <w:t>for the year ended December 31, 2025,</w:t>
      </w:r>
      <w:r>
        <w:rPr>
          <w:rFonts w:ascii="Times New Roman" w:cs="Times New Roman" w:eastAsia="Times New Roman" w:hAnsi="Times New Roman"/>
          <w:sz w:val="18"/>
          <w:szCs w:val="18"/>
          <w:color w:val="auto"/>
        </w:rPr>
        <w:t xml:space="preserve"> $2.0 million for the year ended </w:t>
      </w:r>
      <w:r>
        <w:rPr>
          <w:rFonts w:ascii="Times New Roman" w:cs="Times New Roman" w:eastAsia="Times New Roman" w:hAnsi="Times New Roman"/>
          <w:sz w:val="17"/>
          <w:szCs w:val="17"/>
          <w:color w:val="auto"/>
        </w:rPr>
        <w:t>December 31, 2024,</w:t>
      </w:r>
      <w:r>
        <w:rPr>
          <w:rFonts w:ascii="Times New Roman" w:cs="Times New Roman" w:eastAsia="Times New Roman" w:hAnsi="Times New Roman"/>
          <w:sz w:val="18"/>
          <w:szCs w:val="18"/>
          <w:color w:val="auto"/>
        </w:rPr>
        <w:t xml:space="preserve"> and immaterial for the year ended December 31, 2023, and is included in interest income in the consolidated statements of operations and comprehensive (loss)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Allowances, and Concentration of Credit Risk</w:t>
      </w:r>
    </w:p>
    <w:p>
      <w:pPr>
        <w:spacing w:after="0" w:line="23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Accounts receivable potentially subjects the Company to concentrations of credit risk. 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credit losses.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credit losses is reconciled to the closing balance for expected credit losses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(amounts in thousands)</w:t>
            </w:r>
          </w:p>
        </w:tc>
        <w:tc>
          <w:tcPr>
            <w:tcW w:w="1380" w:type="dxa"/>
            <w:vAlign w:val="bottom"/>
            <w:shd w:val="clear" w:color="auto" w:fill="CCEEFF"/>
          </w:tcPr>
          <w:p>
            <w:pPr>
              <w:spacing w:after="0"/>
              <w:rPr>
                <w:sz w:val="18"/>
                <w:szCs w:val="18"/>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35,032</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(Credit) Expense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(Credit)</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Write-Offs, net of Recoveries </w:t>
            </w:r>
            <w:r>
              <w:rPr>
                <w:rFonts w:ascii="Times New Roman" w:cs="Times New Roman" w:eastAsia="Times New Roman" w:hAnsi="Times New Roman"/>
                <w:sz w:val="23"/>
                <w:szCs w:val="23"/>
                <w:color w:val="auto"/>
                <w:vertAlign w:val="superscript"/>
              </w:rPr>
              <w:t>(a)</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1"/>
        </w:trPr>
        <w:tc>
          <w:tcPr>
            <w:tcW w:w="6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right="420" w:firstLine="8"/>
        <w:spacing w:after="0" w:line="260"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write-off in the fourth quarter consists primarily of the receivables and credit loss allowances associated with the single managed service programs (MSP) customer that filed for bankruptcy, as discussed below.</w:t>
      </w:r>
    </w:p>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credit losses, the Company maintains a sales allowance for billing-related adjustments that may arise in the ordinary course of business and adjustments to the reserve are recorded as contra-revenue. The sales allowance balance as of December 31, 2025 and December 31, 2024 was $0.3 million and $0.5 million, respectively.</w:t>
      </w:r>
    </w:p>
    <w:p>
      <w:pPr>
        <w:spacing w:after="0" w:line="18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years ended December 31, 2025, 2024, and 2023, or the Company's accounts receivable balance as of December 31, 2025 and 2024. In 2023 there was an increase in credit loss expense primarily driven by a deterioration in the accounts receivable aging stemming from a single MSP customer. On May 6, 2024, the MSP customer filed a voluntary petition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7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relief under Chapter 11 of the United States Bankruptcy Code. As a result, the Company recorded an associated credit loss expense of $19.4 million during the quarter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3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determined on a straight-line basis over the estimated useful lives of the assets, which generally range from three to ten years. Leasehold improvements are depreciated over the shorter of ten years or the term of the individual lease. On an annual basis, the Company reviews its property and equipment listings and disposes of assets that are no longer in use.</w:t>
      </w:r>
    </w:p>
    <w:p>
      <w:pPr>
        <w:spacing w:after="0" w:line="17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Certain software development costs have been capitalized. Such costs include charges for consulting services and costs for Company personnel associated with programming, coding, and testing such software. Amortization of capitalized software costs is included in depreciation and amortization expense in the consolidated statements of operations and comprehensive (loss) income and begins when the software is ready for use. See Note 6 - Property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2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Implementation costs associated with cloud computing arrangements are capitalized when incurred during the application development phase. In connection with the licensing of software products, the Company has entered into arrangements in which it does not take possession of the software; rather, the software application resides on the vendor's or a third-party's hardware, and the Company accesses and uses the software on an as-needed basis over the Internet or via a dedicated line. Therefore, the cloud computing arrangement does not give rise to an intangible asset. Costs are capitalized in accordance with the Company’s policies for other capitalizable service costs. Amortization is calculated over the contractual term of the cloud computing arrangement and is included in selling, general and administrative expenses in the consolidated statements of operations and comprehensive (loss) income. As of December 31, 2025 and 2024, the Company had a current asset of $0.8 million, included in prepaid expenses and a non-current asset of $14.0 million and $10.8 million, respectively, included in cloud computing in the consolidated balance sheets that have been capitalized in conjunction with implementations. Amortization of the cloud computing assets was $0.8 million, $0.7 million, and $0.5 million for the years ended December 31, 2025, 2024, and 2023,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determines whether an arrangement constitutes a lease at commencement. Operating leases are included in operating lease right-of-use assets, operating lease liabilities - current, and operating lease liabilities - non-current in the consolidated balance sheets. See Note 9 - Leases.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the Company.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and comprehensive (loss) income. Rent expense for operating lease payments is recognized on a straight-line basis over the lease term. The Company does not assume renewals or early terminations unless it is reasonably certain to exercise these options at commencement. The Company has elected the practical expedient to not separate non-lease components from the lease components to which they relate, and instead account for each as a single lease component, for all of its underlying asset classes. Accordingly, all expenses associated with a lease contract are accounted for as lease expenses.</w:t>
      </w:r>
    </w:p>
    <w:p>
      <w:pPr>
        <w:spacing w:after="0" w:line="14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 and comprehensive (loss) income.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updated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Contract assets and contract liabilities acquired in a business combination are recognized in accordance with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At the acquisition date, related revenue contracts with customers are accounted for as if the Company had originated the contracts. The acquired contract assets and liabilities are recognized and measured consistent with how they were recognized and measured in the acquiree's financial statements, if those financial statements were prepared in accordance with U.S. GAAP. Contract assets and contract liabilities from other contracts to which Topic 606 applies are similarly recognized and measured. In circumstances where it is unable to assess whether the financial statements were prepared in accordance with U.S. GAAP, the Company considers contract terms and specifications to determine what should be recorded at the acquisition date. Other assets or liabilities that arise from revenue contracts with customers in accordance with Topic 606 are accounted for at fair value.</w:t>
      </w:r>
    </w:p>
    <w:p>
      <w:pPr>
        <w:spacing w:after="0" w:line="228"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The associated acquisition costs are expensed as incurred and recorded as acquisition and integration-related costs. Restructuring costs associated with a business combination are expensed. The results of the acquired businesses' operations are included in the consolidated statements of operations and comprehensive (loss) income of the combined entity beginning on the date of acquisition. See Note 4 - Acquisitions.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Costs - Aya Merger</w:t>
      </w:r>
    </w:p>
    <w:p>
      <w:pPr>
        <w:spacing w:after="0" w:line="23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disclosed in Note 1 - Organization and Basis of Presentation, the Aya Merger Agreement was terminated on December 3, 2025. In accordance with the terms of the Aya Merger Agreement, Parent paid a termination fee of $20.0 million in cash to the Company, which is netted against associated fees paid by the Company, and included in acquisition and integration-related costs in the consolidated statement of operations and comprehensive (loss) income.</w:t>
      </w:r>
    </w:p>
    <w:p>
      <w:pPr>
        <w:spacing w:after="0" w:line="203"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During the years ended December 31, 2025 and 2024, the Company incurred $16.6 million and $4.2 million, respectively, in gross fees associated with the Aya Merger, which is included in acquisition and integration-related costs in the consolidated statement of operations and comprehensive (loss) income.</w:t>
      </w:r>
    </w:p>
    <w:p>
      <w:pPr>
        <w:spacing w:after="0" w:line="167"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The Company recorded the Aya Merger termination fee of $20.0 million within operating cash flows for the year ended December 31, 2025. The fee was partially offset by operating cash outflows for acquisition-related costs. The net cash operating inflows associated with the Aya Merger were $5.8 million for the year ended December 31, 2025. The Company also recorded cash operating outflows of $4.2 million for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7 to 16 years. Goodwill and certain intangible assets with indefinite lives are not amortized. Instead, these assets are reviewed for impairment annually at the beginning of the fourth quarter, and whenever circumstances change that would more likely than not reduce the fair value of a reporting unit below its carrying amount.</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measures the fair value of its reporting units using a combination of income and market approaches.</w:t>
      </w:r>
    </w:p>
    <w:p>
      <w:pPr>
        <w:spacing w:after="0" w:line="20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performs its annual review on October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quantitative analysis is performed and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tax-deductible goodwill on the carrying amount of the reporting unit when measuring the goodwill impairment loss is considered, if applicable.</w:t>
      </w:r>
    </w:p>
    <w:p>
      <w:pPr>
        <w:spacing w:after="0" w:line="1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Company determines its reporting units by identifying its operating segments and any component businesses and aggregates the component businesses if they have similar economic characteristics.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Long-lived assets and identifiable intangible assets with definite lives are evaluated for impairment. Long-lived assets and definite-lived intangible assets are reviewed for impairment whenever events or changes in circumstances indicate the carrying amount may not be recoverable.</w:t>
      </w:r>
    </w:p>
    <w:p>
      <w:pPr>
        <w:spacing w:after="0" w:line="21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1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Any related impairment losses are recognized in earnings and included in the caption impairment charges in the consolidated statements of operations and comprehensive (loss) income. See Note 5 - Goodwill, Trade Names, and Other Intangible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 and Debt Issuance Costs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Stated discounts on proceeds and other fees reimbursed to lenders were treated as a discount associated with the respective debt instrument and presented in the balance sheet as an offset to the carrying amount of the debt. Debt issuance costs associated with the revolving line-of-credit are presented as an asset, included in other assets on the balance sheet. Discounts are amortized to interest expense using the effective interest rate method, or a method that approximates the effective interest rate method, over the expected life of the debt.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Other State Non-Income Tax Liabilities</w:t>
      </w:r>
    </w:p>
    <w:p>
      <w:pPr>
        <w:spacing w:after="0" w:line="23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state non-income tax liabilities based on the Company’s best estimate of its probable liability utilizing currently available information and interpretation of relevant tax regulations. Given the nature of the Company’s business, some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comprehensive (loss) income and the liability is reflected in sales tax payable within other current liabilities in the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w:t>
      </w:r>
    </w:p>
    <w:p>
      <w:pPr>
        <w:spacing w:after="0" w:line="219"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7"/>
          <w:szCs w:val="17"/>
          <w:color w:val="auto"/>
        </w:rPr>
        <w:t>The Company provides workers’ compensation insurance coverage, professional liability coverage, and healthcare benefits for eligible employees. The Company records its estimate of the ultimate cost of, and reserves for, workers</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 xml:space="preserve">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8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6"/>
          <w:szCs w:val="16"/>
          <w:color w:val="auto"/>
        </w:rPr>
        <w:t>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2025 and 2024 reflect the related short-term liabilities in accrued compensation and benefits and the</w:t>
      </w:r>
    </w:p>
    <w:p>
      <w:pPr>
        <w:spacing w:after="0" w:line="1" w:lineRule="exact"/>
        <w:rPr>
          <w:sz w:val="20"/>
          <w:szCs w:val="20"/>
          <w:color w:val="auto"/>
        </w:rPr>
      </w:pPr>
    </w:p>
    <w:p>
      <w:pPr>
        <w:jc w:val="both"/>
        <w:ind w:right="300"/>
        <w:spacing w:after="0" w:line="245" w:lineRule="auto"/>
        <w:rPr>
          <w:sz w:val="20"/>
          <w:szCs w:val="20"/>
          <w:color w:val="auto"/>
        </w:rPr>
      </w:pPr>
      <w:r>
        <w:rPr>
          <w:rFonts w:ascii="Times New Roman" w:cs="Times New Roman" w:eastAsia="Times New Roman" w:hAnsi="Times New Roman"/>
          <w:sz w:val="18"/>
          <w:szCs w:val="18"/>
          <w:color w:val="auto"/>
        </w:rPr>
        <w:t>related long-term liabilities as accrued claims, and the short-term and long-term receivable portion as insurance recovery receivable - current and insurance recovery receivable - non-current, respectively.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7" w:lineRule="exact"/>
        <w:rPr>
          <w:sz w:val="20"/>
          <w:szCs w:val="20"/>
          <w:color w:val="auto"/>
        </w:rPr>
      </w:pPr>
    </w:p>
    <w:p>
      <w:pPr>
        <w:jc w:val="both"/>
        <w:ind w:right="580"/>
        <w:spacing w:after="0" w:line="255" w:lineRule="auto"/>
        <w:rPr>
          <w:sz w:val="20"/>
          <w:szCs w:val="20"/>
          <w:color w:val="auto"/>
        </w:rPr>
      </w:pPr>
      <w:r>
        <w:rPr>
          <w:rFonts w:ascii="Times New Roman" w:cs="Times New Roman" w:eastAsia="Times New Roman" w:hAnsi="Times New Roman"/>
          <w:sz w:val="18"/>
          <w:szCs w:val="18"/>
          <w:color w:val="auto"/>
        </w:rPr>
        <w:t>Workers’ compensation benefits are provided under a partially self-insured plan. The Company has letters of credit to guarantee payments of claims. At December 31, 2025 and 2024, the Company had outstanding approximately $18.2 million and $14.7 million, respectively, of standby letters of credit as collateral to secure the self-insured portion of this plan.</w:t>
      </w:r>
    </w:p>
    <w:p>
      <w:pPr>
        <w:spacing w:after="0" w:line="2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the Company has claims-made primary professional liability policies that provide the Company and each working professional in its nurse and allied healthcare business with coverage. The Company has a claims-made professional liability policy for its physicians and advanced practitioners. At December 31, 2025 and 2024, the Company had outstanding $0.1 million and $0.3 million, respectively, of standby letters of credit as collateral to secure reimbursement of expenses under the existing plan.</w:t>
      </w:r>
    </w:p>
    <w:p>
      <w:pPr>
        <w:spacing w:after="0" w:line="20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from the Company’s services is recognized when control of the promised services is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nature, amount, timing, and uncertainty of revenue and cash flows from which the Company generates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Temporary Staffing Revenue</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2025 and 2024 the Company's estimate of amounts that had been worked but had not been billed totaled $48.3 million and $60.4 million, respectively, and are included in accounts receivable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Services Revenue</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2025, 2024, and 2023.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 The Company does not, in the ordinary course of business, offer warranties or refunds.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Versus Net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revenue on a gross basis as a principal or on a net basis as an agent depending on the contracted arrangement,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Managed Service Programs</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When its healthcare professional is staffed, the Company determined that it acts as a principal in the arrangement, as it is considered the employer of record. Accordingly, revenue is reported on a gross basis in the consolidated statements of operations and comprehensive (loss) income.</w:t>
      </w:r>
    </w:p>
    <w:p>
      <w:pPr>
        <w:spacing w:after="0" w:line="18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and comprehensive (loss) income. The customer is invoiced for the hours worked by the subcontracted healthcare professional multiplied by the hourly bill rate. A subcontractor liability is recognized as a reduction of revenue,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Physician Staffing</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 and comprehensive (loss)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Revenue Recognition for the Company’s revenues disaggregated by revenue source. Sales and usage-based taxes are excluded from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contract fulfillment costs are expensed as incurred to direct operating expenses. There were no contract assets or material contract liabilities as of December 31,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ml:space="preserve">For the years ended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18"/>
          <w:szCs w:val="18"/>
          <w:color w:val="auto"/>
        </w:rPr>
        <w:t>,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w:t>
      </w:r>
    </w:p>
    <w:p>
      <w:pPr>
        <w:spacing w:after="0" w:line="20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The Company granted performance-based stock awards to certain key personnel pursuant to its 2014 Omnibus Incentive Plan, amended and restated on May 23, 2017 (2017 Plan), replaced by the 2020 Omnibus Incentive Plan, effective for awards granted after May 19, 2020, and the 2024 Omnibus Incentive Plan, effective for awards granted after May 14, 2024, as described in Note 14 - Stockholders' Equity. Pursuant to the plans,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probability of attaining the prescribed performance and over the requisite service period beginning at its grant date and through the date the restricted stock vests.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Compensation expense related to share-based payments is included in selling, general and administrative expenses in the consolidated statements of operations and comprehensive (loss) income, and totaled $7.1 million, $6.0 million, and $6.6 million during the years ended December 31, 2025, 2024, and 2023, respectively. 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33" w:lineRule="exact"/>
        <w:rPr>
          <w:sz w:val="20"/>
          <w:szCs w:val="20"/>
          <w:color w:val="auto"/>
        </w:rPr>
      </w:pPr>
    </w:p>
    <w:p>
      <w:pPr>
        <w:jc w:val="both"/>
        <w:ind w:right="200"/>
        <w:spacing w:after="0" w:line="310" w:lineRule="auto"/>
        <w:rPr>
          <w:sz w:val="20"/>
          <w:szCs w:val="20"/>
          <w:color w:val="auto"/>
        </w:rPr>
      </w:pPr>
      <w:r>
        <w:rPr>
          <w:rFonts w:ascii="Times New Roman" w:cs="Times New Roman" w:eastAsia="Times New Roman" w:hAnsi="Times New Roman"/>
          <w:sz w:val="16"/>
          <w:szCs w:val="16"/>
          <w:color w:val="auto"/>
        </w:rPr>
        <w:t>The Company’s advertising expense consists of programmatic advertising, display, search, internet, social media, video, and promotional aids and materials. Advertising costs are expensed as incurred and totaled $7.5 million, $8.5 million, and $11.5 million for the years ended December 31, 2025, 2024, and 2023, respectively, and are included in selling, general and administrative expenses in the consolidated statements of operations and comprehensive (loss) income.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and are primarily included in accounts payable and accrued expenses on the consolidated balance sheets. Restructuring costs on the consolidated statements of operations and comprehensive (loss) income primarily include employee termination costs and lease-related exit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(amounts in thousands)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b w:val="1"/>
                <w:bCs w:val="1"/>
                <w:color w:val="auto"/>
                <w:w w:val="97"/>
              </w:rPr>
              <w:t>Employee</w:t>
            </w: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Lease-Related</w:t>
            </w: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7"/>
              </w:rPr>
              <w:t>Employee</w:t>
            </w: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Lease-Related</w:t>
            </w: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7"/>
              </w:rPr>
              <w:t>Employee</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Lease-Related</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4"/>
              </w:rPr>
              <w:t>Termination</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6"/>
              </w:rPr>
              <w:t>Termination</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Costs</w:t>
            </w:r>
          </w:p>
        </w:tc>
        <w:tc>
          <w:tcPr>
            <w:tcW w:w="16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Exit Costs</w:t>
            </w: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Exit Costs</w:t>
            </w: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Charged to restructuring</w:t>
            </w:r>
            <w:r>
              <w:rPr>
                <w:rFonts w:ascii="Times New Roman" w:cs="Times New Roman" w:eastAsia="Times New Roman" w:hAnsi="Times New Roman"/>
                <w:sz w:val="22"/>
                <w:szCs w:val="22"/>
                <w:color w:val="auto"/>
                <w:vertAlign w:val="superscript"/>
              </w:rPr>
              <w:t>(a)</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6" w:lineRule="exact"/>
        <w:rPr>
          <w:sz w:val="20"/>
          <w:szCs w:val="20"/>
          <w:color w:val="auto"/>
        </w:rPr>
      </w:pPr>
    </w:p>
    <w:p>
      <w:pPr>
        <w:ind w:right="40" w:firstLine="8"/>
        <w:spacing w:after="0" w:line="282"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Aside from what is presented in the table above, restructuring costs in the consolidated statements of operations for the years ended December 31, 2025 and 2024 include $0.8 million and $1.3 million, respectively, of ongoing lease costs and other direct charges.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determines the need for a valuation allowance by assessing the probability of realizing deferred tax assets, taking into consideration all available positive and negative evidence, including historical operating results, expectations of future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See Note 13 -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Total comprehensive (loss) income includes net income or loss and foreign currency translation adjustments, net of any related deferred taxes, and is included within the accompanying consolidated statements of operations and comprehensive (loss)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$1.7 million and $1.5 million at December 31, 2025 and 2024, respectively.</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(loss) income for the years ended December 31, 2025, 2024, and 2023 is included in unrealized foreign currency translation (loss) income, net of tax in the consolidated statements of operations and comprehensive (loss)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Accounting Standards Board (FASB) guidance defines fair value, establishes a framework for measuring fair value under U.S. GAAP, and expands disclosures about fair value measurements. The Company’s financial assets and liabilities required to be measured at fair value on a recurring basis were its: (i) deferred compensation asset and (ii) deferred compensation liability as of December 31, 2025. See Note 10 - Fair Value Measurements.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(loss) income available to common stockholders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See Note 15 - Earnings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On December 14, 2023, the FASB issued Accounting Standards Update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that public business entities, on an annual basis, (1) disclose specific categories in the rate reconciliation and (2)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The Company adopted this standard for its annual report for the fiscal year ended December 31, 2025, and applied the guidance retrospectively to all prior periods presented in the financial statements. This standard only expanded the Company’s disclosures with no impact to results of operations, cash flows, and financial condition. See Note 13 - Income Taxes.</w:t>
      </w:r>
    </w:p>
    <w:p>
      <w:pPr>
        <w:spacing w:after="0" w:line="22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On November 27,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The Company adopted this standard for its fiscal year ended December 31, 2024 and its interim periods beginning in the first quarter of 2025, and applied the guidance retrospectively to all prior periods presented in the financial statements. This standard only expanded the Company's disclosures with no impact to results of operations, cash flows, and financial condition. See Note 17 - Segment Data.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On December 8,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The amendments are intended to improve the navigability of the interim reporting guidance in ASC 270 and clarify when it applies. The guidance addresses the form and content of financial statements, adds lists of the interim disclosures required by all other Codification topics, and establishes a principle under which an entity must disclose events since the end of the last annual reporting period that have a material impact on the entity. This guidance is effective for interim reporting periods within annual reporting periods beginning after December 15, 2027. Early adoption is permitted. The amendments in this update can be applied either (1) prospectively or (2) retrospectively to any or all prior periods presented in the financial statements. The Company expects to adopt this standard for its first quarter ending March 31, 2028. The Company expects this ASU to expand its disclosures with no impact to results of operations, cash flows, and financial condition.</w:t>
      </w:r>
    </w:p>
    <w:p>
      <w:pPr>
        <w:spacing w:after="0" w:line="21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On September 18, 2025, the FASB issued ASU No. 2025-06, </w:t>
      </w:r>
      <w:r>
        <w:rPr>
          <w:rFonts w:ascii="Times New Roman" w:cs="Times New Roman" w:eastAsia="Times New Roman" w:hAnsi="Times New Roman"/>
          <w:sz w:val="18"/>
          <w:szCs w:val="18"/>
          <w:i w:val="1"/>
          <w:iCs w:val="1"/>
          <w:color w:val="auto"/>
        </w:rPr>
        <w:t>Intangibles—Goodwill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amendments remove all references to prescriptive and sequential software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This guidance is effective for fiscal years beginning after December 15, 2027 and interim reporting periods within those annual reporting periods. Early adoption is permitted as of the beginning of an annual reporting period. The amendments in this update permit an entity to apply the new guidance using any of the following transition approaches: (1) a prospective transition approach; (2) a modified transition approach that is based on the status of the project and whether software costs were capitalized before the date of adoption; or (3) a retrospective transition approach. The Company is currently in the process of evaluating the potential impact the adoption of this standard may have and expects to adopt this standard in its first quarter of 2028.</w:t>
      </w:r>
    </w:p>
    <w:p>
      <w:pPr>
        <w:spacing w:after="0" w:line="21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 xml:space="preserve">On November 4, 2024, the FASB issued ASU No.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which is intended to improve decision usefulness of business entities’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through the disaggregation of certain expense captions, such as employee compensation, depreciation, and intangible asset amortization, with required disclosure in a single note to the financial statements. This guidance is effective for fiscal years beginning after December 15, 2026, and interim periods within fiscal years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expects to adopt this standard for its annual report for the fiscal year ending December 31, 2027. The Company expects this ASU to only impact its disclosures with no impacts to results of operations, cash flows, and financial condition.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See Note 2 - Summary of Significant Accounting Policies.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841,784</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182,762</w:t>
            </w:r>
          </w:p>
        </w:tc>
        <w:tc>
          <w:tcPr>
            <w:tcW w:w="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1,024,546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862,784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191,509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1,054,293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Recognition (continued)</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1,113,725</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1,145,419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198,585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1,794,489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1,841,428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 Segment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(HireUp) for a purchase price of $6.0 million in cash, subject to adjustment, and $0.8 million in shares (or 29,811 shares) of the Company’s common stock.</w:t>
      </w:r>
    </w:p>
    <w:p>
      <w:pPr>
        <w:spacing w:after="0"/>
        <w:rPr>
          <w:sz w:val="20"/>
          <w:szCs w:val="20"/>
          <w:color w:val="auto"/>
        </w:rPr>
      </w:pPr>
      <w:r>
        <w:rPr>
          <w:rFonts w:ascii="Times New Roman" w:cs="Times New Roman" w:eastAsia="Times New Roman" w:hAnsi="Times New Roman"/>
          <w:sz w:val="18"/>
          <w:szCs w:val="18"/>
          <w:color w:val="auto"/>
        </w:rPr>
        <w:t>The transaction was treated as a purchase of assets for income tax purposes.</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Company paid the remaining earnout liability of $1.7 million in the first quarter of 2024. See Note 10 - Fair Value Measurements.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w:t>
      </w:r>
    </w:p>
    <w:p>
      <w:pPr>
        <w:ind w:right="300" w:firstLine="8"/>
        <w:spacing w:after="0" w:line="260"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to a database with a weighted average estimated useful life of 7 years, for a total of $6.9 million in definite life intangible assets with a weighted average estimated useful life of 7 years.</w:t>
      </w:r>
    </w:p>
    <w:p>
      <w:pPr>
        <w:spacing w:after="0" w:line="2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$1.6 million was recorded as goodwill on the Company's consolidated balance sheets. See Note 5 - Goodwill, Trade Names,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4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(continued)</w:t>
      </w:r>
    </w:p>
    <w:p>
      <w:pPr>
        <w:spacing w:after="0" w:line="200" w:lineRule="exact"/>
        <w:rPr>
          <w:sz w:val="20"/>
          <w:szCs w:val="20"/>
          <w:color w:val="auto"/>
        </w:rPr>
      </w:pPr>
    </w:p>
    <w:p>
      <w:pPr>
        <w:spacing w:after="0" w:line="31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fourth quarter of 2024, the Company performed a calculation for the second measurement period, resulting in the achievement of a $4.4 million earnout. This remaining liability was paid in the first quarter of 2025. See Note 10 - Fair Value Measurements.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w:t>
      </w:r>
    </w:p>
    <w:p>
      <w:pPr>
        <w:ind w:right="120" w:firstLine="8"/>
        <w:spacing w:after="0" w:line="250"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to a database with a weighted average estimated useful life of 7 years, for a total of $15.1 million in definite life intangible assets with a weighted average estimated useful life of 7 years.</w:t>
      </w:r>
    </w:p>
    <w:p>
      <w:pPr>
        <w:ind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excess purchase price over the fair value of net assets acquired of $20.1 million was recorded as goodwill on the Company's consolidated balance sheets. See Note 5 - Goodwill, Trade Names, and Other Intangible Assets.</w:t>
      </w:r>
    </w:p>
    <w:p>
      <w:pPr>
        <w:spacing w:after="0" w:line="19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above acquisitions made in 2022, HireUp and Mint,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 (WSG) for a purchase price of $25.0 million in cash and $5.0 million in shares (or 307,730 shares) of the Company's common stock. The transaction was treated as a purchase of assets for income tax purposes.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sellers were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In the third quarter of 2023, the Company determined that the contingent consideration earnout was achieved for the 2022 through 2023 period and, as a result, the Company made the final $7.5 million earnout payment.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the fees associated with the terminated Aya Merger as discussed in Note 1 - Organization and Basis of Presentation, the Company did not record any acquisition-related costs associated with the Company’s acquisitions for the year ended December 31, 2025, and recorded an immaterial amount of acquisition-related costs associated with the Company's acquisitions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 had the following acquired intangible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4"/>
                <w:szCs w:val="14"/>
                <w:color w:val="auto"/>
              </w:rPr>
            </w:pPr>
          </w:p>
        </w:tc>
        <w:tc>
          <w:tcPr>
            <w:tcW w:w="1180" w:type="dxa"/>
            <w:vAlign w:val="bottom"/>
          </w:tcPr>
          <w:p>
            <w:pPr>
              <w:jc w:val="center"/>
              <w:ind w:right="131"/>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1"/>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(amounts in thousands)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2025, fully amortized intangible assets of $8.8 million related to databases and $5.2 million related to customer relationships, along with the related accumulated amortization, were removed from the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estimated annual amortization expense was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3"/>
        </w:trPr>
        <w:tc>
          <w:tcPr>
            <w:tcW w:w="9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w:t>
            </w:r>
          </w:p>
        </w:tc>
      </w:tr>
      <w:tr>
        <w:trPr>
          <w:trHeight w:val="20"/>
        </w:trPr>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 (continued)</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are as follows: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Nurse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382,381</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445,902</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(310,842)</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(71,257)</w:t>
            </w:r>
          </w:p>
        </w:tc>
        <w:tc>
          <w:tcPr>
            <w:tcW w:w="0" w:type="dxa"/>
            <w:vAlign w:val="bottom"/>
          </w:tcPr>
          <w:p>
            <w:pPr>
              <w:spacing w:after="0"/>
              <w:rPr>
                <w:sz w:val="1"/>
                <w:szCs w:val="1"/>
                <w:color w:val="auto"/>
              </w:rPr>
            </w:pPr>
          </w:p>
        </w:tc>
      </w:tr>
      <w:tr>
        <w:trPr>
          <w:trHeight w:val="270"/>
        </w:trPr>
        <w:tc>
          <w:tcPr>
            <w:tcW w:w="6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382,381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445,902</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(334,458)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(382,099)</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Represents the write-off of the relative fair value of the goodwill across all reporting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The Company performed its annual quantitative impairment test of goodwill and its indefinite-lived trade name as of October 1, 2025, and determined that the fair value of each reporting unit was below its carrying amount, resulting in goodwill impairment for all goodwill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carrying reporting units.</w:t>
      </w:r>
    </w:p>
    <w:p>
      <w:pPr>
        <w:spacing w:after="0" w:line="184" w:lineRule="exact"/>
        <w:rPr>
          <w:sz w:val="20"/>
          <w:szCs w:val="20"/>
          <w:color w:val="auto"/>
        </w:rPr>
      </w:pPr>
    </w:p>
    <w:p>
      <w:pPr>
        <w:ind w:right="220"/>
        <w:spacing w:after="0" w:line="207" w:lineRule="exact"/>
        <w:rPr>
          <w:sz w:val="20"/>
          <w:szCs w:val="20"/>
          <w:color w:val="auto"/>
        </w:rPr>
      </w:pPr>
      <w:r>
        <w:rPr>
          <w:rFonts w:ascii="Times New Roman" w:cs="Times New Roman" w:eastAsia="Times New Roman" w:hAnsi="Times New Roman"/>
          <w:sz w:val="18"/>
          <w:szCs w:val="18"/>
          <w:color w:val="auto"/>
        </w:rPr>
        <w:t>For this test, the Company compared the estimated fair value of each reporting unit to its carrying value. Triggered by the fourth quarter decline in the Company’s equity market capitalization following the termination of the Aya Merger Agreement, the Company recorded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goodwill impairment charges of approximately $64.2 million and $7.1 million related to its Nurse and Allied and Physician Staffing segments, respectively. Following these charges, the remaining goodwill balances for each reporting unit reflect management’s best estimate of fair value based on current market conditions and expectations for future performance.</w:t>
      </w:r>
    </w:p>
    <w:p>
      <w:pPr>
        <w:spacing w:after="0" w:line="184"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color w:val="auto"/>
        </w:rPr>
        <w:t>The Company also assessed the Medical Staffing Network (MSN) trade name, an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 and determined that its carrying amount exceeded its estimated fair value. As a result, the Company recorded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of $4.3 million. As part of its go-to-market strategy, in the fourth quarter of 2025, the Company decided to rebrand MSN to Cross Country Local, which resulted in a $1.6 million write-off of the remaining MSN's trade name. These are presented as impairment charges in the consolidated statements of operations and comprehensive (loss) income.</w:t>
      </w:r>
    </w:p>
    <w:p>
      <w:pPr>
        <w:spacing w:after="0" w:line="227"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At the end of December 2024, the Company discontinued use of the Selected software and the associated business. Selected was an asset acquisition completed in December of 2021. As a result, at the end of the fourth quarter of 2024, the Company wrote off the associated goodwill of $0.4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Intangible Assets (continued)</w:t>
      </w:r>
    </w:p>
    <w:p>
      <w:pPr>
        <w:spacing w:after="0" w:line="200" w:lineRule="exact"/>
        <w:rPr>
          <w:sz w:val="20"/>
          <w:szCs w:val="20"/>
          <w:color w:val="auto"/>
        </w:rPr>
      </w:pPr>
    </w:p>
    <w:p>
      <w:pPr>
        <w:spacing w:after="0" w:line="3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Although management believes that the Company’s current estimates and assumptions utilized in its quantitative testing are reasonable and supportable, there can be no assurance that the estimates and assumptions management used for purposes of its assessment as of December 31, 2025 will prove to be accurate predictions of future performance.</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that the carrying amount may not be recoverable. During the year ended December 31, 2025, the Company wrote off two abandoned construction in progress projects, and recorded impairment charges of $0.7 million. During the year ended December 31, 2024, the Company wrote off the database and software intangible assets associated with Selected, and recorded impairment charges of $1.8 million.</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property and equipment consists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8"/>
        </w:trPr>
        <w:tc>
          <w:tcPr>
            <w:tcW w:w="6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06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36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gridSpan w:val="4"/>
            <w:shd w:val="clear" w:color="auto" w:fill="CCEEFF"/>
          </w:tcPr>
          <w:p>
            <w:pPr>
              <w:jc w:val="right"/>
              <w:ind w:right="87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3-10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5-7 years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5-7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48,135</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(19,285)</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28,850</w:t>
            </w:r>
          </w:p>
        </w:tc>
      </w:tr>
      <w:tr>
        <w:trPr>
          <w:trHeight w:val="20"/>
        </w:trPr>
        <w:tc>
          <w:tcPr>
            <w:tcW w:w="6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Primarily related to software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See Note 2 –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Balance Sheet Details</w:t>
            </w:r>
          </w:p>
        </w:tc>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 - current:</w:t>
            </w:r>
          </w:p>
        </w:tc>
        <w:tc>
          <w:tcPr>
            <w:tcW w:w="3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Health</w:t>
            </w:r>
          </w:p>
        </w:tc>
        <w:tc>
          <w:tcPr>
            <w:tcW w:w="41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Workers’ compensation</w:t>
            </w:r>
          </w:p>
        </w:tc>
        <w:tc>
          <w:tcPr>
            <w:tcW w:w="3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liability</w:t>
            </w:r>
          </w:p>
        </w:tc>
        <w:tc>
          <w:tcPr>
            <w:tcW w:w="30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Insurance recovery receivable - non-current:</w:t>
            </w:r>
          </w:p>
        </w:tc>
        <w:tc>
          <w:tcPr>
            <w:tcW w:w="3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Workers’ compensation</w:t>
            </w:r>
          </w:p>
        </w:tc>
        <w:tc>
          <w:tcPr>
            <w:tcW w:w="41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liability</w:t>
            </w:r>
          </w:p>
        </w:tc>
        <w:tc>
          <w:tcPr>
            <w:tcW w:w="30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14,859</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assets:</w:t>
            </w:r>
          </w:p>
        </w:tc>
        <w:tc>
          <w:tcPr>
            <w:tcW w:w="3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deposits</w:t>
            </w:r>
          </w:p>
        </w:tc>
        <w:tc>
          <w:tcPr>
            <w:tcW w:w="41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debt issuance costs</w:t>
            </w:r>
          </w:p>
        </w:tc>
        <w:tc>
          <w:tcPr>
            <w:tcW w:w="3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Post employment benefit</w:t>
            </w:r>
          </w:p>
        </w:tc>
        <w:tc>
          <w:tcPr>
            <w:tcW w:w="30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41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Subcontractor payable</w:t>
            </w:r>
          </w:p>
        </w:tc>
        <w:tc>
          <w:tcPr>
            <w:tcW w:w="3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0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compensation and benefits:</w:t>
            </w:r>
          </w:p>
        </w:tc>
        <w:tc>
          <w:tcPr>
            <w:tcW w:w="3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payroll taxes</w:t>
            </w:r>
          </w:p>
        </w:tc>
        <w:tc>
          <w:tcPr>
            <w:tcW w:w="41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Bonuses and commissions</w:t>
            </w:r>
          </w:p>
        </w:tc>
        <w:tc>
          <w:tcPr>
            <w:tcW w:w="3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Workers’ compensation</w:t>
            </w:r>
          </w:p>
        </w:tc>
        <w:tc>
          <w:tcPr>
            <w:tcW w:w="3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liability</w:t>
            </w:r>
          </w:p>
        </w:tc>
        <w:tc>
          <w:tcPr>
            <w:tcW w:w="3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 care</w:t>
            </w:r>
          </w:p>
        </w:tc>
        <w:tc>
          <w:tcPr>
            <w:tcW w:w="3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Vacation</w:t>
            </w:r>
          </w:p>
        </w:tc>
        <w:tc>
          <w:tcPr>
            <w:tcW w:w="30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claims:</w:t>
            </w:r>
          </w:p>
        </w:tc>
        <w:tc>
          <w:tcPr>
            <w:tcW w:w="3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Workers’ compensation</w:t>
            </w:r>
          </w:p>
        </w:tc>
        <w:tc>
          <w:tcPr>
            <w:tcW w:w="41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liability</w:t>
            </w:r>
          </w:p>
        </w:tc>
        <w:tc>
          <w:tcPr>
            <w:tcW w:w="30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liabilities:</w:t>
            </w:r>
          </w:p>
        </w:tc>
        <w:tc>
          <w:tcPr>
            <w:tcW w:w="3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41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8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F- 24</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4"/>
                <w:szCs w:val="24"/>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Debt Issuance</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Debt Issuance</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in thousands)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Senior Secured Asset-Based Loan, interest of 5.62% and 6.31% at December 31,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was no debt outstanding on the consolidated balance sheets. The Company has elected to present the debt issuance costs associated with its senior secured asset-based credit facility as an asset, included in other assets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w:t>
      </w:r>
    </w:p>
    <w:p>
      <w:pPr>
        <w:spacing w:after="0" w:line="2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November 18, 2021, the Company amended the Term Loan Agreement (Term Loan First Amendment), which provided the Company an incremental borrowing in an aggregate amount equal to $75.0 million. Additionally, the Term Loan First Amendment increased the aggregate amount of all increases (as defined in the Term Loan Agreement) to be no greater than $115.0 million.</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April 14, 2023, the Company amended the Term Loan Agreement (Term Loan Second Amendment), which provided the option for all or a portion of the borrowings to bear interest at a rate based on the Secured Overnight Financing Rate (SOFR) or the Base Rate (as defined in the Term Loan Agreement), at the election of the borrowers, plus an applicable margin.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and fourth quarters of 2022, the Company made early prepayments totaling $100.0 million, and incurred prepayment premiums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$1.0 million pursuant to the Term Loan Agreement. Debt issuance costs of $1.4 million and $1.3 million were written off in the second and fourth quarters of 2022, respectively.</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prepayment premiums and write-off of debt issuance costs were included as loss on early extinguishment of debt in the consolidated statements of operations and comprehensive (loss)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Asset-Based Loan Agreement</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the Loan Agreement (First Amendment), which increased the current aggregate committed size of the ABL from $120.0 million to $130.0 million. All other terms, conditions, covenants, and pricing of the Loan Agreement remained the same.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the London Interbank Offered Rate (LIBOR) as a benchmark interest rate to a replacement alternative benchmark rate or mechanism for loans made in U.S. dollars.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the Loan Agreement (Fourth Amendment), whereby the permitted indebtedness (as defined in the Loan Agreement), was increased to $175.0 million.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SOFR or the Base Rate (as defined in the Loan Agreement), at the election of the borrowers, plus an applicable margin. The applicable margin increased 10 basis points due to the credit spread associated with the transition to SOFR.</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29, 2024, the Company amended the Loan Agreement (Seventh Amendment),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spacing w:after="0" w:line="20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are amortized ratably over the remaining term of the Loan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ABL availability is subject to a borrowing base of up to 85% of secured eligible accounts receivable, subject to adjustment at certain quality levels,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minus reserves and subject to adjustments. Revolving loans and letters of credit issued under the Loan Agreement reduce availability under the ABL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dollar-for-dollar basis. At December 31, 2025, there were no borrowings drawn under the ABL, and borrowing base availability under the ABL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$114.6 million, with $96.3 million of availability net of $18.3 million of letters of credit outstanding related to workers' compensation and professional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policies.</w:t>
      </w:r>
    </w:p>
    <w:p>
      <w:pPr>
        <w:spacing w:after="0" w:line="23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As of December 31, 2025, the interest rate spreads and fees under the ABL were based on SOFR plus 2.10% for the revolving portion of the borrowing base. The Base Rate margin would have been 1.00%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1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applicable to the Company and its subsidiaries. For the three months ended December 31, 2025, the excess availability did not fall below the stated threshold and, as a result, there was no covenant compliance period. Obligations under the ABL are secured by substantially all the assets of the borrowers and guarantors,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Loan Agreement also contains certain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Agreement will automatically become due and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 See Note 2 - Summary of Significant Accounting Policies.</w:t>
      </w:r>
    </w:p>
    <w:p>
      <w:pPr>
        <w:spacing w:after="0" w:line="21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the Company entered into a lease agreement for its new corporate headquarters in Boca Raton, Florida, as the lease agreement for its previous corporate headquarters expired on December 31, 2025. The Company took possession of its new corporate headquarters on December 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consolidated balance sheets:</w:t>
            </w: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51"/>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Consolidated Balance Sheets:</w:t>
            </w: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jc w:val="right"/>
              <w:ind w:right="179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2,206</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2,468</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1,163</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2,089</w:t>
            </w: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1,782</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7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years</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r>
    </w:tbl>
    <w:p>
      <w:pPr>
        <w:spacing w:after="0" w:line="1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consolidated balance sheets as of December 31, 2025: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29"/>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4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Leases (continued)</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1"/>
        </w:trPr>
        <w:tc>
          <w:tcPr>
            <w:tcW w:w="60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4"/>
                <w:szCs w:val="24"/>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acquired under operating lease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1,433</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778"/>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60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80"/>
        </w:trPr>
        <w:tc>
          <w:tcPr>
            <w:tcW w:w="60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Amounts Included in Consolidated Statements of Operations and</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1,439</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bl>
    <w:p>
      <w:pPr>
        <w:spacing w:after="0" w:line="3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consolidated statements of operations and comprehensive (loss) income, depending on the nature of the leased asset. Operating lease expense is reported net of sublease income, which is not material.</w:t>
      </w:r>
    </w:p>
    <w:p>
      <w:pPr>
        <w:spacing w:after="0" w:line="20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did not have any material operating leases that had not yet commenced, and does not have any finance lease contracts.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primarily its: (i) deferred compensation asset; and (ii) deferred compensation liability included on its consolidated balance sheets.</w:t>
      </w:r>
    </w:p>
    <w:p>
      <w:pPr>
        <w:spacing w:after="0" w:line="187"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6840"/>
        <w:spacing w:after="0"/>
        <w:tabs>
          <w:tab w:leader="none" w:pos="9360" w:val="left"/>
        </w:tabs>
        <w:rPr>
          <w:sz w:val="20"/>
          <w:szCs w:val="20"/>
          <w:color w:val="auto"/>
        </w:rPr>
      </w:pPr>
      <w:r>
        <w:rPr>
          <w:rFonts w:ascii="Times New Roman" w:cs="Times New Roman" w:eastAsia="Times New Roman" w:hAnsi="Times New Roman"/>
          <w:sz w:val="18"/>
          <w:szCs w:val="18"/>
          <w:b w:val="1"/>
          <w:bCs w:val="1"/>
          <w:color w:val="auto"/>
        </w:rPr>
        <w:t>December 31, 2025</w:t>
      </w:r>
      <w:r>
        <w:rPr>
          <w:sz w:val="20"/>
          <w:szCs w:val="20"/>
          <w:color w:val="auto"/>
        </w:rPr>
        <w:tab/>
      </w:r>
      <w:r>
        <w:rPr>
          <w:rFonts w:ascii="Times New Roman" w:cs="Times New Roman" w:eastAsia="Times New Roman" w:hAnsi="Times New Roman"/>
          <w:sz w:val="17"/>
          <w:szCs w:val="17"/>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p>
      <w:pPr>
        <w:spacing w:after="0" w:line="23" w:lineRule="exact"/>
        <w:rPr>
          <w:sz w:val="20"/>
          <w:szCs w:val="20"/>
          <w:color w:val="auto"/>
        </w:rPr>
      </w:pPr>
    </w:p>
    <w:p>
      <w:pPr>
        <w:ind w:left="220"/>
        <w:spacing w:after="0"/>
        <w:tabs>
          <w:tab w:leader="none" w:pos="6440" w:val="left"/>
          <w:tab w:leader="none" w:pos="8220" w:val="left"/>
          <w:tab w:leader="none" w:pos="8960" w:val="left"/>
          <w:tab w:leader="none" w:pos="1074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6440" w:val="left"/>
          <w:tab w:leader="none" w:pos="8220" w:val="left"/>
          <w:tab w:leader="none" w:pos="8960" w:val="left"/>
          <w:tab w:leader="none" w:pos="1074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2,590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40005</wp:posOffset>
            </wp:positionV>
            <wp:extent cx="30518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year ended December 31, 2025 included goodwill impairment charges related to the Nurse and Allied and Physician Staffing segments, primarily triggered by the fourth quarter decline in the Company's equity market capitalization, and the write-off of indefinite-lived trade names related to MSN, in part due to the rebranding of MSN to Cross Country Local. The years ended December 31, 2024 and 2023 included impairment charges to right-of-use assets along with related property and equipment in connection with leases that were vacated during those years. The year ended December 31, 2024 also included the write-off of goodwill and intangible assets associated with the impairment of the previous asset acquisition Selected. During the year ended December 31, 2023, certain IT projects were written off, resulting in an impairment of the related IT assets.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(continued)</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as of December 31, 2025, 2024, and 2023, these assets were recorded at fair value using Level 3 inputs. See Note 5 - Goodwill, Trade Names, and Other Intangible Assets and Note 9 - Leases for more information about these impairments.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w:t>
      </w:r>
    </w:p>
    <w:p>
      <w:pPr>
        <w:spacing w:after="0" w:line="20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financial instruments not measured or recorded at fair value include earnout liabilities related to the (i) Mint, and (ii) HireUp acquisitions, as discussed below.</w:t>
      </w:r>
    </w:p>
    <w:p>
      <w:pPr>
        <w:spacing w:after="0" w:line="189" w:lineRule="exact"/>
        <w:rPr>
          <w:sz w:val="20"/>
          <w:szCs w:val="20"/>
          <w:color w:val="auto"/>
        </w:rPr>
      </w:pPr>
    </w:p>
    <w:p>
      <w:pPr>
        <w:ind w:firstLine="8"/>
        <w:spacing w:after="0" w:line="257" w:lineRule="auto"/>
        <w:tabs>
          <w:tab w:leader="none" w:pos="21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earnout payments related to the Mint acquisition were contingent upon meeting certain performance requirements based on 2022 through 2024 performance. On a quarterly basis, the Company performed an analysis using multiple forecasted scenarios to determine the fair value of the earnout liability. In the fourth quarter of 2023, the Company performed the earnout calculation for the first measurement period, resulting in an earnout of</w:t>
      </w:r>
    </w:p>
    <w:p>
      <w:pPr>
        <w:spacing w:after="0" w:line="1" w:lineRule="exact"/>
        <w:rPr>
          <w:rFonts w:ascii="Times New Roman" w:cs="Times New Roman" w:eastAsia="Times New Roman" w:hAnsi="Times New Roman"/>
          <w:sz w:val="18"/>
          <w:szCs w:val="18"/>
          <w:b w:val="1"/>
          <w:bCs w:val="1"/>
          <w:color w:val="auto"/>
        </w:rPr>
      </w:pPr>
    </w:p>
    <w:p>
      <w:pPr>
        <w:ind w:right="6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 million, which was paid in the first quarter of 2024. During the fourth quarter of 2024, the Company performed a calculation for the second measurement period, resulting in the achievement of a $4.4 million earnout, which was paid in the first quarter of 2025. See Note 4 - Acquisitions.</w:t>
      </w:r>
    </w:p>
    <w:p>
      <w:pPr>
        <w:ind w:right="20" w:firstLine="8"/>
        <w:spacing w:after="0" w:line="253" w:lineRule="auto"/>
        <w:tabs>
          <w:tab w:leader="none" w:pos="26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credit losses in Note 2 - Summary of Significant Accounting Policies. Overall, based on the large number of customers in differing geographic areas, primarily throughout the United States and its territories, the Company believes that the concentration of credit risk is limited.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Contributions by the Company, net of forfeitures, under this plan were $1.3 million, $1.5 million, and $2.6 million for the years ended December 31, 2025, 2024, and 2023, respectively. Eligible employees who elect to participate in the plan are generally vested in any existing matching contribution after three years of service with the Company.</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2003 Deferred Compensation Plan, which was frozen effective December 31, 2017, and a 2017 Nonqualified Deferred Compensation Plan, each a non-qualified deferred compensation arrangement, intended to comply with Section 409A of the Internal Revenue Code of 1986, as amended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deferred compensation plans, the Company elected to invest in amounts consistent with the participants' choices of allocations to funds. Participants of the deferred compensation plans are the Company’s unsecured general creditors with respect to the deferred compensation plan benefits. The asset related to the deferred compensation is included in the consolidated balance sheets and was $2.9 million at December 31, 2025 and 2024. The liability for the deferred compensation is included in the consolidated balance sheets and was $2.6 million and $2.9 million at December 31, 2025 and 2024, respectively.</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year ended December 31, 2025, the Company recorded $2.7 million in legal fees and settlement charges related to various cases and claims. During the year ended December 31, 2024, the Company recorded approximately $4.7 million of legal settlement charges related to the resolution of several class action lawsuits, which </w:t>
      </w:r>
      <w:r>
        <w:rPr>
          <w:rFonts w:ascii="Times New Roman" w:cs="Times New Roman" w:eastAsia="Times New Roman" w:hAnsi="Times New Roman"/>
          <w:sz w:val="17"/>
          <w:szCs w:val="17"/>
          <w:color w:val="auto"/>
        </w:rPr>
        <w:t>is included in legal and other losses on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consolidated statements of operations and comprehensive (loss) income. In addition, the Company recorded $3.6 million of estimated costs, partially offset by a recovery of $1.8 million, related to a previously unrecoverable asset. The Company believes that the outcome of any outstanding loss contingencies as of December 31, 2025 will not have a material adverse effect on its business, financial condition, results of operations, or 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operates in all 50 states and numerous local jurisdictions, some of which assess sales and other state non-income taxes on our services. In the past, it has been subject to routine audits by authorities in the jurisdictions which have resulted in assessments of additional taxes, interest and penalties. The Company accrues sales and other state non-income tax liabilities based on its best estimate of the probable liability utilizing currently available information and interpretation of relevant tax regulations. Given the nature of the Company’s services offered, subjectivity exists as to both whether sales and other state non-income taxes can be assessed. The Company makes a determination for each reporting period whether the estimates for sales and other non-income taxes in certain states and local jurisdictions are materially accurate. The expense is included in selling, general and administrative expenses in its consolidated statements of operations and comprehensive (loss) income and the liability is reflected in sales tax payable within other current liabilities in the consolidated balance sheets.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(85,353)</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components of the Company’s income tax expense (benefit) are as follows: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Company's net tax effect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7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20" w:type="dxa"/>
            <w:vAlign w:val="bottom"/>
            <w:gridSpan w:val="4"/>
            <w:shd w:val="clear" w:color="auto" w:fill="CCEEFF"/>
          </w:tcPr>
          <w:p>
            <w:pPr>
              <w:jc w:val="right"/>
              <w:ind w:right="85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other and prepaid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liability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25,187</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(16,763)</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on unrepatriated earnings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had approximately $31.5 million of federal net operating loss carryforwards, $52.5 million of state net operating loss carryforwards, and an immaterial amount of foreign net operating loss carryforwards. As a result of the Tax Cuts and Jobs Act of 2017 (2017 Tax Act), the federal net operating loss and certain state net operating losses generated in 2024 and 2025 carry forward indefinitely. Those net operating losses that do not carry forward indefinitely expire between 2027 and 2045.</w:t>
      </w:r>
    </w:p>
    <w:p>
      <w:pPr>
        <w:spacing w:after="0" w:line="21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of December 31, 2025 and 2024, the Company had $29.7 million and $0.2 million of valuation allowances on its deferred tax assets. As of December 31, 2025, management assessed the available positive and negative evidence to estimate whether sufficient future taxable income will be generated to permit use of its existing deferred tax assets. On the basis of this evaluation, additional nonrecurring and recurring valuation allowances of $29.5 million were recorded in the fourth quarter of 2025 as income tax expense to reduce the portion of the deferred tax assets that are not more likely than not to be realized. The Company intends to maintain a valuation allowance until sufficient positive evidence exists to support its reversal. The December 31, 2025 valuation allowance applied to all domestic deferred tax assets other than certain deferred tax assets expected to be realized, and an immaterial amount of international net operating losses. The December 31, 2024 valuation allowance applied to the uncertainty of the realization of certain state net operating losses, and an immaterial amount of international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Paid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income taxes paid during the years ended December 31, 2025, 2024, and 2023 were disaggregated by jurisdiction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(4,500)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exceeded five percent of total income taxes paid (net of refunds) in the following jurisdictions: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0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Illinois</w:t>
            </w:r>
          </w:p>
        </w:tc>
        <w:tc>
          <w:tcPr>
            <w:tcW w:w="10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Florida</w:t>
            </w:r>
          </w:p>
        </w:tc>
        <w:tc>
          <w:tcPr>
            <w:tcW w:w="10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(375)</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400" w:type="dxa"/>
            <w:vAlign w:val="bottom"/>
          </w:tcPr>
          <w:p>
            <w:pPr>
              <w:spacing w:after="0"/>
              <w:rPr>
                <w:sz w:val="19"/>
                <w:szCs w:val="19"/>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 City</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(447)</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Oregon</w:t>
            </w:r>
          </w:p>
        </w:tc>
        <w:tc>
          <w:tcPr>
            <w:tcW w:w="10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spacing w:after="0"/>
              <w:rPr>
                <w:sz w:val="19"/>
                <w:szCs w:val="19"/>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0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6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399</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Pr>
          <w:p>
            <w:pPr>
              <w:spacing w:after="0"/>
              <w:rPr>
                <w:sz w:val="20"/>
                <w:szCs w:val="20"/>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Jurisdiction below the five percent threshold for the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rate to income tax (benefit) expense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4"/>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Pr>
          <w:p>
            <w:pPr>
              <w:spacing w:after="0"/>
              <w:rPr>
                <w:sz w:val="18"/>
                <w:szCs w:val="18"/>
                <w:color w:val="auto"/>
              </w:rPr>
            </w:pPr>
          </w:p>
        </w:tc>
      </w:tr>
      <w:tr>
        <w:trPr>
          <w:trHeight w:val="245"/>
        </w:trPr>
        <w:tc>
          <w:tcPr>
            <w:tcW w:w="4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9"/>
        </w:trPr>
        <w:tc>
          <w:tcPr>
            <w:tcW w:w="4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(17,537)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(3,444)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21,608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3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effect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0.15 %</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23,660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Meals and incidentals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w:t>
            </w:r>
          </w:p>
        </w:tc>
      </w:tr>
      <w:tr>
        <w:trPr>
          <w:trHeight w:val="22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compensation</w:t>
            </w:r>
          </w:p>
        </w:tc>
        <w:tc>
          <w:tcPr>
            <w:tcW w:w="16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1,332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11,342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(1,842)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11.23 %</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30,263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29.41 %</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right="40" w:firstLine="8"/>
        <w:spacing w:after="0" w:line="261"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state and local income taxes in California, Florida, Illinois, Maine, and New York comprise the majority of the domestic state and local income taxes, net of federal effect category. In 2024, state and local income taxes in California, Florida, New York, and Pennsylvania comprise the majority of the domestic state and local income taxes, net of federal effect category. In 2025, state and local income taxes in California, Florida, Illinois, New York, Tennessee, and Virginia comprise the majority of the domestic state and local income taxes, net of federal effect category.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(amounts in thousands)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(reductions) based on tax positions related to 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were no short-term unrecognized tax benefits as of December 31, 2025 and 2024. Long-term unrecognized tax benefits are included in non-current uncertain tax positions in the consolidated balance sheets and were $10.4 million and $10.1 million as of December 31, 2025 and 2024, respectively. As of December 31, 2025 and 2024, the Company had unrecognized tax benefits, which would affect the effective tax rate if recognized, of $12.0 million and $10.7 million, respectively.</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During the years ended December 31, 2025, 2024, and 2023, interest and penalties were immaterial. Tax years 2012 through 2025 remain open to examination by certain taxing jurisdictions to which the Company is subject to tax.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 unrecognized tax benefit should be presented in the financial statements as a reduction to a deferred tax asset for a net operating loss carryforward if such carryforward would offset the disallowance of the tax position. As a result of the Company’s generation of a net operating loss, the Company reclassified $2.4 million of unrecognized tax benefits from long-term liabilities to deferred tax assets in the year ended December 31, 2025. As a result of the Company’s utilization of its federal net operating loss carryforward and a material amount of state net operating loss carryforwards, the Company reclassified $1.3 million of unrecognized tax benefits from deferred tax assets to long-term liabilities in the year ended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16, 2022, the Company’s Board of Directors authorized a new stock repurchase program (Repurchase Program), whereby the Company could repurchase up to $100.0 million of its shares of common stock, subject to the terms of its current credit agreements. The Company was also authorized to continue to repurchase any remaining shares available for repurchase under the Company’s previous stock repurchase program. Upon completion of the authorized number of shares available for repurchase under the previous repurchase program, the Company commenced repurchases under the Repurchase Program during the third quarter of 2022.</w:t>
      </w:r>
    </w:p>
    <w:p>
      <w:pPr>
        <w:spacing w:after="0" w:line="1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such that, effective for trades made after May 3, 2023, the aggregate amount available for stock repurchases under the Repurchase Program was set at $100.0 million. The shares can be repurchased from time-to-time in the open market or in privately negotiated transactions. The Repurchase Program does not obligate the Company to repurchase any particular number of shares of common stock and may be discontinued by the Board of Directors at any time. Decisions regarding the amount and the timing of repurchases under the Repurchase Program will be subject to the Company’s available liquidity and cash on hand, applicable legal requirements, the terms of the Company’s Loan Agreement, general market conditions, and other factors.</w:t>
      </w:r>
    </w:p>
    <w:p>
      <w:pPr>
        <w:spacing w:after="0" w:line="1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entered into a Rule 10b5-1 Repurchase Plan to allow for share repurchases during the Company's blackout periods, beginning on January 2, 2024 and effective through November 7, 2024. During the fourth quarter of 2025, the Company entered into a new Rule 10b5-1 Repurchase Plan to allow for share repurchases during the Company's blackout periods, beginning on December 16, 2025 and effective through November 4,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 Company repurchased and retired the following shares of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8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 Number of</w:t>
            </w:r>
          </w:p>
        </w:tc>
        <w:tc>
          <w:tcPr>
            <w:tcW w:w="280" w:type="dxa"/>
            <w:vAlign w:val="bottom"/>
          </w:tcPr>
          <w:p>
            <w:pPr>
              <w:spacing w:after="0"/>
              <w:rPr>
                <w:sz w:val="18"/>
                <w:szCs w:val="18"/>
                <w:color w:val="auto"/>
              </w:rPr>
            </w:pPr>
          </w:p>
        </w:tc>
        <w:tc>
          <w:tcPr>
            <w:tcW w:w="16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26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Value of Shares</w:t>
            </w:r>
          </w:p>
        </w:tc>
        <w:tc>
          <w:tcPr>
            <w:tcW w:w="0" w:type="dxa"/>
            <w:vAlign w:val="bottom"/>
          </w:tcPr>
          <w:p>
            <w:pPr>
              <w:spacing w:after="0"/>
              <w:rPr>
                <w:sz w:val="1"/>
                <w:szCs w:val="1"/>
                <w:color w:val="auto"/>
              </w:rPr>
            </w:pPr>
          </w:p>
        </w:tc>
      </w:tr>
      <w:tr>
        <w:trPr>
          <w:trHeight w:val="239"/>
        </w:trPr>
        <w:tc>
          <w:tcPr>
            <w:tcW w:w="566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 Purchased</w:t>
            </w: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 Share</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Purchased</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58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(dollar value in thousands, except per share data)</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803,175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2,401,924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c>
          <w:tcPr>
            <w:tcW w:w="0" w:type="dxa"/>
            <w:vAlign w:val="bottom"/>
          </w:tcPr>
          <w:p>
            <w:pPr>
              <w:spacing w:after="0"/>
              <w:rPr>
                <w:sz w:val="1"/>
                <w:szCs w:val="1"/>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2,343,583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24.58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$34.0 million remaining for share repurchase under the Repurchase Program, subject to certain conditions in the Company's Loan Agreement. As of December 31, 2025, the Company had 31,721,280 unrestricted shares of common stock outstanding. The Company may repurchase up to an aggregate amount not to exceed $5.0 million pursuant to its Loan Agreement, in any fiscal year, or an unlimited amount if the Company meets certain conditions as described in the agreement. In 2025, the conditions were met to repurchase an unlimited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19, 2020, the Company’s stockholders approved the Cross Country Healthcare, Inc. 2020 Omnibus Incentive Plan (2020 Plan), which replaced the 2017 Plan, and applies to awards granted after May 19, 2020. The remaining shares available for grant under the 2017 Plan were cancelled and no further awards were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14, 2024, the Company's stockholders approved the Cross Country Healthcare, Inc. 2024 Omnibus Incentive Plan (2024 Plan). The 2024 Plan was adopted principally to serve as a successor plan to the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2020 Plan and 2024 Plan (Plans) provide for the issuance of stock options, stock appreciation rights, restricted stock, performance shares, and performance-based cash awards that may be granted with the intent to comply with the “performance-based compensation” exception under Section 162(m) of the Code, and other stock-based awards, all as defined by the Plans, to eligible employees, consultants, non-employee directors, and key advisors of the Company and its subsidiaries. The Plans include Section 162(m) performance goals so that certain incentive awards granted to certain executive officers of the Company may qualify as exempt performance-based compensation. However, Section 162(m) of the Code updated in conjunction with the 2017 Tax Act in November 2018 limits a publicly-held corporation’s federal tax deduction for compensation paid to “covered employees” to $1.0 million per year, for non-performance and performance shares.</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The shares vest ratably over a three-year period ending on the anniversary date of the grant, and vesting is subject to the employee’s continuing employment. There is no partial vesting, and any unvested portion is forfeited. Pursuant to the Plans, the number of target shares that are issued for performance-based stock awards are determined based on the level of attainment of the targets.</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Plans for the year ended December 31, 2025:</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409,698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734,347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271,524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(85,001)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(31,519)</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564,702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Awards granted to non-employee directors under the Plans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20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On December 18, 2025 and March 31, 2024 and 2023, the Company awarded performance stock totaling 271,524, 169,447, and 160,782, shares, respectively. If the minimum level of performance is attained for the 2025, 2024, and 2023 awards, restricted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00" w:lineRule="exact"/>
        <w:rPr>
          <w:sz w:val="20"/>
          <w:szCs w:val="20"/>
          <w:color w:val="auto"/>
        </w:rPr>
      </w:pPr>
    </w:p>
    <w:p>
      <w:pPr>
        <w:spacing w:after="0" w:line="3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will be issued with a vesting date of March 31, 2028, 2027, and 2026, respectively. The level of attainment will be certified within 30 days of the vest date. During the first quarter of 2025, the Company’s Compensation Committee of the Board of Directors approved a 75.5% level of attainment for the 2022 performance-based share awards, resulting in the issuance of 85,001 performance shares that vested on March 31, 2025.</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15, 2025, John A. Martins, the Company's President and Chief Executive Officer, separated from the Company and received various severance payments pursuant to the General Release executed December 31, 2025. Pursuant to the General Release, Mr. Martins' 60,808 unvested restricted share awards vested, and his 118,174 performance share awards vested at target level performance, in the amount of $3.1 million, included in selling, general and administrative expenses in the consolidated statements of operations and comprehensive (loss) income.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approximately $7.3 million of total unrecognized compensation cost related to non-vested restricted stock awards which may be adjusted for future changes in forfeitures. The Company expects to recognize such cost over a weighted average period of 1.82 years. The fair value of shares vested was approximately $4.1 million, $5.6 million, and $9.3 million for the years ended December 31, 2025, 2024, and 2023, respectively.</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approximately $2.1 million of total unrecognized compensation cost related to performance stock awards which may be adjusted for future changes in forfeitures. The Company expects to recognize such cost over a weighted average period of 1.50 years, the remaining service period. The fair value of shares vested was approximately $1.3 million, $2.7 million, and $5.3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gridSpan w:val="7"/>
            <w:shd w:val="clear" w:color="auto" w:fill="CCEEFF"/>
          </w:tcPr>
          <w:p>
            <w:pPr>
              <w:jc w:val="center"/>
              <w:ind w:right="210"/>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4"/>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35,158</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of diluted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8"/>
        </w:trPr>
        <w:tc>
          <w:tcPr>
            <w:tcW w:w="7020" w:type="dxa"/>
            <w:vAlign w:val="bottom"/>
            <w:tcBorders>
              <w:top w:val="single" w:sz="8" w:color="CCEEFF"/>
              <w:bottom w:val="single" w:sz="8" w:color="CCEEFF"/>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Weighted average common shares - Diluted</w:t>
            </w:r>
            <w:r>
              <w:rPr>
                <w:rFonts w:ascii="Times New Roman" w:cs="Times New Roman" w:eastAsia="Times New Roman" w:hAnsi="Times New Roman"/>
                <w:sz w:val="23"/>
                <w:szCs w:val="23"/>
                <w:color w:val="auto"/>
                <w:vertAlign w:val="superscript"/>
              </w:rPr>
              <w:t>a</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8"/>
        <w:spacing w:after="0" w:line="282"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the effect of diluted shares was not included in the weighted average share calculation due to the Company's net operating loss position.</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(loss) income per share attributable to common stockholders in the future that were not included in the computation of diluted net (loss) income per share attributable to common stockholders because to do so would have been anti-dilutive for the periods presented.</w:t>
      </w:r>
    </w:p>
    <w:p>
      <w:pPr>
        <w:spacing w:after="0" w:line="9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(amounts in thousands)</w:t>
            </w:r>
          </w:p>
        </w:tc>
        <w:tc>
          <w:tcPr>
            <w:tcW w:w="1320" w:type="dxa"/>
            <w:vAlign w:val="bottom"/>
            <w:shd w:val="clear" w:color="auto" w:fill="CCEEFF"/>
          </w:tcPr>
          <w:p>
            <w:pPr>
              <w:spacing w:after="0"/>
              <w:rPr>
                <w:sz w:val="18"/>
                <w:szCs w:val="18"/>
                <w:color w:val="auto"/>
              </w:rPr>
            </w:pPr>
          </w:p>
        </w:tc>
      </w:tr>
      <w:tr>
        <w:trPr>
          <w:trHeight w:val="230"/>
        </w:trPr>
        <w:tc>
          <w:tcPr>
            <w:tcW w:w="7940" w:type="dxa"/>
            <w:vAlign w:val="bottom"/>
            <w:gridSpan w:val="2"/>
          </w:tcPr>
          <w:p>
            <w:pPr>
              <w:jc w:val="right"/>
              <w:ind w:right="6390"/>
              <w:spacing w:after="0"/>
              <w:rPr>
                <w:sz w:val="20"/>
                <w:szCs w:val="20"/>
                <w:color w:val="auto"/>
              </w:rPr>
            </w:pPr>
            <w:r>
              <w:rPr>
                <w:rFonts w:ascii="Times New Roman" w:cs="Times New Roman" w:eastAsia="Times New Roman" w:hAnsi="Times New Roman"/>
                <w:sz w:val="18"/>
                <w:szCs w:val="18"/>
                <w:color w:val="auto"/>
              </w:rPr>
              <w:t>Share-based awards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5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a certain member of the Company's Board of Directors, who is a minority shareholder in the firm's parent company and is a member of the parent company's Board of Directors. Management believes that the terms of the arrangement are equivalent to those prevailing in an arm's-length transaction and have been approved by the Audit Committee of the Company's Board of Directors through the Company's related party transaction approval process. The digital marketing firm manages a limited number of digital publishers covering various Company brands for a monthly management fee. In 2025, 2024, and 2023, the Company incurred an immaterial amount in expenses and had an immaterial payable balance at December 31, 2025 and 2024.</w:t>
      </w:r>
    </w:p>
    <w:p>
      <w:pPr>
        <w:spacing w:after="0" w:line="2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that are affiliated with certain members of the Company’s Board of Directors. Management believes that the services were conducted on terms equivalent to those prevailing in an arm's-length transaction. Revenue related to these transactions was $8.8 million, $4.9 million, and $1.2 million, respectively, for the years ended December 31, 2025, 2024, and 2023. Accounts receivable due from these entities was an immaterial amount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 (continued)</w:t>
      </w:r>
    </w:p>
    <w:p>
      <w:pPr>
        <w:spacing w:after="0" w:line="200" w:lineRule="exact"/>
        <w:rPr>
          <w:sz w:val="20"/>
          <w:szCs w:val="20"/>
          <w:color w:val="auto"/>
        </w:rPr>
      </w:pPr>
    </w:p>
    <w:p>
      <w:pPr>
        <w:spacing w:after="0" w:line="31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Following the WSG acquisition on June 8, 2021, the Company continued to rent WSG’s headquarters. The Chief Executive Officer and Founder of WSG, who was a business unit president with the Company, was an agent of the lessor. The lease for WSG's headquarters was terminated at the end of the first quarter of 2023. The Company paid an immaterial amount in rent expense for these premises for the year ended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operating and reportable segments, Nurse and Allied Staffing and Physician Staffing, which align with its management structure and reflect how the operating results are regularly reviewed by the Chief Executive Officer, who the Company has determined to be its Chief Operating Decision Maker (CODM). The Company’s segments offer services to its customers as described below:</w:t>
      </w:r>
    </w:p>
    <w:p>
      <w:pPr>
        <w:spacing w:after="0" w:line="174" w:lineRule="exact"/>
        <w:rPr>
          <w:sz w:val="20"/>
          <w:szCs w:val="20"/>
          <w:color w:val="auto"/>
        </w:rPr>
      </w:pPr>
    </w:p>
    <w:p>
      <w:pPr>
        <w:ind w:left="660" w:right="100" w:hanging="328"/>
        <w:spacing w:after="0" w:line="246"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Nurse and Allied Staffing - </w:t>
      </w:r>
      <w:r>
        <w:rPr>
          <w:rFonts w:ascii="Times New Roman" w:cs="Times New Roman" w:eastAsia="Times New Roman" w:hAnsi="Times New Roman"/>
          <w:sz w:val="18"/>
          <w:szCs w:val="18"/>
          <w:color w:val="auto"/>
        </w:rPr>
        <w:t>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nurse and allied professionals, per diem, and healthcare leaders within nursing, allied, human resources, and finance, MSP services, education healthcare services, caregiver services to Programs of All-Inclusive Care for the Elderly (PACE) programs (homecare),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in order to manage all or a portion of their agency services. Its customers include: public and private acute-care hospitals, non-acute care hospitals, government facilities, local healthcare plans, national healthcare plans, managed care providers, public schools, charter schools, academic medical centers, PACE programs, outpatient clinics, ambulatory care facilities, physician practice groups, and many other healthcare providers throughout the United States.</w:t>
      </w:r>
    </w:p>
    <w:p>
      <w:pPr>
        <w:spacing w:after="0" w:line="191" w:lineRule="exact"/>
        <w:rPr>
          <w:rFonts w:ascii="Times New Roman" w:cs="Times New Roman" w:eastAsia="Times New Roman" w:hAnsi="Times New Roman"/>
          <w:sz w:val="18"/>
          <w:szCs w:val="18"/>
          <w:i w:val="1"/>
          <w:iCs w:val="1"/>
          <w:color w:val="auto"/>
        </w:rPr>
      </w:pPr>
    </w:p>
    <w:p>
      <w:pPr>
        <w:ind w:left="660" w:right="320" w:hanging="328"/>
        <w:spacing w:after="0" w:line="290"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Physician Staffing - </w:t>
      </w:r>
      <w:r>
        <w:rPr>
          <w:rFonts w:ascii="Times New Roman" w:cs="Times New Roman" w:eastAsia="Times New Roman" w:hAnsi="Times New Roman"/>
          <w:sz w:val="17"/>
          <w:szCs w:val="17"/>
          <w:color w:val="auto"/>
        </w:rPr>
        <w:t>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 and the profit and loss measure of contribution income, are reported to the CODM by each of the operating segments to assess performance. Contribution income is the profit and loss measure used by the CODM to allocate operating and capital resources to each segment. The Company defines contribution income as income (loss) from operations before depreciation and amortization, acquisition and integration-related (benefits) costs, restructuring (benefits) costs, legal and other losses, impairment charges, and corporate overhead. Management believes that its measure of contribution income is most consistent with that used to measure the corresponding amounts on its consolidated financial statements.</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in the following tables is derived from the segments’ internal financial information as used for corporate management purposes. Certain corporate expenses are not allocated to and/or among the operating segments. Those include corporate overhead and the remaining line items below contribution income in the consolidated column in the tables below, and are presented to the CODM on a consolidated basis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loss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Nurse and Allied Staffing</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(amounts in thousands)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862,784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191,509</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1,054,293</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688,261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70"/>
        </w:trPr>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credit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74,149</w:t>
            </w:r>
          </w:p>
        </w:tc>
      </w:tr>
      <w:tr>
        <w:trPr>
          <w:trHeight w:val="270"/>
        </w:trPr>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60,817</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income</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77,851</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2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380" w:firstLine="8"/>
        <w:spacing w:after="0" w:line="261"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right="60" w:firstLine="8"/>
        <w:spacing w:after="0" w:line="260"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loss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2024</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Nurse and Allied Staffing</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(amounts in thousands)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198,585</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1,344,004</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911,566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70"/>
        </w:trPr>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(credit)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87,950</w:t>
            </w:r>
          </w:p>
        </w:tc>
      </w:tr>
      <w:tr>
        <w:trPr>
          <w:trHeight w:val="270"/>
        </w:trPr>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68,507</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380" w:firstLine="8"/>
        <w:spacing w:after="0" w:line="261"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right="60" w:firstLine="8"/>
        <w:spacing w:after="0" w:line="260"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income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Nurse and Allied Staffing</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(amounts in thousands)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1,841,428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178,300</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2,019,728</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1,430,128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70"/>
        </w:trPr>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206,565</w:t>
            </w:r>
          </w:p>
        </w:tc>
      </w:tr>
      <w:tr>
        <w:trPr>
          <w:trHeight w:val="270"/>
        </w:trPr>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71,049</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102,894</w:t>
            </w: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380" w:firstLine="8"/>
        <w:spacing w:after="0" w:line="261"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right="60" w:firstLine="8"/>
        <w:spacing w:after="0" w:line="260"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Data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is based on services provided. During the years ended December 31, 2025, 2024, and 2023, revenue was generated primarily in the U.S., and all of the Company’s long-lived assets were located in the U.S. and India. The Company provides its staffing services and workforce solutions in all 50 states. The India location is a cost center with no revenues and an immaterial amount of long-lived assets. The Company had no intersegment revenues between reportable segments for the years ended December 31, 2025, 2024, and 2023.</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evaluate, manage, or measure performance of segments using asset information; accordingly, total asset information by segment is not prepared or disclosed.</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Summary of Significant Accounting Policies, which also provides information about major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tables in Note 3 - Revenue Recognition, which present segment revenues by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Data (Unaudited)</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contain selected unaudited statements of operations and comprehensive (loss) income information for each quarter of 2025 and 2024.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2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2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0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14"/>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293,408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274,072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250,052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236,761</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58,658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56,004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50,927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47,982</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(82,929)</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Net loss per share attributable to common stockholders - Basic</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7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 Diluted</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2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14"/>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379,174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339,771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315,119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309,940</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70,805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64,158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61,992</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(16,050)</w:t>
            </w:r>
          </w:p>
        </w:tc>
        <w:tc>
          <w:tcPr>
            <w:tcW w:w="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Net income (loss) per share attributable to common stockholders - Basic</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8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Net income (loss) per share attributable to common stockholders - Diluted </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w:t>
      </w:r>
    </w:p>
    <w:p>
      <w:pPr>
        <w:spacing w:after="0" w:line="27" w:lineRule="exact"/>
        <w:rPr>
          <w:rFonts w:ascii="Times New Roman" w:cs="Times New Roman" w:eastAsia="Times New Roman" w:hAnsi="Times New Roman"/>
          <w:sz w:val="18"/>
          <w:szCs w:val="18"/>
          <w:color w:val="auto"/>
        </w:rPr>
      </w:pPr>
    </w:p>
    <w:p>
      <w:pPr>
        <w:ind w:right="180" w:firstLine="8"/>
        <w:spacing w:after="0" w:line="260"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quarterly per share amounts may not equal amounts reported for year-to-date due to the effects of rounding and changes in the number of weighted average shares outstanding used in the calculation.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are the most significant items that impact the comparability and presentation of our consolidated data:</w:t>
      </w:r>
    </w:p>
    <w:p>
      <w:pPr>
        <w:spacing w:after="0" w:line="252" w:lineRule="exact"/>
        <w:rPr>
          <w:sz w:val="20"/>
          <w:szCs w:val="20"/>
          <w:color w:val="auto"/>
        </w:rPr>
      </w:pPr>
    </w:p>
    <w:p>
      <w:pPr>
        <w:ind w:left="820" w:right="100" w:hanging="326"/>
        <w:spacing w:after="0" w:line="255"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incurred restructuring costs primarily comprised of employee termination costs, lease-related exit costs, and reorganization costs as part of planned cost savings initiatives. In 2025, the Company recorded expenses of $0.6 million in the second quarter, $1.5 million in the third quarter, and $1.3 million in the fourth quarter. In 2024, the Company recorded expenses of $0.9 million in the first quarter, $2.1 million in the second quarter, and $1.0 million in the third quarter.</w:t>
      </w:r>
    </w:p>
    <w:p>
      <w:pPr>
        <w:spacing w:after="0" w:line="2" w:lineRule="exact"/>
        <w:rPr>
          <w:rFonts w:ascii="Times New Roman" w:cs="Times New Roman" w:eastAsia="Times New Roman" w:hAnsi="Times New Roman"/>
          <w:sz w:val="18"/>
          <w:szCs w:val="18"/>
          <w:color w:val="auto"/>
        </w:rPr>
      </w:pPr>
    </w:p>
    <w:p>
      <w:pPr>
        <w:ind w:left="820" w:right="200" w:hanging="326"/>
        <w:spacing w:after="0" w:line="25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 recorded legal fees and settlement charges related to various cases and claims of $1.1 million in each of the second and third quarters, and $0.5 million in the fourth quarter. During the second quarter of 2024, the Company recorded $19.4 million of credit loss expense driven by a bankruptcy filing by a single MSP customer. In 2024, the Company recorded legal and other losses of $3.7 million in the first quarter and $3.9 million in the second quarter, representing settlements of lawsuits, as well as estimated costs related to an unrecoverable asset. During the fourth quarter of 2024, the Company recorded legal and other losses of $1.2 million to settle an older class action lawsuit, as well as a recovery of $1.8 million related to a previously written off unrecoverable asset.</w:t>
      </w:r>
    </w:p>
    <w:p>
      <w:pPr>
        <w:spacing w:after="0" w:line="2" w:lineRule="exact"/>
        <w:rPr>
          <w:rFonts w:ascii="Times New Roman" w:cs="Times New Roman" w:eastAsia="Times New Roman" w:hAnsi="Times New Roman"/>
          <w:sz w:val="18"/>
          <w:szCs w:val="18"/>
          <w:color w:val="auto"/>
        </w:rPr>
      </w:pPr>
    </w:p>
    <w:p>
      <w:pPr>
        <w:ind w:left="820" w:right="180" w:hanging="326"/>
        <w:spacing w:after="0" w:line="25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2025, the Company recorded goodwill impairment charges of $71.3 million related to its Nurse and Allied and Physician Staffing units, and $5.9 million related to the impairment and write-off of indefinite-lived trade names related to Medical Staffing Network, and recorded impairment charges of $0.7 million related to the write-off of two abandoned construction in progress projects. During the fourth quarter of 2024, the Company recorded impairment charges of $2.2 million related to the write-off of goodwill and intangible assets associated with the impairment of a previous asset acquisition. See Note 5 - Goodwill, Trade Names, and Other Intangible Assets.</w:t>
      </w:r>
    </w:p>
    <w:p>
      <w:pPr>
        <w:spacing w:after="0" w:line="1" w:lineRule="exact"/>
        <w:rPr>
          <w:rFonts w:ascii="Times New Roman" w:cs="Times New Roman" w:eastAsia="Times New Roman" w:hAnsi="Times New Roman"/>
          <w:sz w:val="18"/>
          <w:szCs w:val="18"/>
          <w:color w:val="auto"/>
        </w:rPr>
      </w:pPr>
    </w:p>
    <w:p>
      <w:pPr>
        <w:ind w:left="820" w:right="600" w:hanging="326"/>
        <w:spacing w:after="0" w:line="26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2025, the Company recorded $6.0 million in executive transition severance costs related to the former Chief Executive Officer's separation from the Company in December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16" w:lineRule="exact"/>
        <w:rPr>
          <w:sz w:val="20"/>
          <w:szCs w:val="20"/>
          <w:color w:val="auto"/>
        </w:rPr>
      </w:pPr>
    </w:p>
    <w:p>
      <w:pPr>
        <w:ind w:left="272" w:hanging="272"/>
        <w:spacing w:after="0"/>
        <w:tabs>
          <w:tab w:leader="none" w:pos="27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 (continued)</w:t>
      </w:r>
    </w:p>
    <w:p>
      <w:pPr>
        <w:spacing w:after="0" w:line="200" w:lineRule="exact"/>
        <w:rPr>
          <w:rFonts w:ascii="Times New Roman" w:cs="Times New Roman" w:eastAsia="Times New Roman" w:hAnsi="Times New Roman"/>
          <w:sz w:val="18"/>
          <w:szCs w:val="18"/>
          <w:b w:val="1"/>
          <w:bCs w:val="1"/>
          <w:color w:val="auto"/>
        </w:rPr>
      </w:pPr>
    </w:p>
    <w:p>
      <w:pPr>
        <w:spacing w:after="0" w:line="339" w:lineRule="exact"/>
        <w:rPr>
          <w:rFonts w:ascii="Times New Roman" w:cs="Times New Roman" w:eastAsia="Times New Roman" w:hAnsi="Times New Roman"/>
          <w:sz w:val="18"/>
          <w:szCs w:val="18"/>
          <w:b w:val="1"/>
          <w:bCs w:val="1"/>
          <w:color w:val="auto"/>
        </w:rPr>
      </w:pPr>
    </w:p>
    <w:p>
      <w:pPr>
        <w:ind w:left="812" w:hanging="326"/>
        <w:spacing w:after="0"/>
        <w:tabs>
          <w:tab w:leader="none" w:pos="8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 incurred fees associated with the Aya Merger of $2.0 million in the first quarter, $6.0 million in the second quarter,</w:t>
      </w:r>
    </w:p>
    <w:p>
      <w:pPr>
        <w:spacing w:after="0" w:line="27" w:lineRule="exact"/>
        <w:rPr>
          <w:rFonts w:ascii="Times New Roman" w:cs="Times New Roman" w:eastAsia="Times New Roman" w:hAnsi="Times New Roman"/>
          <w:sz w:val="18"/>
          <w:szCs w:val="18"/>
          <w:color w:val="auto"/>
        </w:rPr>
      </w:pPr>
    </w:p>
    <w:p>
      <w:pPr>
        <w:ind w:left="812"/>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 the third quarter, and $4.4 million in the fourth quarter. During the fourth quarter of 2025, the Aya Merger was terminated and the Company received $20.0 million in termination fees from Parent. During the fourth quarter of 2024, the Company incurred $4.2 million in fees associated with the Aya Merger.</w:t>
      </w:r>
    </w:p>
    <w:p>
      <w:pPr>
        <w:spacing w:after="0" w:line="2" w:lineRule="exact"/>
        <w:rPr>
          <w:rFonts w:ascii="Times New Roman" w:cs="Times New Roman" w:eastAsia="Times New Roman" w:hAnsi="Times New Roman"/>
          <w:sz w:val="18"/>
          <w:szCs w:val="18"/>
          <w:color w:val="auto"/>
        </w:rPr>
      </w:pPr>
    </w:p>
    <w:p>
      <w:pPr>
        <w:ind w:left="812" w:right="80" w:hanging="326"/>
        <w:spacing w:after="0" w:line="243" w:lineRule="auto"/>
        <w:tabs>
          <w:tab w:leader="none" w:pos="8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2025, the Company recorded $29.5 million of expense related to the establishment of nonrecurring and recurring valuation allowances on the Company’s deferred tax assets.</w:t>
      </w:r>
    </w:p>
    <w:p>
      <w:pPr>
        <w:spacing w:after="0" w:line="200" w:lineRule="exact"/>
        <w:rPr>
          <w:sz w:val="20"/>
          <w:szCs w:val="20"/>
          <w:color w:val="auto"/>
        </w:rPr>
      </w:pPr>
    </w:p>
    <w:p>
      <w:pPr>
        <w:spacing w:after="0" w:line="373"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17" w:right="5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400" w:type="dxa"/>
            <w:vAlign w:val="bottom"/>
          </w:tcPr>
          <w:p>
            <w:pPr>
              <w:spacing w:after="0"/>
              <w:rPr>
                <w:sz w:val="16"/>
                <w:szCs w:val="16"/>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7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Write-Offs, Net</w:t>
            </w:r>
          </w:p>
        </w:tc>
        <w:tc>
          <w:tcPr>
            <w:tcW w:w="440" w:type="dxa"/>
            <w:vAlign w:val="bottom"/>
          </w:tcPr>
          <w:p>
            <w:pPr>
              <w:spacing w:after="0"/>
              <w:rPr>
                <w:sz w:val="16"/>
                <w:szCs w:val="16"/>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99"/>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580" w:type="dxa"/>
            <w:vAlign w:val="bottom"/>
            <w:gridSpan w:val="2"/>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(Released from)</w:t>
            </w:r>
          </w:p>
        </w:tc>
        <w:tc>
          <w:tcPr>
            <w:tcW w:w="1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End</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of Recoveries</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(amounts in thousands)</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Allowances for Accounts Receivable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9,301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 $</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20,547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22,077</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(33,323)</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 $</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14,696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17,355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(11,504)</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 $</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Valuation Allowance for Deferred Tax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178</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29,563</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29,741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Uncollectible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II- 1</w:t>
      </w:r>
    </w:p>
    <w:p>
      <w:pPr>
        <w:sectPr>
          <w:pgSz w:w="11900" w:h="16838" w:orient="portrait"/>
          <w:cols w:equalWidth="0" w:num="1">
            <w:col w:w="11240"/>
          </w:cols>
          <w:pgMar w:left="320" w:top="125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2024 OMNIBUS INCENTIVE PLAN</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STOCK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[____________],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delivered by CROSS COUNTRY HEALTHCARE,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The Cross Country Healthcare, Inc. 2024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provides for the grant of restricted stock with respect to Common Stock. The Committee has decided to make this grant of restricted stock as an inducement for the Participant to promote the best interests of the Company and its stockholders. This Agreement is made pursuant to the Plan and is subject in its entirety to all applicable provisions of the Plan. Capitalized terms used herein and not otherwise defined will have the meanings set forth in the Plan.</w:t>
      </w:r>
    </w:p>
    <w:p>
      <w:pPr>
        <w:spacing w:after="0" w:line="179" w:lineRule="exact"/>
        <w:rPr>
          <w:sz w:val="20"/>
          <w:szCs w:val="20"/>
          <w:color w:val="auto"/>
        </w:rPr>
      </w:pPr>
    </w:p>
    <w:p>
      <w:pPr>
        <w:jc w:val="both"/>
        <w:ind w:right="20" w:firstLine="8"/>
        <w:spacing w:after="0" w:line="257" w:lineRule="auto"/>
        <w:tabs>
          <w:tab w:leader="none" w:pos="40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w:t>
      </w:r>
      <w:r>
        <w:rPr>
          <w:rFonts w:ascii="Times New Roman" w:cs="Times New Roman" w:eastAsia="Times New Roman" w:hAnsi="Times New Roman"/>
          <w:sz w:val="22"/>
          <w:szCs w:val="22"/>
          <w:color w:val="auto"/>
        </w:rPr>
        <w:t>. Subject to the terms and conditions set forth in this Agreement and in the Plan, the Company has granted the Participant [_____] shares of Common Stock, subject to the restrictions set forth below and in the Plan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2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Section 2, the shares of Restricted Stock shall become vested according to the following schedule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continues to be employed by, or provide service to, the Employer from the Date of Grant until the applicable Vesting Date:</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60" w:type="dxa"/>
            <w:vAlign w:val="bottom"/>
            <w:tcBorders>
              <w:top w:val="single" w:sz="8" w:color="auto"/>
              <w:left w:val="single" w:sz="8" w:color="auto"/>
            </w:tcBorders>
          </w:tcPr>
          <w:p>
            <w:pPr>
              <w:spacing w:after="0"/>
              <w:rPr>
                <w:sz w:val="18"/>
                <w:szCs w:val="18"/>
                <w:color w:val="auto"/>
              </w:rPr>
            </w:pPr>
          </w:p>
        </w:tc>
        <w:tc>
          <w:tcPr>
            <w:tcW w:w="3280" w:type="dxa"/>
            <w:vAlign w:val="bottom"/>
            <w:tcBorders>
              <w:top w:val="single" w:sz="8" w:color="auto"/>
              <w:right w:val="single" w:sz="8" w:color="auto"/>
            </w:tcBorders>
            <w:gridSpan w:val="2"/>
          </w:tcPr>
          <w:p>
            <w:pPr>
              <w:jc w:val="center"/>
              <w:ind w:right="2360"/>
              <w:spacing w:after="0" w:line="189" w:lineRule="exact"/>
              <w:rPr>
                <w:sz w:val="20"/>
                <w:szCs w:val="20"/>
                <w:color w:val="auto"/>
              </w:rPr>
            </w:pPr>
            <w:r>
              <w:rPr>
                <w:rFonts w:ascii="Times New Roman" w:cs="Times New Roman" w:eastAsia="Times New Roman" w:hAnsi="Times New Roman"/>
                <w:sz w:val="18"/>
                <w:szCs w:val="18"/>
                <w:color w:val="auto"/>
                <w:w w:val="97"/>
              </w:rPr>
              <w:t>Vesting Date</w:t>
            </w:r>
          </w:p>
        </w:tc>
        <w:tc>
          <w:tcPr>
            <w:tcW w:w="1140" w:type="dxa"/>
            <w:vAlign w:val="bottom"/>
            <w:tcBorders>
              <w:top w:val="single" w:sz="8" w:color="auto"/>
            </w:tcBorders>
          </w:tcPr>
          <w:p>
            <w:pPr>
              <w:spacing w:after="0"/>
              <w:rPr>
                <w:sz w:val="18"/>
                <w:szCs w:val="18"/>
                <w:color w:val="auto"/>
              </w:rPr>
            </w:pPr>
          </w:p>
        </w:tc>
        <w:tc>
          <w:tcPr>
            <w:tcW w:w="4480" w:type="dxa"/>
            <w:vAlign w:val="bottom"/>
            <w:tcBorders>
              <w:top w:val="single" w:sz="8" w:color="auto"/>
              <w:right w:val="single" w:sz="8" w:color="auto"/>
            </w:tcBorders>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Number of Vested Shares of Restricted Stock</w:t>
            </w:r>
          </w:p>
        </w:tc>
      </w:tr>
      <w:tr>
        <w:trPr>
          <w:trHeight w:val="270"/>
        </w:trPr>
        <w:tc>
          <w:tcPr>
            <w:tcW w:w="2360" w:type="dxa"/>
            <w:vAlign w:val="bottom"/>
            <w:tcBorders>
              <w:left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320" w:type="dxa"/>
            <w:vAlign w:val="bottom"/>
            <w:tcBorders>
              <w:top w:val="single" w:sz="8" w:color="auto"/>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r>
      <w:tr>
        <w:trPr>
          <w:trHeight w:val="22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___________________</w:t>
            </w:r>
          </w:p>
        </w:tc>
        <w:tc>
          <w:tcPr>
            <w:tcW w:w="446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__________</w:t>
            </w:r>
          </w:p>
        </w:tc>
        <w:tc>
          <w:tcPr>
            <w:tcW w:w="1160" w:type="dxa"/>
            <w:vAlign w:val="bottom"/>
            <w:tcBorders>
              <w:bottom w:val="single" w:sz="8" w:color="auto"/>
              <w:right w:val="single" w:sz="8" w:color="auto"/>
            </w:tcBorders>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___________________</w:t>
            </w:r>
          </w:p>
        </w:tc>
        <w:tc>
          <w:tcPr>
            <w:tcW w:w="446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__________</w:t>
            </w:r>
          </w:p>
        </w:tc>
        <w:tc>
          <w:tcPr>
            <w:tcW w:w="1160" w:type="dxa"/>
            <w:vAlign w:val="bottom"/>
            <w:tcBorders>
              <w:bottom w:val="single" w:sz="8" w:color="auto"/>
              <w:right w:val="single" w:sz="8" w:color="auto"/>
            </w:tcBorders>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___________________</w:t>
            </w:r>
          </w:p>
        </w:tc>
        <w:tc>
          <w:tcPr>
            <w:tcW w:w="446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__________</w:t>
            </w:r>
          </w:p>
        </w:tc>
        <w:tc>
          <w:tcPr>
            <w:tcW w:w="1160" w:type="dxa"/>
            <w:vAlign w:val="bottom"/>
            <w:tcBorders>
              <w:bottom w:val="single" w:sz="8" w:color="auto"/>
              <w:right w:val="single" w:sz="8" w:color="auto"/>
            </w:tcBorders>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___________________</w:t>
            </w:r>
          </w:p>
        </w:tc>
        <w:tc>
          <w:tcPr>
            <w:tcW w:w="446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__________</w:t>
            </w:r>
          </w:p>
        </w:tc>
        <w:tc>
          <w:tcPr>
            <w:tcW w:w="1160" w:type="dxa"/>
            <w:vAlign w:val="bottom"/>
            <w:tcBorders>
              <w:bottom w:val="single" w:sz="8" w:color="auto"/>
              <w:right w:val="single" w:sz="8" w:color="auto"/>
            </w:tcBorders>
          </w:tcPr>
          <w:p>
            <w:pPr>
              <w:spacing w:after="0"/>
              <w:rPr>
                <w:sz w:val="19"/>
                <w:szCs w:val="19"/>
                <w:color w:val="auto"/>
              </w:rPr>
            </w:pPr>
          </w:p>
        </w:tc>
      </w:tr>
    </w:tbl>
    <w:p>
      <w:pPr>
        <w:spacing w:after="0" w:line="324" w:lineRule="exact"/>
        <w:rPr>
          <w:sz w:val="20"/>
          <w:szCs w:val="20"/>
          <w:color w:val="auto"/>
        </w:rPr>
      </w:pPr>
    </w:p>
    <w:p>
      <w:pPr>
        <w:jc w:val="both"/>
        <w:ind w:right="20" w:firstLine="656"/>
        <w:spacing w:after="0" w:line="256" w:lineRule="auto"/>
        <w:tabs>
          <w:tab w:leader="none" w:pos="12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the shares of Restricted Stock shall be cumulative, but shall not exceed 100% of the shares of Restricted Stock. If the vesting schedule would produce fractional shares, the number of shares that vest shall be rounded down to the nearest whole shares and the fractional shares will be accumulated so that the resulting whole shares will be included in the number of shares that become vested on the last Vesting Date.</w:t>
      </w:r>
    </w:p>
    <w:p>
      <w:pPr>
        <w:spacing w:after="0" w:line="176"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2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 ceases to be employed by, or provide service to, the Employer as a result of the Participant’s death, the shares of Restricted Stock shall become fully vested to the extent not previously vested as of the date of the Participant’s death.</w:t>
      </w:r>
    </w:p>
    <w:p>
      <w:pPr>
        <w:sectPr>
          <w:pgSz w:w="11900" w:h="16838" w:orient="portrait"/>
          <w:cols w:equalWidth="0" w:num="1">
            <w:col w:w="11260"/>
          </w:cols>
          <w:pgMar w:left="320" w:top="347" w:right="319" w:bottom="1440" w:gutter="0" w:footer="0" w:header="0"/>
        </w:sectPr>
      </w:pPr>
    </w:p>
    <w:bookmarkStart w:id="97" w:name="page98"/>
    <w:bookmarkEnd w:id="97"/>
    <w:p>
      <w:pPr>
        <w:jc w:val="both"/>
        <w:ind w:firstLine="656"/>
        <w:spacing w:after="0" w:line="248" w:lineRule="auto"/>
        <w:tabs>
          <w:tab w:leader="none" w:pos="11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before all of the shares of Restricted Stock vest in accordance with this Section 2, the provisions of the Plan applicable to a Change in Control shall apply to the Restricted Stock, and, in the event of a Change in Control, the Committee may take such actions with respect to the vesting of the shares of Restricted Stock as it deems appropriate pursuant to the Plan. In the event the Participant’s employment or service is terminated by the Employer on account of an Involuntary Termination (as defined below) upon or within 18 months following a Change in Control and before the last Vesting Date, the Participant will become 100% vested in the shares of Restricted Stock upon the date of the Participant’s Involuntary Termination. For purposes of this Agreement, the term “</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shall mean the Participant’s termination of employment or service with the Employer on account of a termination by the Employer without Cause, other than on account of death or Disability. If the Participant and the Employer are parties to an executive severance agreement, employment agreement or offer letter, or the Participant is eligible for severance benefits under the Company’s Executive Severance Plan, in each case that provides for severance on account of a termination for Good Reason, a termination by the Participant for Good Reason shall be deemed to be an Involuntary Termination.</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5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 ceases to be employed by, or provide service to, the Employer as a result of the Participant’s death before the last Vesting Date, the Participant shall become 100% vested in the shares of Restricted Stock as of the date of the Participant’s death.</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Restricted Stock</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Sections 2(d) and 2(e) above or except as otherwise provided in the Participant’s executive severance agreement, employment agreement or offer letter, or the Company’s Executive Severance Plan, to the extent applicable, if the Participant ceases to be employed by, or provide service to, the Employer for any reason before the Restricted Stock is fully vested, the shares of Restricted Stock that are not then vested shall be forfeited as of the date of the Participant’s termination of employment or service and must be immediately returned to the Company.</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in the event that the Participant engages in Cause (including, without limitation, the Participant’s breach of any written non-competition, non-solicitation, invention assignment or confidentiality agreement between the Participant and the Company or a Subsidiary) prior to, or during the one-year period after, any vesting of Restricted Stock, the Committee may direct that all unvested Restricted Stock shall be immediately forfeited, that any shares of Common Stock held by the Participant that had previously been Restricted Stock under this Agreement prior to vesting shall be immediately returned to the Company and that the Participant shall pay over to the Company an amount equal to the Fair Market Value at the time of vesting of any Restricted Stock that had previously vested to the extent transferred by the Participant following vesting.</w:t>
      </w:r>
    </w:p>
    <w:p>
      <w:pPr>
        <w:spacing w:after="0" w:line="17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Certificates and Tax Withholding.</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Committee, the Company will issue certificates representing the shares of Restricted Stock and retain possession of such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49" w:lineRule="auto"/>
        <w:rPr>
          <w:sz w:val="20"/>
          <w:szCs w:val="20"/>
          <w:color w:val="auto"/>
        </w:rPr>
      </w:pPr>
      <w:r>
        <w:rPr>
          <w:rFonts w:ascii="Times New Roman" w:cs="Times New Roman" w:eastAsia="Times New Roman" w:hAnsi="Times New Roman"/>
          <w:sz w:val="22"/>
          <w:szCs w:val="22"/>
          <w:color w:val="auto"/>
        </w:rPr>
        <w:t>until the shares of Restricted Stock vest, or the Company shall recognize such ownership through book entry or another similar method. During the Restriction Period (as defined in Section 8), the Participant may vote the shares of Restricted Stock and may participate in any distribution pursuant to a plan of dissolution or complete liquidation of the Company, each subject to any restrictions deemed appropriate by the Committee. In the event of a cash dividend with respect to the shares of Restricted Stock, such cash dividend shall vest and be paid only if and to the extent that the underlying shares of Restricted Stock vest. In the event of a dividend or distribution payable in stock or other property or a reclassification, split up or similar event during the Restriction Period, the shares or other property issued or declared with respect to the non-vested shares of Restricted Stock shall be subject to the same terms and conditions relating to vesting as the shares of Restricted Stock to which they relate.</w:t>
      </w:r>
    </w:p>
    <w:p>
      <w:pPr>
        <w:spacing w:after="0" w:line="195" w:lineRule="exact"/>
        <w:rPr>
          <w:sz w:val="20"/>
          <w:szCs w:val="20"/>
          <w:color w:val="auto"/>
        </w:rPr>
      </w:pPr>
    </w:p>
    <w:p>
      <w:pPr>
        <w:jc w:val="both"/>
        <w:ind w:firstLine="656"/>
        <w:spacing w:after="0" w:line="257" w:lineRule="auto"/>
        <w:tabs>
          <w:tab w:leader="none" w:pos="113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Participant obtains a vested right to shares of Restricted Stock, a certificate representing the vested shares may be issued to the Participant or the applicable book entry shall be changed to indicate that the shares are free of the restrictions under Section 2 of this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15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the Restricted Stock, the obligation of the Company to deliver certificates representing the vested shares of Restricted Stock or to indicate pursuant to book entry that the vested shares of Restricted Stock are free of restrictions,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5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Employer as set forth in the Plan to withhold amounts required to be withheld for any taxes, if applicable. The Participant shall be required to pay to the Employer, or make other arrangements satisfactory to the Employer to provide for the payment of, FICA, federal income, state, local and other tax liabilities required by law to be withheld, if applicable, with respect to the grant or vesting of the shares of Restricted Stock. The Employer will have the right to withhold such taxes from any amounts payable to the Participant. Unless the Participant makes other arrangements, the Company shall withhold Shares issuable under this Agreement equal to the amount of such required withholding obligation. The Share withholding amount shall be determined in accordance with the procedures approved by the Committee in its sole discretion.</w:t>
      </w:r>
    </w:p>
    <w:p>
      <w:pPr>
        <w:spacing w:after="0" w:line="195" w:lineRule="exact"/>
        <w:rPr>
          <w:rFonts w:ascii="Times New Roman" w:cs="Times New Roman" w:eastAsia="Times New Roman" w:hAnsi="Times New Roman"/>
          <w:sz w:val="22"/>
          <w:szCs w:val="22"/>
          <w:color w:val="auto"/>
        </w:rPr>
      </w:pPr>
    </w:p>
    <w:p>
      <w:pPr>
        <w:jc w:val="both"/>
        <w:ind w:firstLine="8"/>
        <w:spacing w:after="0" w:line="249" w:lineRule="auto"/>
        <w:tabs>
          <w:tab w:leader="none" w:pos="40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 The Participant understands that Section 83 of the Code taxes as ordinary income the difference between the amount paid for the shares of Restricted Stock and the Fair Market Value of such shares as of the date any restrictions on the shares lapse pursuant to Section 2 of this Agreement. The Participant understands that the Participant may elect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22"/>
          <w:szCs w:val="22"/>
          <w:color w:val="auto"/>
        </w:rPr>
        <w:t>taxed at the time the shares of Restricted Stock are granted rather than when and as the Restriction Period expires by filing an election under section 83(b) of the Code with the Internal Revenue Service within 30 days from the Date of Grant using IRS Form 15620, or filing electronically through the Internal Revenue Service’s website.</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PARTICIPANT ACKNOWLEDGES THAT IT IS THE PARTICIPANT’S SOLE RESPONSIBILITY AND NOT THE COMPANY’S TO TIMELY FILE THE ELECTION UNDER SECTION 83(b) OF THE CODE.</w:t>
      </w:r>
    </w:p>
    <w:p>
      <w:pPr>
        <w:spacing w:after="0" w:line="158" w:lineRule="exact"/>
        <w:rPr>
          <w:sz w:val="20"/>
          <w:szCs w:val="20"/>
          <w:color w:val="auto"/>
        </w:rPr>
      </w:pPr>
    </w:p>
    <w:p>
      <w:pPr>
        <w:jc w:val="both"/>
        <w:ind w:firstLine="8"/>
        <w:spacing w:after="0" w:line="248" w:lineRule="auto"/>
        <w:tabs>
          <w:tab w:leader="none" w:pos="45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 with the Plan. The grant of the shares of Restricted Stock is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Common Stock, (c) changes in capitalization of the Company and (d) other requirements of applicable law. The Committee may amend the terms of this Agreement to the extent permitted by the Plan. The Committee shall have the authority to interpret and construe this Agreement pursuant to the terms of the Plan, and its decisions shall be conclusive as to any questions arising hereunder.</w:t>
      </w:r>
    </w:p>
    <w:p>
      <w:pPr>
        <w:spacing w:after="0" w:line="198" w:lineRule="exact"/>
        <w:rPr>
          <w:rFonts w:ascii="Times New Roman" w:cs="Times New Roman" w:eastAsia="Times New Roman" w:hAnsi="Times New Roman"/>
          <w:sz w:val="22"/>
          <w:szCs w:val="22"/>
          <w:color w:val="auto"/>
        </w:rPr>
      </w:pPr>
    </w:p>
    <w:p>
      <w:pPr>
        <w:jc w:val="both"/>
        <w:ind w:firstLine="8"/>
        <w:spacing w:after="0" w:line="252" w:lineRule="auto"/>
        <w:tabs>
          <w:tab w:leader="none" w:pos="40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shares of Restricted Stock shall not confer upon the Participant any right to be retained by or in the employ or service of the Employer and shall not interfere in any way with the right of the Employer to terminate the Participant’s employment or service at any time. The right of the Employer to terminate at will the Participant’s employment or service at any time for any reason is specifically reserved.</w:t>
      </w:r>
    </w:p>
    <w:p>
      <w:pPr>
        <w:spacing w:after="0" w:line="179" w:lineRule="exact"/>
        <w:rPr>
          <w:rFonts w:ascii="Times New Roman" w:cs="Times New Roman" w:eastAsia="Times New Roman" w:hAnsi="Times New Roman"/>
          <w:sz w:val="22"/>
          <w:szCs w:val="22"/>
          <w:color w:val="auto"/>
        </w:rPr>
      </w:pPr>
    </w:p>
    <w:p>
      <w:pPr>
        <w:jc w:val="both"/>
        <w:ind w:firstLine="8"/>
        <w:spacing w:after="0" w:line="250" w:lineRule="auto"/>
        <w:tabs>
          <w:tab w:leader="none" w:pos="3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during the period before the shares of Restricted Stock vest in accordance with Section 2 (the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non-vested shares of Restricted Stock may not be sold, assigned, encumbered or otherwise transferred except, in the event of the death of the Participant, by will or by the laws of descent and distribution. Any attempt by the Participant to alienate, assign, pledge, hypothecate, or otherwise dispose of the shares of Restricted Stock contrary to the provisions hereof, and the levy of any execution, attachment or similar process upon the shares of Restricted Stock, shall be null, void and without effect. The rights and protections of the Company hereunder shall extend to any successors or assigns of the Company and to the Company’s parents, subsidiaries, and affiliates. This Agreement may be assigned by the Company without the Participant’s consent. As used in this Agreement, “Company” shall mean the Company and any successor to its business and/or assets.</w:t>
      </w:r>
    </w:p>
    <w:p>
      <w:pPr>
        <w:spacing w:after="0" w:line="179" w:lineRule="exact"/>
        <w:rPr>
          <w:rFonts w:ascii="Times New Roman" w:cs="Times New Roman" w:eastAsia="Times New Roman" w:hAnsi="Times New Roman"/>
          <w:sz w:val="22"/>
          <w:szCs w:val="22"/>
          <w:color w:val="auto"/>
        </w:rPr>
      </w:pPr>
    </w:p>
    <w:p>
      <w:pPr>
        <w:ind w:firstLine="8"/>
        <w:spacing w:after="0" w:line="271" w:lineRule="auto"/>
        <w:tabs>
          <w:tab w:leader="none" w:pos="3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w:t>
      </w:r>
    </w:p>
    <w:p>
      <w:pPr>
        <w:spacing w:after="0" w:line="157" w:lineRule="exact"/>
        <w:rPr>
          <w:rFonts w:ascii="Times New Roman" w:cs="Times New Roman" w:eastAsia="Times New Roman" w:hAnsi="Times New Roman"/>
          <w:sz w:val="22"/>
          <w:szCs w:val="22"/>
          <w:color w:val="auto"/>
        </w:rPr>
      </w:pPr>
    </w:p>
    <w:p>
      <w:pPr>
        <w:ind w:firstLine="8"/>
        <w:spacing w:after="0" w:line="284" w:lineRule="auto"/>
        <w:tabs>
          <w:tab w:leader="none" w:pos="49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in writing addressed to the Company in care of the General Counsel at the corporate headquarters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53" w:lineRule="auto"/>
        <w:rPr>
          <w:sz w:val="20"/>
          <w:szCs w:val="20"/>
          <w:color w:val="auto"/>
        </w:rPr>
      </w:pPr>
      <w:r>
        <w:rPr>
          <w:rFonts w:ascii="Times New Roman" w:cs="Times New Roman" w:eastAsia="Times New Roman" w:hAnsi="Times New Roman"/>
          <w:sz w:val="22"/>
          <w:szCs w:val="22"/>
          <w:color w:val="auto"/>
        </w:rPr>
        <w:t>Company, and any notice to the Participant shall be addressed to such Participant at the current address shown on the personnel records of the Company, or to such other address as the Participant may designate to the Company in writing. Any notice shall be delivered by hand or enclosed in a properly sealed envelope addressed as stated above, registered and deposited, postage prepaid, in a post office regularly maintained by the United States Postal Service or nationally recognized courier service. Each notice will be deemed given and effective upon actual receipt (or refusal of receipt).</w:t>
      </w:r>
    </w:p>
    <w:p>
      <w:pPr>
        <w:spacing w:after="0" w:line="179" w:lineRule="exact"/>
        <w:rPr>
          <w:sz w:val="20"/>
          <w:szCs w:val="20"/>
          <w:color w:val="auto"/>
        </w:rPr>
      </w:pPr>
    </w:p>
    <w:p>
      <w:pPr>
        <w:jc w:val="both"/>
        <w:ind w:firstLine="8"/>
        <w:spacing w:after="0" w:line="248" w:lineRule="auto"/>
        <w:tabs>
          <w:tab w:leader="none" w:pos="53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Company Policies</w:t>
      </w:r>
      <w:r>
        <w:rPr>
          <w:rFonts w:ascii="Times New Roman" w:cs="Times New Roman" w:eastAsia="Times New Roman" w:hAnsi="Times New Roman"/>
          <w:sz w:val="22"/>
          <w:szCs w:val="22"/>
          <w:color w:val="auto"/>
        </w:rPr>
        <w:t>. The Participant agrees that the shares of Restricted Stock shall be subject to all applicable clawback or recoupment policies, share trading policies and other policies that may be implemented by the Board or imposed under applicable rule or regulation from time to time, including but not limited to the Cross Country Healthcare, Inc. Compensation Recoupment Policy. To the extent permitted by applicable law, the shares of Restricted Stock subject to this Agreement are subject to offset in the event that the Participant has an outstanding clawback, recoupment or forfeiture obligation to the Company under the terms of an applicable clawback or recoupment policy. In the event of a clawback, recoupment or forfeiture event under an applicable clawback or recoupment policy, the amount required to be clawed back, recouped or forfeited pursuant to such policy, shall be deemed not to have been earned under the terms of the Plan, and the Company is entitled to recover from the Participant the amount specified under the applicable policy to be clawed back, recouped, or forfeited (which amount, as applicable, shall be deemed an advance that remained subject to the Participant satisfying all eligibility conditions for earning the shares of Restricted Stock).</w:t>
      </w:r>
    </w:p>
    <w:p>
      <w:pPr>
        <w:spacing w:after="0" w:line="188" w:lineRule="exact"/>
        <w:rPr>
          <w:rFonts w:ascii="Times New Roman" w:cs="Times New Roman" w:eastAsia="Times New Roman" w:hAnsi="Times New Roman"/>
          <w:sz w:val="22"/>
          <w:szCs w:val="22"/>
          <w:color w:val="auto"/>
        </w:rPr>
      </w:pPr>
    </w:p>
    <w:p>
      <w:pPr>
        <w:ind w:right="20" w:firstLine="8"/>
        <w:spacing w:after="0" w:line="249" w:lineRule="auto"/>
        <w:tabs>
          <w:tab w:leader="none" w:pos="48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award of shares of Restricted Stock is intended to be exempt from the applicable requirements of Section 409A of the Code. Notwithstanding anything in the Plan or this Agreement to the contrary, the Participant shall be solely responsible for the tax consequences of this Agreement and the grant of Restricted Stock, and in no event shall the Company or any Subsidiary or Affiliate of the Company have any responsibility or liability if this Agreement or the grant of Restricted Stock does not meet any applicable requirements of Section 409A of the Code. Although the Company intends to administer this Agreement and the grant of Restricted Stock to prevent taxation under Section 409A of the Code, the Company does not represent or warrant that this Agreement or the grant of Restricted Stock complies with any provision of federal, state, local or other tax law.</w:t>
      </w:r>
    </w:p>
    <w:p>
      <w:pPr>
        <w:spacing w:after="0" w:line="195"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19" w:lineRule="exact"/>
        <w:rPr>
          <w:rFonts w:ascii="Times New Roman" w:cs="Times New Roman" w:eastAsia="Times New Roman" w:hAnsi="Times New Roman"/>
          <w:sz w:val="22"/>
          <w:szCs w:val="22"/>
          <w:color w:val="auto"/>
        </w:rPr>
      </w:pPr>
    </w:p>
    <w:p>
      <w:pPr>
        <w:ind w:right="600" w:firstLine="1304"/>
        <w:spacing w:after="0" w:line="271" w:lineRule="auto"/>
        <w:tabs>
          <w:tab w:leader="none" w:pos="175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and returning this Agreement, the Participant agrees to comply with this Agreement and all applicable laws and regulations.</w:t>
      </w:r>
    </w:p>
    <w:p>
      <w:pPr>
        <w:spacing w:after="0" w:line="157" w:lineRule="exact"/>
        <w:rPr>
          <w:rFonts w:ascii="Times New Roman" w:cs="Times New Roman" w:eastAsia="Times New Roman" w:hAnsi="Times New Roman"/>
          <w:sz w:val="22"/>
          <w:szCs w:val="22"/>
          <w:color w:val="auto"/>
        </w:rPr>
      </w:pPr>
    </w:p>
    <w:p>
      <w:pPr>
        <w:ind w:right="80" w:firstLine="1304"/>
        <w:spacing w:after="0" w:line="271" w:lineRule="auto"/>
        <w:tabs>
          <w:tab w:leader="none" w:pos="17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contains the entire understanding of the parties with respect to the subject matter hereof and supersedes any prior agreements between the Company and the Participant with respect to the subject matter hereof.</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01" w:name="page102"/>
    <w:bookmarkEnd w:id="101"/>
    <w:p>
      <w:pPr>
        <w:spacing w:after="0" w:line="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Agreement shall not be construed as a waiver of any continuing or succeeding breach of such provision, a waiver of the provision itself, or a waiver of any right under this Agreement.</w:t>
      </w:r>
    </w:p>
    <w:p>
      <w:pPr>
        <w:spacing w:after="0" w:line="158" w:lineRule="exact"/>
        <w:rPr>
          <w:sz w:val="20"/>
          <w:szCs w:val="20"/>
          <w:color w:val="auto"/>
        </w:rPr>
      </w:pPr>
    </w:p>
    <w:p>
      <w:pPr>
        <w:ind w:right="80" w:firstLine="1304"/>
        <w:spacing w:after="0" w:line="257" w:lineRule="auto"/>
        <w:tabs>
          <w:tab w:leader="none" w:pos="176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Agreement shall be held invalid or unenforceable, such invalidity or unenforceability shall not affect any other provisions hereof, and this Agreement shall be construed and enforced as if such provisions had not been included.</w:t>
      </w:r>
    </w:p>
    <w:p>
      <w:pPr>
        <w:spacing w:after="0" w:line="186" w:lineRule="exact"/>
        <w:rPr>
          <w:rFonts w:ascii="Times New Roman" w:cs="Times New Roman" w:eastAsia="Times New Roman" w:hAnsi="Times New Roman"/>
          <w:sz w:val="22"/>
          <w:szCs w:val="22"/>
          <w:color w:val="auto"/>
        </w:rPr>
      </w:pPr>
    </w:p>
    <w:p>
      <w:pPr>
        <w:ind w:right="240" w:firstLine="1304"/>
        <w:spacing w:after="0" w:line="271" w:lineRule="auto"/>
        <w:tabs>
          <w:tab w:leader="none" w:pos="17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headings used in this Agreement are included solely for convenience and shall not affect, or be used in connection with, the interpretation of this Agreement.</w:t>
      </w:r>
    </w:p>
    <w:p>
      <w:pPr>
        <w:spacing w:after="0" w:line="157" w:lineRule="exact"/>
        <w:rPr>
          <w:rFonts w:ascii="Times New Roman" w:cs="Times New Roman" w:eastAsia="Times New Roman" w:hAnsi="Times New Roman"/>
          <w:sz w:val="22"/>
          <w:szCs w:val="22"/>
          <w:color w:val="auto"/>
        </w:rPr>
      </w:pPr>
    </w:p>
    <w:p>
      <w:pPr>
        <w:ind w:firstLine="1304"/>
        <w:spacing w:after="0" w:line="257" w:lineRule="auto"/>
        <w:tabs>
          <w:tab w:leader="none" w:pos="17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(including by facsimile transmission) with counterpart signature pages or in separate counterparts each of which shall be an original and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2" w:name="page103"/>
    <w:bookmarkEnd w:id="102"/>
    <w:p>
      <w:pPr>
        <w:jc w:val="both"/>
        <w:ind w:right="20" w:firstLine="21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1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CROSS COUNTRY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739775</wp:posOffset>
            </wp:positionV>
            <wp:extent cx="822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electronic acceptance, Participant hereby accepts the grant of Restricted Stock described in this Agreement and agrees to be bound by the terms of the Plan and this Agreement. The Participant hereby further agrees that all of the decisions and determinations of the Committee with respect to the Restricted Stock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OMNIBUS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AGREEMENT</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PERFORMANCE STOCK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[____________],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delivered by CROSS COUNTRY HEALTHCARE,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Cross Country Healthcare, Inc. 2024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provides for the grant of restricted stock units with respect to Common Stock. The Committee has decided to make this restricted stock unit grant with specific performance criteria as an inducement for the Participant to promote the best interests of the Company and its stockholders. This Agreement is made pursuant to the Plan and is subject in its entirety to all applicable provisions of the Plan. Capitalized terms used herein and not otherwise defined will have the meanings set forth in the Plan.</w:t>
      </w:r>
    </w:p>
    <w:p>
      <w:pPr>
        <w:spacing w:after="0" w:line="179" w:lineRule="exact"/>
        <w:rPr>
          <w:sz w:val="20"/>
          <w:szCs w:val="20"/>
          <w:color w:val="auto"/>
        </w:rPr>
      </w:pPr>
    </w:p>
    <w:p>
      <w:pPr>
        <w:jc w:val="both"/>
        <w:ind w:firstLine="8"/>
        <w:spacing w:after="0" w:line="251" w:lineRule="auto"/>
        <w:tabs>
          <w:tab w:leader="none" w:pos="3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PSAs</w:t>
      </w:r>
      <w:r>
        <w:rPr>
          <w:rFonts w:ascii="Times New Roman" w:cs="Times New Roman" w:eastAsia="Times New Roman" w:hAnsi="Times New Roman"/>
          <w:sz w:val="22"/>
          <w:szCs w:val="22"/>
          <w:color w:val="auto"/>
        </w:rPr>
        <w:t>. Subject to the terms and conditions set forth in this Agreement and in the Plan, the Company has granted the Participant performance restricted stock units (the “</w:t>
      </w:r>
      <w:r>
        <w:rPr>
          <w:rFonts w:ascii="Times New Roman" w:cs="Times New Roman" w:eastAsia="Times New Roman" w:hAnsi="Times New Roman"/>
          <w:sz w:val="22"/>
          <w:szCs w:val="22"/>
          <w:u w:val="single" w:color="auto"/>
          <w:color w:val="auto"/>
        </w:rPr>
        <w:t>PSAs</w:t>
      </w:r>
      <w:r>
        <w:rPr>
          <w:rFonts w:ascii="Times New Roman" w:cs="Times New Roman" w:eastAsia="Times New Roman" w:hAnsi="Times New Roman"/>
          <w:sz w:val="22"/>
          <w:szCs w:val="22"/>
          <w:color w:val="auto"/>
        </w:rPr>
        <w:t>”) with respect to a target number of shares of Common Stock equal to [_____] (the “</w:t>
      </w:r>
      <w:r>
        <w:rPr>
          <w:rFonts w:ascii="Times New Roman" w:cs="Times New Roman" w:eastAsia="Times New Roman" w:hAnsi="Times New Roman"/>
          <w:sz w:val="22"/>
          <w:szCs w:val="22"/>
          <w:u w:val="single" w:color="auto"/>
          <w:color w:val="auto"/>
        </w:rPr>
        <w:t>Target Shares</w:t>
      </w:r>
      <w:r>
        <w:rPr>
          <w:rFonts w:ascii="Times New Roman" w:cs="Times New Roman" w:eastAsia="Times New Roman" w:hAnsi="Times New Roman"/>
          <w:sz w:val="22"/>
          <w:szCs w:val="22"/>
          <w:color w:val="auto"/>
        </w:rPr>
        <w:t xml:space="preserve">”). The number of Target Shares shall be used to calculate the actual number of shares of Common Stock to be issued to the Participant hereto on the applicable payment date set forth in Section 5 below based on the actual level of attainment of the Performance Goals (as defined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satisfaction of the terms and conditions of this Agreement and the Plan (the “</w:t>
      </w:r>
      <w:r>
        <w:rPr>
          <w:rFonts w:ascii="Times New Roman" w:cs="Times New Roman" w:eastAsia="Times New Roman" w:hAnsi="Times New Roman"/>
          <w:sz w:val="22"/>
          <w:szCs w:val="22"/>
          <w:u w:val="single" w:color="auto"/>
          <w:color w:val="auto"/>
        </w:rPr>
        <w:t>Adjusted Shares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8"/>
        <w:spacing w:after="0" w:line="251" w:lineRule="auto"/>
        <w:tabs>
          <w:tab w:leader="none" w:pos="47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PSA Account</w:t>
      </w:r>
      <w:r>
        <w:rPr>
          <w:rFonts w:ascii="Times New Roman" w:cs="Times New Roman" w:eastAsia="Times New Roman" w:hAnsi="Times New Roman"/>
          <w:sz w:val="22"/>
          <w:szCs w:val="22"/>
          <w:color w:val="auto"/>
        </w:rPr>
        <w:t>. The PSAs represent hypothetical shares of Common Stock, and not actual shares of Common Stock. The Company shall establish and maintain a PSA account, as a bookkeeping account on its records, for the Participant and shall record in such account the number of PSAs granted to the Participant. No shares of Common Stock shall be issued to the Participant at the time the grant is made, and the Participant shall not be, and shall not have any of the rights or privileges of, a stockholder of the Company with respect to any PSAs recorded in the PSA account. The Participant shall not have any interest in any fund or specific assets of the Company by reason of this award or the PSA account established for the Participant.</w:t>
      </w:r>
    </w:p>
    <w:p>
      <w:pPr>
        <w:spacing w:after="0" w:line="18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48" w:lineRule="auto"/>
        <w:tabs>
          <w:tab w:leader="none" w:pos="119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Participant continues to be employed by, or provide service to, the Employer from the Date of Grant until [__________]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the Participant shall become vested in a number of Adjusted Shares, if any, based upon the level of achievement of the Performance Goals with respect to the performance period beginning on [__________] and ending on [__________]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as determined by the Committee in accordance with this Section 3(a). The Committee shall determine the level of achievement of the Performance Goals in [______]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following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146934840.6</w:t>
      </w:r>
    </w:p>
    <w:p>
      <w:pPr>
        <w:sectPr>
          <w:pgSz w:w="11900" w:h="16838" w:orient="portrait"/>
          <w:cols w:equalWidth="0" w:num="1">
            <w:col w:w="11240"/>
          </w:cols>
          <w:pgMar w:left="320" w:top="347" w:right="339" w:bottom="1440" w:gutter="0" w:footer="0" w:header="0"/>
        </w:sectPr>
      </w:pPr>
    </w:p>
    <w:bookmarkStart w:id="104" w:name="page105"/>
    <w:bookmarkEnd w:id="104"/>
    <w:p>
      <w:pPr>
        <w:ind w:right="20"/>
        <w:spacing w:after="0" w:line="271" w:lineRule="auto"/>
        <w:rPr>
          <w:sz w:val="20"/>
          <w:szCs w:val="20"/>
          <w:color w:val="auto"/>
        </w:rPr>
      </w:pPr>
      <w:r>
        <w:rPr>
          <w:rFonts w:ascii="Times New Roman" w:cs="Times New Roman" w:eastAsia="Times New Roman" w:hAnsi="Times New Roman"/>
          <w:sz w:val="22"/>
          <w:szCs w:val="22"/>
          <w:color w:val="auto"/>
        </w:rPr>
        <w:t>Performance Period (such date of determination,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and, subject to Sections 5(b) and 13 below, the Company shall issue to the Participant the applicable number of shares of Common Stock in accordance with Section 5(a).</w:t>
      </w:r>
    </w:p>
    <w:p>
      <w:pPr>
        <w:spacing w:after="0" w:line="158" w:lineRule="exact"/>
        <w:rPr>
          <w:sz w:val="20"/>
          <w:szCs w:val="20"/>
          <w:color w:val="auto"/>
        </w:rPr>
      </w:pPr>
    </w:p>
    <w:p>
      <w:pPr>
        <w:jc w:val="both"/>
        <w:ind w:firstLine="656"/>
        <w:spacing w:after="0" w:line="260" w:lineRule="auto"/>
        <w:tabs>
          <w:tab w:leader="none" w:pos="1137"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the Plan applicable to a Change in Control shall apply to the PSAs, and, in the event of a Change in Control, the Committee may take such actions with respect to the vesting of the PSAs as it deems appropriate pursuant to the Plan. In the event of a Change in Control before the Vesting Date, the Participant shall become vested on the Vesting Date in a number of shares of Common Stock equal to the greater of (i) the Adjusted Shares determined based on the actual level of attainment of the Performance Goals as of the date of the Change in Control, as determined by the Committee in its discretion, and (ii) the Target Shares (the “</w:t>
      </w:r>
      <w:r>
        <w:rPr>
          <w:rFonts w:ascii="Times New Roman" w:cs="Times New Roman" w:eastAsia="Times New Roman" w:hAnsi="Times New Roman"/>
          <w:sz w:val="21"/>
          <w:szCs w:val="21"/>
          <w:u w:val="single" w:color="auto"/>
          <w:color w:val="auto"/>
        </w:rPr>
        <w:t>CIC Shares</w:t>
      </w:r>
      <w:r>
        <w:rPr>
          <w:rFonts w:ascii="Times New Roman" w:cs="Times New Roman" w:eastAsia="Times New Roman" w:hAnsi="Times New Roman"/>
          <w:sz w:val="21"/>
          <w:szCs w:val="21"/>
          <w:color w:val="auto"/>
        </w:rPr>
        <w:t>”); provided that, except as set forth below in this Section 3(b) or in Section 3(c) below, the Participant continues to be employed by, or provide service to, the Employer from the Date of Grant until the Vesting Date. In the event the Participant’s employment or service is terminated by the Employer on account of an Involuntary Termination (as defined below) upon or within 18 months following the Change in Control, the Participant will become vested in the CIC Shares upon the date of the Participant’s Involuntary Termination. For purposes of this Agreement, the term “</w:t>
      </w:r>
      <w:r>
        <w:rPr>
          <w:rFonts w:ascii="Times New Roman" w:cs="Times New Roman" w:eastAsia="Times New Roman" w:hAnsi="Times New Roman"/>
          <w:sz w:val="21"/>
          <w:szCs w:val="21"/>
          <w:u w:val="single" w:color="auto"/>
          <w:color w:val="auto"/>
        </w:rPr>
        <w:t>Involuntary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shall mean the Participant’s termination of employment or service with the Employer on account of a termination by the Employer without Cause, other than on account of death or Disability. If the Participant and the Employer are parties to an executive severance agreement, employment agreement or offer letter, or the Participant is eligible for severance benefits under the Company’s Executive Severance Plan, in each case that provides for severance on account of a termination for Good Reason, a termination by the Participant for Good Reason shall be deemed to be an Involuntary Termination.</w:t>
      </w:r>
    </w:p>
    <w:p>
      <w:pPr>
        <w:spacing w:after="0" w:line="179" w:lineRule="exact"/>
        <w:rPr>
          <w:rFonts w:ascii="Times New Roman" w:cs="Times New Roman" w:eastAsia="Times New Roman" w:hAnsi="Times New Roman"/>
          <w:sz w:val="21"/>
          <w:szCs w:val="21"/>
          <w:color w:val="auto"/>
        </w:rPr>
      </w:pPr>
    </w:p>
    <w:p>
      <w:pPr>
        <w:jc w:val="both"/>
        <w:ind w:firstLine="656"/>
        <w:spacing w:after="0" w:line="251" w:lineRule="auto"/>
        <w:tabs>
          <w:tab w:leader="none" w:pos="125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 ceases to be employed by, or provide service to, the Employer as a result of the Participant’s death before the Vesting Date and provided that a Change in Control has not occurred, the Participant shall become vested as of the date of the Participant’s death in a number of PSAs equal to the Target Shares. If the Participant ceases to be employed by, or provide service to, the Employer as a result of the Participant’s death before the Vesting Date and after the date of the Change in Control, the Participant shall be become vested as of the date of the Participant’s death in a number of PSAs equal to the CIC Shares.</w:t>
      </w:r>
    </w:p>
    <w:p>
      <w:pPr>
        <w:spacing w:after="0" w:line="18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PSAs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48" w:lineRule="auto"/>
        <w:tabs>
          <w:tab w:leader="none" w:pos="117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Sections 3(b) and 3(c) above or except as otherwise provided in the Participant’s executive severance agreement, employment agreement or offer letter, or the Company’s Executive Severance Plan, to the extent applicable, if the Participant ceases to be employed by, or provide service to, the Employer for any reason before the Vesting Date, the PSAs that are not then vested shall automatically terminate and be immediately forfeited as of the date of the Participant’s termination of employment or service. No payment shall be made with respect to any unvested PSAs that terminate as described in this Section 4.</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in the event that the Participant engages in Cause (including, without limitation, the Participant’s breach of any written non-competition, non-solicitation, invention assignment or confidentiality agreement between the Participant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5" w:name="page106"/>
    <w:bookmarkEnd w:id="105"/>
    <w:p>
      <w:pPr>
        <w:jc w:val="both"/>
        <w:spacing w:after="0" w:line="251" w:lineRule="auto"/>
        <w:rPr>
          <w:sz w:val="20"/>
          <w:szCs w:val="20"/>
          <w:color w:val="auto"/>
        </w:rPr>
      </w:pPr>
      <w:r>
        <w:rPr>
          <w:rFonts w:ascii="Times New Roman" w:cs="Times New Roman" w:eastAsia="Times New Roman" w:hAnsi="Times New Roman"/>
          <w:sz w:val="22"/>
          <w:szCs w:val="22"/>
          <w:color w:val="auto"/>
        </w:rPr>
        <w:t>Company or a Subsidiary) prior to, or during the one-year period after, any vesting of PSAs, the Committee may direct that all unvested or vested but not yet settled PSAs shall automatically terminate and be immediately forfeited, that any shares of Common Stock held by the Participant that had previously been delivered to the Participant under this Agreement following vesting and payment shall be immediately returned to the Company, and that the Participant shall pay over to the Company an amount equal to the Fair Market Value at the time of payment of any shares of Common Stock that had previously been delivered to the Participant under this Agreement following payment and had been disposed of by the Participant.</w:t>
      </w:r>
    </w:p>
    <w:p>
      <w:pPr>
        <w:spacing w:after="0" w:line="181"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and Tax Withholding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when the PSAs vest in accordance with Section 3(a), subject to Sections 5(b) and 13 below, the Company shall issue to the Participant a number of shares of Common Stock equal to the Adjusted Shares, if any, within 30 days following the Determination Date, but no later than the Vesting Date. If the PSAs become vested as a result of an Involuntary Termination upon or within 18 months following a Change in Control, the Company shall issue to the Participant a number of shares of Common Stock equal to the CIC Shares, within 30 days following the date of the Participant’s Involuntary Termination. If the PSAs become vested as a result of the Participant’s death, the Company shall issue to the Participant a number of shares of Common Stock equal to the Target Shares (or, if a Change in Control has occurred, the CIC Shares) within 60 days following the date of the Participant’s death.</w:t>
      </w:r>
    </w:p>
    <w:p>
      <w:pPr>
        <w:spacing w:after="0" w:line="186" w:lineRule="exact"/>
        <w:rPr>
          <w:rFonts w:ascii="Times New Roman" w:cs="Times New Roman" w:eastAsia="Times New Roman" w:hAnsi="Times New Roman"/>
          <w:sz w:val="22"/>
          <w:szCs w:val="22"/>
          <w:color w:val="auto"/>
        </w:rPr>
      </w:pPr>
    </w:p>
    <w:p>
      <w:pPr>
        <w:jc w:val="both"/>
        <w:ind w:firstLine="656"/>
        <w:spacing w:after="0" w:line="262" w:lineRule="auto"/>
        <w:tabs>
          <w:tab w:leader="none" w:pos="115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under this Agreement shall be subject to the rights of the Employer as set forth in the Plan to withhold amounts required to be withheld for any taxes, if applicable. At such time as the Committee may determine in its discretion under the Plan, at the time of payment in accordance with Section 5(a) above, or if applicable, at the time the PSAs vest, the number of shares issued to the Participant shall be reduced by a number of shares of Common Stock with a Fair Market Value equal to an amount of the FICA, federal income, state, local and other tax liabilities required by law to be withheld with respect to the payment of the PSAs. To the extent not withheld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PSAs.</w:t>
      </w:r>
    </w:p>
    <w:p>
      <w:pPr>
        <w:spacing w:after="0" w:line="172" w:lineRule="exact"/>
        <w:rPr>
          <w:rFonts w:ascii="Times New Roman" w:cs="Times New Roman" w:eastAsia="Times New Roman" w:hAnsi="Times New Roman"/>
          <w:sz w:val="21"/>
          <w:szCs w:val="21"/>
          <w:color w:val="auto"/>
        </w:rPr>
      </w:pPr>
    </w:p>
    <w:p>
      <w:pPr>
        <w:jc w:val="both"/>
        <w:ind w:firstLine="656"/>
        <w:spacing w:after="0" w:line="263" w:lineRule="auto"/>
        <w:tabs>
          <w:tab w:leader="none" w:pos="110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of the Company to deliver Common Stock shall also be subject to the condition that if at any time the Committee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Committee. The issuance of shares, if any, to the Participant pursuant to this Agreement is subject to any applicable taxes and other laws or regulations of the United States or of any state, municipality or other country having jurisdiction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6" w:name="page107"/>
    <w:bookmarkEnd w:id="106"/>
    <w:p>
      <w:pPr>
        <w:jc w:val="both"/>
        <w:ind w:firstLine="8"/>
        <w:spacing w:after="0" w:line="253" w:lineRule="auto"/>
        <w:tabs>
          <w:tab w:leader="none" w:pos="4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Stockholder Rights</w:t>
      </w:r>
      <w:r>
        <w:rPr>
          <w:rFonts w:ascii="Times New Roman" w:cs="Times New Roman" w:eastAsia="Times New Roman" w:hAnsi="Times New Roman"/>
          <w:sz w:val="22"/>
          <w:szCs w:val="22"/>
          <w:color w:val="auto"/>
        </w:rPr>
        <w:t>. Neither the Participant, nor any person entitled to receive payment in the event of the Participant’s death, shall have any of the rights and privileges of a stockholder with respect to shares of Common Stock, including voting or dividend rights, until the Company has recorded in its books and records the number of shares that have been issued upon payment of the PSAs, or certificates for such shares have been issued upon payment of PSAs, if applicable. The Participant acknowledges that no election under Section 83(b) of the Code is available with respect to PSAs.</w:t>
      </w:r>
    </w:p>
    <w:p>
      <w:pPr>
        <w:spacing w:after="0" w:line="178" w:lineRule="exact"/>
        <w:rPr>
          <w:rFonts w:ascii="Times New Roman" w:cs="Times New Roman" w:eastAsia="Times New Roman" w:hAnsi="Times New Roman"/>
          <w:sz w:val="22"/>
          <w:szCs w:val="22"/>
          <w:color w:val="auto"/>
        </w:rPr>
      </w:pPr>
    </w:p>
    <w:p>
      <w:pPr>
        <w:jc w:val="both"/>
        <w:ind w:firstLine="8"/>
        <w:spacing w:after="0" w:line="262" w:lineRule="auto"/>
        <w:tabs>
          <w:tab w:leader="none" w:pos="45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Subject to Plan Provisions</w:t>
      </w:r>
      <w:r>
        <w:rPr>
          <w:rFonts w:ascii="Times New Roman" w:cs="Times New Roman" w:eastAsia="Times New Roman" w:hAnsi="Times New Roman"/>
          <w:sz w:val="21"/>
          <w:szCs w:val="21"/>
          <w:color w:val="auto"/>
        </w:rPr>
        <w:t>. This grant is made pursuant to the Plan, the terms of which are incorporated herein by reference, and in all respects shall be interpreted in accordance with the Plan. The grant and payment of the PSAs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Common Stock, (c) changes in capitalization of the Company and (d) other requirements of applicable law. The Committee may amend the terms of this Agreement to the extent permitted by the Plan. The Committee shall have the authority to interpret and construe this Agreement pursuant to the terms of the Plan, and its decisions shall be conclusive as to any questions arising hereunder.</w:t>
      </w:r>
    </w:p>
    <w:p>
      <w:pPr>
        <w:spacing w:after="0" w:line="172" w:lineRule="exact"/>
        <w:rPr>
          <w:rFonts w:ascii="Times New Roman" w:cs="Times New Roman" w:eastAsia="Times New Roman" w:hAnsi="Times New Roman"/>
          <w:sz w:val="21"/>
          <w:szCs w:val="21"/>
          <w:color w:val="auto"/>
        </w:rPr>
      </w:pPr>
    </w:p>
    <w:p>
      <w:pPr>
        <w:jc w:val="both"/>
        <w:ind w:firstLine="8"/>
        <w:spacing w:after="0" w:line="256" w:lineRule="auto"/>
        <w:tabs>
          <w:tab w:leader="none" w:pos="37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PSAs shall not confer upon the Participant any right to be retained by or in the employ or service of the Employer and shall not interfere in any way with the right of the Employer to terminate the Participant’s employment or service at any time. The right of the Employer to terminate at will the Participant’s employment or service at any time for any reason is specifically reserved.</w:t>
      </w:r>
    </w:p>
    <w:p>
      <w:pPr>
        <w:spacing w:after="0" w:line="176" w:lineRule="exact"/>
        <w:rPr>
          <w:rFonts w:ascii="Times New Roman" w:cs="Times New Roman" w:eastAsia="Times New Roman" w:hAnsi="Times New Roman"/>
          <w:sz w:val="22"/>
          <w:szCs w:val="22"/>
          <w:color w:val="auto"/>
        </w:rPr>
      </w:pPr>
    </w:p>
    <w:p>
      <w:pPr>
        <w:jc w:val="both"/>
        <w:ind w:firstLine="8"/>
        <w:spacing w:after="0" w:line="250" w:lineRule="auto"/>
        <w:tabs>
          <w:tab w:leader="none" w:pos="4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Any attempt by the Participant to alienate, assign, pledge, hypothecate, or otherwise dispose of the PSAs or any right hereunder contrary to the provisions hereof, and the levy of any execution, attachment or similar process upon the PSAs or any right hereunder, shall be null, void and without effect. The rights and protections of the Company hereunder shall extend to any successors or assigns of the Company and to the Company’s parents, subsidiaries, and affiliates. This Agreement may be assigned by the Company without the Participant’s consent. As used in this Agreement, “Company” shall mean the Company and any successor to its business and/or assets.</w:t>
      </w:r>
    </w:p>
    <w:p>
      <w:pPr>
        <w:spacing w:after="0" w:line="186" w:lineRule="exact"/>
        <w:rPr>
          <w:rFonts w:ascii="Times New Roman" w:cs="Times New Roman" w:eastAsia="Times New Roman" w:hAnsi="Times New Roman"/>
          <w:sz w:val="22"/>
          <w:szCs w:val="22"/>
          <w:color w:val="auto"/>
        </w:rPr>
      </w:pPr>
    </w:p>
    <w:p>
      <w:pPr>
        <w:ind w:firstLine="8"/>
        <w:spacing w:after="0" w:line="295" w:lineRule="auto"/>
        <w:tabs>
          <w:tab w:leader="none" w:pos="51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The validity, construction, interpretation and effect of this Agreement shall be governed by and construed in accordance with the laws of the State of Delaware, without giving effect to the conflicts of laws provisions thereof.</w:t>
      </w:r>
    </w:p>
    <w:p>
      <w:pPr>
        <w:spacing w:after="0" w:line="135" w:lineRule="exact"/>
        <w:rPr>
          <w:rFonts w:ascii="Times New Roman" w:cs="Times New Roman" w:eastAsia="Times New Roman" w:hAnsi="Times New Roman"/>
          <w:sz w:val="21"/>
          <w:szCs w:val="21"/>
          <w:color w:val="auto"/>
        </w:rPr>
      </w:pPr>
    </w:p>
    <w:p>
      <w:pPr>
        <w:jc w:val="both"/>
        <w:ind w:firstLine="8"/>
        <w:spacing w:after="0" w:line="257" w:lineRule="auto"/>
        <w:tabs>
          <w:tab w:leader="none" w:pos="49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in writing addressed to the Company in care of the General Counsel at the corporate headquarters of the Company, and any notice to the Participant shall be addressed to such Participant at the current address shown on the personnel records of the Company, or to such other address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22"/>
          <w:szCs w:val="22"/>
          <w:color w:val="auto"/>
        </w:rPr>
        <w:t>Participant may designate to the Company in writing. Any notice shall be delivered by hand or enclosed in a properly sealed envelope addressed as stated above, registered and deposited, postage prepaid, in a post office regularly maintained by the United States Postal Service or nationally recognized courier service. Each notice will be deemed given and effective upon actual receipt (or refusal of receipt).</w:t>
      </w:r>
    </w:p>
    <w:p>
      <w:pPr>
        <w:spacing w:after="0" w:line="176" w:lineRule="exact"/>
        <w:rPr>
          <w:sz w:val="20"/>
          <w:szCs w:val="20"/>
          <w:color w:val="auto"/>
        </w:rPr>
      </w:pPr>
    </w:p>
    <w:p>
      <w:pPr>
        <w:jc w:val="both"/>
        <w:ind w:firstLine="8"/>
        <w:spacing w:after="0" w:line="247" w:lineRule="auto"/>
        <w:tabs>
          <w:tab w:leader="none" w:pos="6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Company Policies</w:t>
      </w:r>
      <w:r>
        <w:rPr>
          <w:rFonts w:ascii="Times New Roman" w:cs="Times New Roman" w:eastAsia="Times New Roman" w:hAnsi="Times New Roman"/>
          <w:sz w:val="22"/>
          <w:szCs w:val="22"/>
          <w:color w:val="auto"/>
        </w:rPr>
        <w:t>. The Participant agrees that the PSAs shall be subject to all applicable clawback or recoupment policies, share trading policies and other policies that may be implemented by the Board or imposed under applicable rule or regulation from time to time, including but not limited to the Cross Country Healthcare, Inc. Compensation Recoupment Policy. To the extent permitted by applicable law, the PSAs subject to this Agreement are subject to offset in the event that the Participant has an outstanding clawback, recoupment or forfeiture obligation to the Company under the terms of an applicable clawback or recoupment policy. In the event of a clawback, recoupment or forfeiture event under an applicable clawback or recoupment policy, the amount required to be clawed back, recouped or forfeited pursuant to such policy, shall be deemed not to have been earned under the terms of the Plan, and the Company is entitled to recover from the Participant the amount specified under the applicable policy to be clawed back, recouped, or forfeited (which amount, as applicable, shall be deemed an advance that remained subject to the Participant satisfying all eligibility conditions for earning the PSAs).</w:t>
      </w:r>
    </w:p>
    <w:p>
      <w:pPr>
        <w:spacing w:after="0" w:line="204" w:lineRule="exact"/>
        <w:rPr>
          <w:rFonts w:ascii="Times New Roman" w:cs="Times New Roman" w:eastAsia="Times New Roman" w:hAnsi="Times New Roman"/>
          <w:sz w:val="22"/>
          <w:szCs w:val="22"/>
          <w:color w:val="auto"/>
        </w:rPr>
      </w:pPr>
    </w:p>
    <w:p>
      <w:pPr>
        <w:ind w:right="20" w:firstLine="8"/>
        <w:spacing w:after="0" w:line="247" w:lineRule="auto"/>
        <w:tabs>
          <w:tab w:leader="none" w:pos="4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is intended to be exempt from Section 409A of the Code under the “short-term deferral” exception. To the extent this Agreement is subject to Section 409A of the Code, it will in all respects be administered in accordance with Section 409A of the Code, including that payment of the PSAs shall occur six months following the Participant’s separation from service if the Participant is a “specified employee,” if required under Section 409A of the Code.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 any regulations or other guidance issued thereunder. Notwithstanding the previous sentence, the Company may also amend the Plan or this Agreement or revoke the PSAs to the extent permitted by the Plan. Notwithstanding anything in the Plan or this Agreement to the contrary, the Participant shall be solely responsible for the tax consequences of this Agreement and the grant of PSAs, and in no event shall the Company or any Subsidiary or Affiliate of the Company have any responsibility or liability if this Agreement or the grant of PSAs does not meet any applicable requirements of Section 409A of the Code. Although the Company intends to administer this Agreement and the grant of PSAs to prevent taxation under Section 409A of the Code, the Company does not represent or warrant that this Agreement or the grant of PSAs complies with any provision of federal, state, local or other tax law.</w:t>
      </w:r>
    </w:p>
    <w:p>
      <w:pPr>
        <w:spacing w:after="0" w:line="189"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08" w:name="page109"/>
    <w:bookmarkEnd w:id="108"/>
    <w:p>
      <w:pPr>
        <w:spacing w:after="0" w:line="77" w:lineRule="exact"/>
        <w:rPr>
          <w:sz w:val="20"/>
          <w:szCs w:val="20"/>
          <w:color w:val="auto"/>
        </w:rPr>
      </w:pPr>
    </w:p>
    <w:p>
      <w:pPr>
        <w:ind w:left="-20" w:right="600" w:firstLine="1304"/>
        <w:spacing w:after="0" w:line="271" w:lineRule="auto"/>
        <w:tabs>
          <w:tab w:leader="none" w:pos="173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and returning this Agreement, the Participant agrees to comply with this Agreement and all applicable laws and regulations.</w:t>
      </w:r>
    </w:p>
    <w:p>
      <w:pPr>
        <w:spacing w:after="0" w:line="157" w:lineRule="exact"/>
        <w:rPr>
          <w:rFonts w:ascii="Times New Roman" w:cs="Times New Roman" w:eastAsia="Times New Roman" w:hAnsi="Times New Roman"/>
          <w:sz w:val="22"/>
          <w:szCs w:val="22"/>
          <w:color w:val="auto"/>
        </w:rPr>
      </w:pPr>
    </w:p>
    <w:p>
      <w:pPr>
        <w:ind w:left="-20" w:right="80" w:firstLine="1304"/>
        <w:spacing w:after="0" w:line="271" w:lineRule="auto"/>
        <w:tabs>
          <w:tab w:leader="none" w:pos="17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contains the entire understanding of the parties with respect to the subject matter hereof and supersedes any prior agreements between the Company and the Participant with respect to the subject matter hereof.</w:t>
      </w:r>
    </w:p>
    <w:p>
      <w:pPr>
        <w:spacing w:after="0" w:line="157" w:lineRule="exact"/>
        <w:rPr>
          <w:rFonts w:ascii="Times New Roman" w:cs="Times New Roman" w:eastAsia="Times New Roman" w:hAnsi="Times New Roman"/>
          <w:sz w:val="22"/>
          <w:szCs w:val="22"/>
          <w:color w:val="auto"/>
        </w:rPr>
      </w:pPr>
    </w:p>
    <w:p>
      <w:pPr>
        <w:jc w:val="both"/>
        <w:ind w:left="-20" w:firstLine="1304"/>
        <w:spacing w:after="0" w:line="256" w:lineRule="auto"/>
        <w:tabs>
          <w:tab w:leader="none" w:pos="177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76" w:lineRule="exact"/>
        <w:rPr>
          <w:rFonts w:ascii="Times New Roman" w:cs="Times New Roman" w:eastAsia="Times New Roman" w:hAnsi="Times New Roman"/>
          <w:sz w:val="22"/>
          <w:szCs w:val="22"/>
          <w:color w:val="auto"/>
        </w:rPr>
      </w:pPr>
    </w:p>
    <w:p>
      <w:pPr>
        <w:ind w:left="-20" w:right="80" w:firstLine="1304"/>
        <w:spacing w:after="0" w:line="263" w:lineRule="auto"/>
        <w:tabs>
          <w:tab w:leader="none" w:pos="17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Agreement shall be held invalid or unenforceable, such invalidity or unenforceability shall not affect any other provisions hereof, and this Agreement shall be construed and enforced as if such provisions had not been included.</w:t>
      </w:r>
    </w:p>
    <w:p>
      <w:pPr>
        <w:spacing w:after="0" w:line="167" w:lineRule="exact"/>
        <w:rPr>
          <w:rFonts w:ascii="Times New Roman" w:cs="Times New Roman" w:eastAsia="Times New Roman" w:hAnsi="Times New Roman"/>
          <w:sz w:val="22"/>
          <w:szCs w:val="22"/>
          <w:color w:val="auto"/>
        </w:rPr>
      </w:pPr>
    </w:p>
    <w:p>
      <w:pPr>
        <w:ind w:left="-20" w:right="240" w:firstLine="1304"/>
        <w:spacing w:after="0" w:line="271" w:lineRule="auto"/>
        <w:tabs>
          <w:tab w:leader="none" w:pos="17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headings used in this Agreement are included solely for convenience and shall not affect, or be used in connection with, the interpretation of this Agreement.</w:t>
      </w:r>
    </w:p>
    <w:p>
      <w:pPr>
        <w:spacing w:after="0" w:line="157" w:lineRule="exact"/>
        <w:rPr>
          <w:rFonts w:ascii="Times New Roman" w:cs="Times New Roman" w:eastAsia="Times New Roman" w:hAnsi="Times New Roman"/>
          <w:sz w:val="22"/>
          <w:szCs w:val="22"/>
          <w:color w:val="auto"/>
        </w:rPr>
      </w:pPr>
    </w:p>
    <w:p>
      <w:pPr>
        <w:ind w:left="-20" w:firstLine="1304"/>
        <w:spacing w:after="0" w:line="257" w:lineRule="auto"/>
        <w:tabs>
          <w:tab w:leader="none" w:pos="170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(including by facsimile transmission) with counterpart signature pages or in separate counterparts each of which shall be an original and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40" w:right="339" w:bottom="1440" w:gutter="0" w:footer="0" w:header="0"/>
        </w:sectPr>
      </w:pPr>
    </w:p>
    <w:bookmarkStart w:id="109" w:name="page110"/>
    <w:bookmarkEnd w:id="109"/>
    <w:p>
      <w:pPr>
        <w:jc w:val="both"/>
        <w:ind w:right="20" w:firstLine="21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1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CROSS COUNTRY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739775</wp:posOffset>
            </wp:positionV>
            <wp:extent cx="8229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electronic acceptance, Participant hereby accepts the grant of PSAs described in this Agreement and agrees to be bound by the terms of the Plan and this Agreement. The Participant hereby further agrees that all of the decisions and determinations of the Committee with respect to the PSAs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Performance Goals</w:t>
      </w:r>
    </w:p>
    <w:p>
      <w:pPr>
        <w:spacing w:after="0" w:line="24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The performance metrics established for purposes of the Agreement will be based on the attainment of a specified level of [__________] over the Performance Period and a specified level of [__________] over the Performance Period, as reported by</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Company and as may be adjusted in accordance with the terms of this Agreement (the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The number of Adjusted Shares that the Participant earns, if any, will be determined by multiplying the Participant’s Target Shares by the applicable percentages set forth in the table below (as adjusted based on the weighting assigned to each metric), based on the level of the Performance Goals achieved. In no event may the maximum number of Adjusted Shares that may be payable pursuant to this Agreement exceed [_____] % of the Target Shares.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w:t>
      </w:r>
    </w:p>
    <w:p>
      <w:pPr>
        <w:spacing w:after="0" w:line="220" w:lineRule="exact"/>
        <w:rPr>
          <w:sz w:val="20"/>
          <w:szCs w:val="20"/>
          <w:color w:val="auto"/>
        </w:rPr>
      </w:pPr>
    </w:p>
    <w:p>
      <w:pPr>
        <w:jc w:val="both"/>
        <w:ind w:firstLine="8"/>
        <w:spacing w:after="0" w:line="253" w:lineRule="auto"/>
        <w:tabs>
          <w:tab w:leader="none" w:pos="48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Interpolation; Fractional Shares</w:t>
      </w:r>
      <w:r>
        <w:rPr>
          <w:rFonts w:ascii="Times New Roman" w:cs="Times New Roman" w:eastAsia="Times New Roman" w:hAnsi="Times New Roman"/>
          <w:sz w:val="22"/>
          <w:szCs w:val="22"/>
          <w:color w:val="auto"/>
        </w:rPr>
        <w:t>. In determining the number of Adjusted Shares that shall be issued to the Participant, the Committee will interpolate the percentage of Target Shares awarded for the achievement of the Performance Goals between the Threshold and Max performance levels, which percentage will be calculated to the nearest one-hundredth percent. No fractional Adjusted Shares will be issued to the Participant. Any Adjusted Shares resulting from the achievement of any of the Performance Goals will be rounded down to the nearest whole Adjusted Share.</w:t>
      </w:r>
    </w:p>
    <w:p>
      <w:pPr>
        <w:spacing w:after="0" w:line="178"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anything to the contrary, at the Committee’s discretion, [__________] and [__________] shall be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calculated in a manner that excludes the following:</w:t>
      </w:r>
    </w:p>
    <w:p>
      <w:pPr>
        <w:spacing w:after="0" w:line="223" w:lineRule="exact"/>
        <w:rPr>
          <w:sz w:val="20"/>
          <w:szCs w:val="20"/>
          <w:color w:val="auto"/>
        </w:rPr>
      </w:pPr>
    </w:p>
    <w:p>
      <w:pPr>
        <w:jc w:val="both"/>
        <w:ind w:firstLine="1304"/>
        <w:spacing w:after="0" w:line="256" w:lineRule="auto"/>
        <w:tabs>
          <w:tab w:leader="none" w:pos="18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items of gain, loss or expense for the Performance Period that are related to restructurings, discontinued operations, extraordinary items or events, and other special, unusual or non-recurring items, events or circumstances affecting the Company or the financial statements of the Company, including events either not directly related to the operations of the Company or not within the reasonable control of the Company’s management;</w:t>
      </w:r>
    </w:p>
    <w:p>
      <w:pPr>
        <w:spacing w:after="0" w:line="203" w:lineRule="exact"/>
        <w:rPr>
          <w:rFonts w:ascii="Times New Roman" w:cs="Times New Roman" w:eastAsia="Times New Roman" w:hAnsi="Times New Roman"/>
          <w:sz w:val="22"/>
          <w:szCs w:val="22"/>
          <w:color w:val="auto"/>
        </w:rPr>
      </w:pPr>
    </w:p>
    <w:p>
      <w:pPr>
        <w:ind w:right="20" w:firstLine="1304"/>
        <w:spacing w:after="0" w:line="271" w:lineRule="auto"/>
        <w:tabs>
          <w:tab w:leader="none" w:pos="17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items of gain, loss or expense for the Performance Period that are related to the disposal of a business or discontinued operations; and</w:t>
      </w:r>
    </w:p>
    <w:p>
      <w:pPr>
        <w:spacing w:after="0" w:line="198" w:lineRule="exact"/>
        <w:rPr>
          <w:rFonts w:ascii="Times New Roman" w:cs="Times New Roman" w:eastAsia="Times New Roman" w:hAnsi="Times New Roman"/>
          <w:sz w:val="22"/>
          <w:szCs w:val="22"/>
          <w:color w:val="auto"/>
        </w:rPr>
      </w:pPr>
    </w:p>
    <w:p>
      <w:pPr>
        <w:ind w:firstLine="1304"/>
        <w:spacing w:after="0" w:line="271" w:lineRule="auto"/>
        <w:tabs>
          <w:tab w:leader="none" w:pos="18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items of gain, loss or expense for the Performance Period that are related to changes in accounting principles or to changes in applicable law or regulations.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Through acceptance of this Agreement, the Participant acknowledges and agrees that the Performance Goals described herein are deemed to be material, non-public information. This Exhibit A and the content herein are confidential and shall not be shared with any other persons inside or outside of the Company. Failure to adhere to this requirement and treat this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111" w:name="page112"/>
    <w:bookmarkEnd w:id="111"/>
    <w:p>
      <w:pPr>
        <w:spacing w:after="0" w:line="276"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information in such regard, may result in the Participant’s termination of service from the Company and/or the forfeiture of Participant’s award at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OMNIBUS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STOCK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[____________],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delivered by CROSS COUNTRY HEALTHCARE,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Cross Country Healthcare, Inc. 2024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provides for the grant of restricted stock with respect to Common Stock. The Board has decided to make this grant of restricted stock as an inducement for the Participant to promote the best interests of the Company and its stockholders. This Agreement is made pursuant to the Plan and is subject in its entirety to all applicable provisions of the Plan. Capitalized terms used herein and not otherwise defined will have the meanings set forth in the Plan.</w:t>
      </w:r>
    </w:p>
    <w:p>
      <w:pPr>
        <w:spacing w:after="0" w:line="152" w:lineRule="exact"/>
        <w:rPr>
          <w:sz w:val="20"/>
          <w:szCs w:val="20"/>
          <w:color w:val="auto"/>
        </w:rPr>
      </w:pPr>
    </w:p>
    <w:p>
      <w:pPr>
        <w:jc w:val="both"/>
        <w:ind w:right="20" w:firstLine="8"/>
        <w:spacing w:after="0" w:line="225"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w:t>
      </w:r>
      <w:r>
        <w:rPr>
          <w:rFonts w:ascii="Times New Roman" w:cs="Times New Roman" w:eastAsia="Times New Roman" w:hAnsi="Times New Roman"/>
          <w:sz w:val="22"/>
          <w:szCs w:val="22"/>
          <w:color w:val="auto"/>
        </w:rPr>
        <w:t>. Subject to the terms and conditions set forth in this Agreement and in the Plan, the Company has granted the Participant [_____] shares of Common Stock, subject to the restrictions set forth below and in the Plan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Section 2, the shares of Restricted Stock shall become fully vested on the earliest of (i) the first anniversary of the Date of Grant, (ii) the date of the Participant’s death or (ii) the date of the Participant’s Retirement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continues to provide service to the Company from the Date of Grant until the Vesting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before all of the shares of Restricted Stock vest in accordance with this Section 2, the provisions of the Plan applicable to a Change in Control shall apply to the Restricted Stock, and, in the event of a Change in Control, the Committee may take such actions with respect to the vesting of the shares of Restricted Stock as it deems appropriate pursuant to the Plan. In the event the Participant’s service is terminated by the Company without Cause upon or following the Change in Control and prior to the Vesting Date, the Participant will become 100% vested in the shares of Restricted Stock upon the date of the Participant’s termination.</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Restricted Stock</w:t>
      </w:r>
      <w:r>
        <w:rPr>
          <w:rFonts w:ascii="Times New Roman" w:cs="Times New Roman" w:eastAsia="Times New Roman" w:hAnsi="Times New Roman"/>
          <w:sz w:val="22"/>
          <w:szCs w:val="22"/>
          <w:color w:val="auto"/>
        </w:rPr>
        <w:t>. Except as set forth above in Section 2, if the Participant ceases to provide service to the Company for any reason before the Restricted Stock is fully vested, the shares of Restricted Stock that are not then vested shall be forfeited as of the date of the Participant’s termination of service and shall be immediately returned to the Company.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Certificates and Tax Withholding.</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Committee, the Company will issue certificates representing the shares of Restricted Stock and retain possession of such certificates until the shares of Restricted Stock vest, or the Company shall recognize such ownership through book entry or another similar method. During the Restriction Period (as defined in Section 8), the Participant may vote the shares of Restricted Stock and may participate in any distribution</w:t>
      </w:r>
    </w:p>
    <w:p>
      <w:pPr>
        <w:sectPr>
          <w:pgSz w:w="11900" w:h="16838" w:orient="portrait"/>
          <w:cols w:equalWidth="0" w:num="1">
            <w:col w:w="11240"/>
          </w:cols>
          <w:pgMar w:left="320" w:top="342" w:right="339" w:bottom="1440" w:gutter="0" w:footer="0" w:header="0"/>
        </w:sectPr>
      </w:pPr>
    </w:p>
    <w:bookmarkStart w:id="113" w:name="page114"/>
    <w:bookmarkEnd w:id="113"/>
    <w:p>
      <w:pPr>
        <w:jc w:val="both"/>
        <w:spacing w:after="0" w:line="215" w:lineRule="auto"/>
        <w:rPr>
          <w:sz w:val="20"/>
          <w:szCs w:val="20"/>
          <w:color w:val="auto"/>
        </w:rPr>
      </w:pPr>
      <w:r>
        <w:rPr>
          <w:rFonts w:ascii="Times New Roman" w:cs="Times New Roman" w:eastAsia="Times New Roman" w:hAnsi="Times New Roman"/>
          <w:sz w:val="22"/>
          <w:szCs w:val="22"/>
          <w:color w:val="auto"/>
        </w:rPr>
        <w:t>pursuant to a plan of dissolution or complete liquidation of the Company, each subject to any restrictions deemed appropriate by the Committee. In the event of a cash dividend with respect to the shares of Restricted Stock, such cash dividend shall vest and be paid only if and to the extent that the underlying shares of Restricted Stock vest. In the event of a dividend or distribution payable in stock or other property or a reclassification, split up or similar event during the Restriction Period, the shares or other property issued or declared with respect to the non-vested shares of Restricted Stock shall be subject to the same terms and conditions relating to vesting as the shares of Restricted Stock to which they relate.</w:t>
      </w:r>
    </w:p>
    <w:p>
      <w:pPr>
        <w:spacing w:after="0" w:line="152" w:lineRule="exact"/>
        <w:rPr>
          <w:sz w:val="20"/>
          <w:szCs w:val="20"/>
          <w:color w:val="auto"/>
        </w:rPr>
      </w:pPr>
    </w:p>
    <w:p>
      <w:pPr>
        <w:jc w:val="both"/>
        <w:ind w:firstLine="656"/>
        <w:spacing w:after="0" w:line="225" w:lineRule="auto"/>
        <w:tabs>
          <w:tab w:leader="none" w:pos="129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Participant obtains a vested right to shares of Restricted Stock, a certificate representing the vested shares may be issued to the Participant or the applicable book entry shall be changed to indicate that the shares are free of the restrictions under Section 2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the Restricted Stock, the obligation of the Company to deliver certificates representing the vested shares of Restricted Stock or to indicate pursuant to book entry that the vested shares of Restricted Stock are free of restrictions,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Company as set forth in the Plan to withhold amounts required to be withheld for any taxes, if applicable. The Participant shall be required to pay to the Company, or make other arrangements satisfactory to the Company to provide for the payment of, FICA, federal income, state, local and other tax liabilities required by law to be withheld, if applicable, with respect to the grant or vesting of the shares of Restricted Stock. The Company will have the right to withhold such taxes from any amounts payable to the Participant. Unless the Participant makes other arrangements, the Company shall withhold Shares issuable under this Agreement equal to the amount of such required withholding obligation. The Share withholding amount shall be determined in accordance with the procedures approved by the Committee in its sole discretion.</w:t>
      </w:r>
    </w:p>
    <w:p>
      <w:pPr>
        <w:spacing w:after="0" w:line="156" w:lineRule="exact"/>
        <w:rPr>
          <w:rFonts w:ascii="Times New Roman" w:cs="Times New Roman" w:eastAsia="Times New Roman" w:hAnsi="Times New Roman"/>
          <w:sz w:val="22"/>
          <w:szCs w:val="22"/>
          <w:color w:val="auto"/>
        </w:rPr>
      </w:pPr>
    </w:p>
    <w:p>
      <w:pPr>
        <w:jc w:val="both"/>
        <w:ind w:firstLine="8"/>
        <w:spacing w:after="0" w:line="217" w:lineRule="auto"/>
        <w:tabs>
          <w:tab w:leader="none" w:pos="64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 The Participant understands that Section 83 of the Code taxes as ordinary income the difference between the amount paid for the shares of Restricted Stock and the Fair Market Value of such shares as of the date any restrictions on the shares lapse pursuant to Section 2 of this Agreement. The Participant understands that the Participant may elect to be taxed at the time the shares of Restricted Stock are granted rather than when and as the Restriction Period expires by filing an election under section 83(b) of the Code with the Internal Revenue Service within</w:t>
      </w:r>
    </w:p>
    <w:p>
      <w:pPr>
        <w:spacing w:after="0" w:line="2"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Date of Grant using IRS Form 15620, or filing electronically through the Internal Revenue Service’s website.</w:t>
      </w:r>
    </w:p>
    <w:p>
      <w:pPr>
        <w:spacing w:after="0" w:line="182"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THAT IT IS THE PARTICIPANT’S SOLE RESPONSIBILITY AND NOT THE COMPANY’S TO TIMELY FILE THE ELECTION UNDER SECTION 83(b) OF THE CODE.</w:t>
      </w:r>
    </w:p>
    <w:p>
      <w:pPr>
        <w:spacing w:after="0" w:line="130" w:lineRule="exact"/>
        <w:rPr>
          <w:rFonts w:ascii="Times New Roman" w:cs="Times New Roman" w:eastAsia="Times New Roman" w:hAnsi="Times New Roman"/>
          <w:sz w:val="22"/>
          <w:szCs w:val="22"/>
          <w:color w:val="auto"/>
        </w:rPr>
      </w:pPr>
    </w:p>
    <w:p>
      <w:pPr>
        <w:ind w:firstLine="8"/>
        <w:spacing w:after="0" w:line="236"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4" w:name="page115"/>
    <w:bookmarkEnd w:id="114"/>
    <w:p>
      <w:pPr>
        <w:jc w:val="both"/>
        <w:spacing w:after="0" w:line="213" w:lineRule="auto"/>
        <w:rPr>
          <w:sz w:val="20"/>
          <w:szCs w:val="20"/>
          <w:color w:val="auto"/>
        </w:rPr>
      </w:pPr>
      <w:r>
        <w:rPr>
          <w:rFonts w:ascii="Times New Roman" w:cs="Times New Roman" w:eastAsia="Times New Roman" w:hAnsi="Times New Roman"/>
          <w:sz w:val="22"/>
          <w:szCs w:val="22"/>
          <w:color w:val="auto"/>
        </w:rPr>
        <w:t>with the Plan. The grant of the shares of Restricted Stock is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Common Stock, (c) changes in capitalization of the Company and (d) other requirements of applicable law. The Committee may amend the terms of this Agreement to the extent permitted by the Plan. The Committee shall have the authority to interpret and construe this Agreement pursuant to the terms of the Plan, and its decisions shall be conclusive as to any questions arising hereunder.</w:t>
      </w:r>
    </w:p>
    <w:p>
      <w:pPr>
        <w:spacing w:after="0" w:line="156" w:lineRule="exact"/>
        <w:rPr>
          <w:sz w:val="20"/>
          <w:szCs w:val="20"/>
          <w:color w:val="auto"/>
        </w:rPr>
      </w:pPr>
    </w:p>
    <w:p>
      <w:pPr>
        <w:jc w:val="both"/>
        <w:ind w:firstLine="8"/>
        <w:spacing w:after="0" w:line="220"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Continued Service or Other Rights</w:t>
      </w:r>
      <w:r>
        <w:rPr>
          <w:rFonts w:ascii="Times New Roman" w:cs="Times New Roman" w:eastAsia="Times New Roman" w:hAnsi="Times New Roman"/>
          <w:sz w:val="22"/>
          <w:szCs w:val="22"/>
          <w:color w:val="auto"/>
        </w:rPr>
        <w:t>. The grant of the shares of Restricted Stock shall not confer upon the Participant any right to be retained by or in the service of the Company and shall not interfere in any way with the right of the Company to terminate the Participant’s service at any time. The right of the Company to terminate at will the Participant’s service at any time for any reason is specifically reserved.</w:t>
      </w:r>
    </w:p>
    <w:p>
      <w:pPr>
        <w:spacing w:after="0" w:line="152" w:lineRule="exact"/>
        <w:rPr>
          <w:rFonts w:ascii="Times New Roman" w:cs="Times New Roman" w:eastAsia="Times New Roman" w:hAnsi="Times New Roman"/>
          <w:sz w:val="22"/>
          <w:szCs w:val="22"/>
          <w:color w:val="auto"/>
        </w:rPr>
      </w:pPr>
    </w:p>
    <w:p>
      <w:pPr>
        <w:jc w:val="both"/>
        <w:ind w:firstLine="8"/>
        <w:spacing w:after="0" w:line="211"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during the period before the shares of Restricted Stock vest in accordance with Section 2 (the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non-vested shares of Restricted Stock may not be sold, assigned, encumbered or otherwise transferred except, in the event of the death of the Participant, by will or by the laws of descent and distribution. Any attempt by the Participant to alienate, assign, pledge, hypothecate, or otherwise dispose of the shares of Restricted Stock contrary to the provisions hereof, and the levy of any execution, attachment or similar process upon the shares of Restricted Stock, shall be null, void and without effect. The rights and protections of the Company hereunder shall extend to any successors or assigns of the Company and to the Company’s parents, subsidiaries, and affiliates. This Agreement may be assigned by the Company without the Participant’s consent. As used in this Agreement, “Company” shall mean the Company and any successor to its business and/or assets.</w:t>
      </w:r>
    </w:p>
    <w:p>
      <w:pPr>
        <w:spacing w:after="0" w:line="158" w:lineRule="exact"/>
        <w:rPr>
          <w:rFonts w:ascii="Times New Roman" w:cs="Times New Roman" w:eastAsia="Times New Roman" w:hAnsi="Times New Roman"/>
          <w:sz w:val="22"/>
          <w:szCs w:val="22"/>
          <w:color w:val="auto"/>
        </w:rPr>
      </w:pPr>
    </w:p>
    <w:p>
      <w:pPr>
        <w:ind w:firstLine="8"/>
        <w:spacing w:after="0" w:line="255" w:lineRule="auto"/>
        <w:tabs>
          <w:tab w:leader="none" w:pos="64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The validity, construction, interpretation and effect of this Agreement shall be governed by and construed in accordance with the laws of the State of Delaware, without giving effect to the conflicts of laws provisions thereof.</w:t>
      </w:r>
    </w:p>
    <w:p>
      <w:pPr>
        <w:spacing w:after="0" w:line="134" w:lineRule="exact"/>
        <w:rPr>
          <w:rFonts w:ascii="Times New Roman" w:cs="Times New Roman" w:eastAsia="Times New Roman" w:hAnsi="Times New Roman"/>
          <w:sz w:val="21"/>
          <w:szCs w:val="21"/>
          <w:color w:val="auto"/>
        </w:rPr>
      </w:pPr>
    </w:p>
    <w:p>
      <w:pPr>
        <w:jc w:val="both"/>
        <w:ind w:firstLine="8"/>
        <w:spacing w:after="0" w:line="213" w:lineRule="auto"/>
        <w:tabs>
          <w:tab w:leader="none" w:pos="6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the Company provided for in this instrument shall be in writing addressed to the Company in care of the General Counsel at the corporate headquarters of the Company, and any notice to the Participant shall be addressed to such Participant at the current address shown on the personnel records of the Company, or to such other address as the Participant may designate to the Company in writing. Any notice shall be delivered by hand or enclosed in a properly sealed envelope addressed as stated above, registered and deposited, postage prepaid, in a post office regularly maintained by the United States Postal Service or nationally recognized courier service. Each notice will be deemed given and effective upon actual receipt (or refusal of receipt).</w:t>
      </w:r>
    </w:p>
    <w:p>
      <w:pPr>
        <w:spacing w:after="0" w:line="156"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Company Policies</w:t>
      </w:r>
      <w:r>
        <w:rPr>
          <w:rFonts w:ascii="Times New Roman" w:cs="Times New Roman" w:eastAsia="Times New Roman" w:hAnsi="Times New Roman"/>
          <w:sz w:val="22"/>
          <w:szCs w:val="22"/>
          <w:color w:val="auto"/>
        </w:rPr>
        <w:t>. The Participant agrees that the shares of Restricted Stock shall be subject to all applicable clawback or recoupment policies, share trading policies and other policies that may be implemented by the Board or imposed under applicable rule or regulation from time to time.</w:t>
      </w:r>
    </w:p>
    <w:p>
      <w:pPr>
        <w:spacing w:after="0" w:line="152" w:lineRule="exact"/>
        <w:rPr>
          <w:rFonts w:ascii="Times New Roman" w:cs="Times New Roman" w:eastAsia="Times New Roman" w:hAnsi="Times New Roman"/>
          <w:sz w:val="22"/>
          <w:szCs w:val="22"/>
          <w:color w:val="auto"/>
        </w:rPr>
      </w:pPr>
    </w:p>
    <w:p>
      <w:pPr>
        <w:ind w:right="20" w:firstLine="8"/>
        <w:spacing w:after="0" w:line="217"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award of shares of Restricted Stock is intended to be exempt from the applicable requirements of Section 409A of the Code. Notwithstanding anything in the Plan or this Agreement to the contrary, the Participant shall be solely responsible for the tax consequences of this Agreement and the grant of Restricted Stock, and in no event shall the Company or any Subsidiary or Affiliate of the Company have any responsibility or liability if this Agreement or the grant of Restricted Stock does not meet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15" w:name="page116"/>
    <w:bookmarkEnd w:id="115"/>
    <w:p>
      <w:pPr>
        <w:ind w:right="60"/>
        <w:spacing w:after="0" w:line="225" w:lineRule="auto"/>
        <w:rPr>
          <w:sz w:val="20"/>
          <w:szCs w:val="20"/>
          <w:color w:val="auto"/>
        </w:rPr>
      </w:pPr>
      <w:r>
        <w:rPr>
          <w:rFonts w:ascii="Times New Roman" w:cs="Times New Roman" w:eastAsia="Times New Roman" w:hAnsi="Times New Roman"/>
          <w:sz w:val="22"/>
          <w:szCs w:val="22"/>
          <w:color w:val="auto"/>
        </w:rPr>
        <w:t>applicable requirements of Section 409A of the Code. Although the Company intends to administer this Agreement and the grant of Restricted Stock to prevent taxation under Section 409A of the Code, the Company does not represent or warrant that this Agreement or the grant of Restricted Stock complies with any provision of federal, state, local or other tax law.</w:t>
      </w:r>
    </w:p>
    <w:p>
      <w:pPr>
        <w:spacing w:after="0" w:line="153"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rFonts w:ascii="Times New Roman" w:cs="Times New Roman" w:eastAsia="Times New Roman" w:hAnsi="Times New Roman"/>
          <w:sz w:val="22"/>
          <w:szCs w:val="22"/>
          <w:color w:val="auto"/>
        </w:rPr>
      </w:pPr>
    </w:p>
    <w:p>
      <w:pPr>
        <w:ind w:right="420" w:firstLine="1304"/>
        <w:spacing w:after="0" w:line="271"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and returning this Agreement, the Participant agrees to comply with this Agreement and all applicable laws and regulations.</w:t>
      </w:r>
    </w:p>
    <w:p>
      <w:pPr>
        <w:spacing w:after="0" w:line="157" w:lineRule="exact"/>
        <w:rPr>
          <w:rFonts w:ascii="Times New Roman" w:cs="Times New Roman" w:eastAsia="Times New Roman" w:hAnsi="Times New Roman"/>
          <w:sz w:val="22"/>
          <w:szCs w:val="22"/>
          <w:color w:val="auto"/>
        </w:rPr>
      </w:pPr>
    </w:p>
    <w:p>
      <w:pPr>
        <w:ind w:right="280" w:firstLine="1304"/>
        <w:spacing w:after="0" w:line="309" w:lineRule="auto"/>
        <w:tabs>
          <w:tab w:leader="none" w:pos="193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contains the entire understanding of the parties with respect to the subject matter hereof and supersedes any prior agreements between the Company and the Participant with respect to the subject matter hereof.</w:t>
      </w:r>
    </w:p>
    <w:p>
      <w:pPr>
        <w:spacing w:after="0" w:line="12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92" w:lineRule="exact"/>
        <w:rPr>
          <w:rFonts w:ascii="Times New Roman" w:cs="Times New Roman" w:eastAsia="Times New Roman" w:hAnsi="Times New Roman"/>
          <w:sz w:val="22"/>
          <w:szCs w:val="22"/>
          <w:color w:val="auto"/>
        </w:rPr>
      </w:pPr>
    </w:p>
    <w:p>
      <w:pPr>
        <w:ind w:right="600" w:firstLine="1304"/>
        <w:spacing w:after="0" w:line="257" w:lineRule="auto"/>
        <w:tabs>
          <w:tab w:leader="none" w:pos="19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Agreement shall be held invalid or unenforceable, such invalidity or unenforceability shall not affect any other provisions hereof, and this Agreement shall be construed and enforced as if such provisions had not been included.</w:t>
      </w:r>
    </w:p>
    <w:p>
      <w:pPr>
        <w:spacing w:after="0" w:line="172" w:lineRule="exact"/>
        <w:rPr>
          <w:rFonts w:ascii="Times New Roman" w:cs="Times New Roman" w:eastAsia="Times New Roman" w:hAnsi="Times New Roman"/>
          <w:sz w:val="22"/>
          <w:szCs w:val="22"/>
          <w:color w:val="auto"/>
        </w:rPr>
      </w:pPr>
    </w:p>
    <w:p>
      <w:pPr>
        <w:ind w:right="40" w:firstLine="1304"/>
        <w:spacing w:after="0" w:line="271"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headings used in this Agreement are included solely for convenience and shall not affect, or be used in connection with, the interpretation of this Agreement.</w:t>
      </w:r>
    </w:p>
    <w:p>
      <w:pPr>
        <w:spacing w:after="0" w:line="157" w:lineRule="exact"/>
        <w:rPr>
          <w:rFonts w:ascii="Times New Roman" w:cs="Times New Roman" w:eastAsia="Times New Roman" w:hAnsi="Times New Roman"/>
          <w:sz w:val="22"/>
          <w:szCs w:val="22"/>
          <w:color w:val="auto"/>
        </w:rPr>
      </w:pPr>
    </w:p>
    <w:p>
      <w:pPr>
        <w:ind w:firstLine="1304"/>
        <w:spacing w:after="0" w:line="263" w:lineRule="auto"/>
        <w:tabs>
          <w:tab w:leader="none" w:pos="194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(including by facsimile transmission) with counterpart signature pages or in separate counterparts each of which shall be an original and all of which taken together shall constitute one and the same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16" w:name="page117"/>
    <w:bookmarkEnd w:id="116"/>
    <w:p>
      <w:pPr>
        <w:ind w:right="20" w:firstLine="8"/>
        <w:spacing w:after="0" w:line="271" w:lineRule="auto"/>
        <w:tabs>
          <w:tab w:leader="none" w:pos="97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WITNESS WHEREOF, the Company has caused an officer to execute this Agreement, and the Participant has executed this Agreement, effective as of the Date of Grant.</w:t>
      </w:r>
    </w:p>
    <w:p>
      <w:pPr>
        <w:spacing w:after="0" w:line="1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CROSS COUNTRY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739775</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By electronic acceptance, Participant hereby accepts the grant of Restricted Stock described in this Agreement and agrees to be bound by the terms of the Plan and this Agreement. The Participant hereby further agrees that all of the decisions and determinations of the Committee with respect to the Restricted Stock shall be final and binding.</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86270" cy="908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8685"/>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154940</wp:posOffset>
            </wp:positionV>
            <wp:extent cx="6412230"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64122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260" w:right="180"/>
        <w:spacing w:after="0" w:line="274" w:lineRule="auto"/>
        <w:rPr>
          <w:sz w:val="20"/>
          <w:szCs w:val="20"/>
          <w:color w:val="auto"/>
        </w:rPr>
      </w:pPr>
      <w:r>
        <w:rPr>
          <w:rFonts w:ascii="Arial" w:cs="Arial" w:eastAsia="Arial" w:hAnsi="Arial"/>
          <w:sz w:val="19"/>
          <w:szCs w:val="19"/>
          <w:color w:val="auto"/>
        </w:rPr>
        <w:t xml:space="preserve">This memorandum sets forth the policies of Cross Country Healthcare, Inc. (the "Company") concerning restrictions on purchasing or selling the Common Stock of the Company (the "Common Stock") while in possession of "inside" information and the disclosure of such information and restrictions on transactions in the Common Stock. </w:t>
      </w:r>
      <w:r>
        <w:rPr>
          <w:rFonts w:ascii="Arial" w:cs="Arial" w:eastAsia="Arial" w:hAnsi="Arial"/>
          <w:sz w:val="19"/>
          <w:szCs w:val="19"/>
          <w:b w:val="1"/>
          <w:bCs w:val="1"/>
          <w:color w:val="auto"/>
        </w:rPr>
        <w:t xml:space="preserve">All employees and non-employee directors of the Company and its subsidiaries and family members who reside in the same household with, or whose investment decisions are managed by, such employees or non-employee directors are subject to the policies set forth herein. </w:t>
      </w:r>
      <w:r>
        <w:rPr>
          <w:rFonts w:ascii="Arial" w:cs="Arial" w:eastAsia="Arial" w:hAnsi="Arial"/>
          <w:sz w:val="19"/>
          <w:szCs w:val="19"/>
          <w:u w:val="single" w:color="auto"/>
          <w:color w:val="auto"/>
        </w:rPr>
        <w:t>Please read this memorandum carefully, your electronic signature indicates your</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auto"/>
        </w:rPr>
        <w:t>understanding and agreement.</w:t>
      </w:r>
    </w:p>
    <w:p>
      <w:pPr>
        <w:spacing w:after="0" w:line="266" w:lineRule="exact"/>
        <w:rPr>
          <w:sz w:val="20"/>
          <w:szCs w:val="20"/>
          <w:color w:val="auto"/>
        </w:rPr>
      </w:pPr>
    </w:p>
    <w:p>
      <w:pPr>
        <w:ind w:left="1720" w:hanging="654"/>
        <w:spacing w:after="0"/>
        <w:tabs>
          <w:tab w:leader="none" w:pos="17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Prohibition on Use or Disclosure of Inside Information</w:t>
      </w:r>
    </w:p>
    <w:p>
      <w:pPr>
        <w:spacing w:after="0" w:line="249"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All employees and non-employee directors of the Company and its subsidiaries are advised that the</w:t>
      </w:r>
    </w:p>
    <w:p>
      <w:pPr>
        <w:ind w:left="260"/>
        <w:spacing w:after="0"/>
        <w:rPr>
          <w:sz w:val="20"/>
          <w:szCs w:val="20"/>
          <w:color w:val="auto"/>
        </w:rPr>
      </w:pPr>
      <w:r>
        <w:rPr>
          <w:rFonts w:ascii="Arial" w:cs="Arial" w:eastAsia="Arial" w:hAnsi="Arial"/>
          <w:sz w:val="20"/>
          <w:szCs w:val="20"/>
          <w:color w:val="auto"/>
        </w:rPr>
        <w:t>Company has a strict policy prohibiting employees and non-employee directors of the Company and its subsidiaries from:</w:t>
      </w:r>
    </w:p>
    <w:p>
      <w:pPr>
        <w:spacing w:after="0" w:line="202" w:lineRule="exact"/>
        <w:rPr>
          <w:sz w:val="20"/>
          <w:szCs w:val="20"/>
          <w:color w:val="auto"/>
        </w:rPr>
      </w:pPr>
    </w:p>
    <w:p>
      <w:pPr>
        <w:ind w:left="2260" w:hanging="384"/>
        <w:spacing w:after="0"/>
        <w:tabs>
          <w:tab w:leader="none" w:pos="22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buying or selling, or participating in a decision to buy or sell, the Company's</w:t>
      </w:r>
    </w:p>
    <w:p>
      <w:pPr>
        <w:ind w:left="580"/>
        <w:spacing w:after="0"/>
        <w:rPr>
          <w:sz w:val="20"/>
          <w:szCs w:val="20"/>
          <w:color w:val="auto"/>
        </w:rPr>
      </w:pPr>
      <w:r>
        <w:rPr>
          <w:rFonts w:ascii="Arial" w:cs="Arial" w:eastAsia="Arial" w:hAnsi="Arial"/>
          <w:sz w:val="20"/>
          <w:szCs w:val="20"/>
          <w:color w:val="auto"/>
        </w:rPr>
        <w:t>Common Stock while in possession of material non-public information (sometimes called "inside" information); or</w:t>
      </w:r>
    </w:p>
    <w:p>
      <w:pPr>
        <w:spacing w:after="0" w:line="184" w:lineRule="exact"/>
        <w:rPr>
          <w:sz w:val="20"/>
          <w:szCs w:val="20"/>
          <w:color w:val="auto"/>
        </w:rPr>
      </w:pPr>
    </w:p>
    <w:p>
      <w:pPr>
        <w:ind w:left="2260" w:hanging="384"/>
        <w:spacing w:after="0"/>
        <w:tabs>
          <w:tab w:leader="none" w:pos="2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disclosing inside information to others (sometimes called "tipping").</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This policy is for the protection of the Company, its subsidiaries and their respective employees and non-</w:t>
      </w:r>
    </w:p>
    <w:p>
      <w:pPr>
        <w:ind w:left="260" w:right="180"/>
        <w:spacing w:after="0" w:line="204" w:lineRule="auto"/>
        <w:rPr>
          <w:sz w:val="20"/>
          <w:szCs w:val="20"/>
          <w:color w:val="auto"/>
        </w:rPr>
      </w:pPr>
      <w:r>
        <w:rPr>
          <w:rFonts w:ascii="Arial" w:cs="Arial" w:eastAsia="Arial" w:hAnsi="Arial"/>
          <w:sz w:val="20"/>
          <w:szCs w:val="20"/>
          <w:color w:val="auto"/>
        </w:rPr>
        <w:t xml:space="preserve">employee directors. It is also designed to assist personnel in complying with applicable requirements of Federal law. </w:t>
      </w:r>
      <w:r>
        <w:rPr>
          <w:rFonts w:ascii="Arial" w:cs="Arial" w:eastAsia="Arial" w:hAnsi="Arial"/>
          <w:sz w:val="20"/>
          <w:szCs w:val="20"/>
          <w:b w:val="1"/>
          <w:bCs w:val="1"/>
          <w:color w:val="auto"/>
        </w:rPr>
        <w:t>Any</w:t>
      </w:r>
      <w:r>
        <w:rPr>
          <w:rFonts w:ascii="Arial" w:cs="Arial" w:eastAsia="Arial" w:hAnsi="Arial"/>
          <w:sz w:val="20"/>
          <w:szCs w:val="20"/>
          <w:color w:val="auto"/>
        </w:rPr>
        <w:t xml:space="preserve"> </w:t>
      </w:r>
      <w:r>
        <w:rPr>
          <w:rFonts w:ascii="Arial" w:cs="Arial" w:eastAsia="Arial" w:hAnsi="Arial"/>
          <w:sz w:val="20"/>
          <w:szCs w:val="20"/>
          <w:b w:val="1"/>
          <w:bCs w:val="1"/>
          <w:color w:val="auto"/>
        </w:rPr>
        <w:t>person who violates the Federal prohibitions on the use of material inside information in securities transactions</w:t>
      </w:r>
    </w:p>
    <w:p>
      <w:pPr>
        <w:ind w:left="260"/>
        <w:spacing w:after="0" w:line="211" w:lineRule="auto"/>
        <w:rPr>
          <w:sz w:val="20"/>
          <w:szCs w:val="20"/>
          <w:color w:val="auto"/>
        </w:rPr>
      </w:pPr>
      <w:r>
        <w:rPr>
          <w:rFonts w:ascii="Arial" w:cs="Arial" w:eastAsia="Arial" w:hAnsi="Arial"/>
          <w:sz w:val="20"/>
          <w:szCs w:val="20"/>
          <w:b w:val="1"/>
          <w:bCs w:val="1"/>
          <w:color w:val="auto"/>
        </w:rPr>
        <w:t>or the communication of such information to others who use it in securities transactions may suffer severe</w:t>
      </w:r>
    </w:p>
    <w:p>
      <w:pPr>
        <w:spacing w:after="0" w:line="1" w:lineRule="exact"/>
        <w:rPr>
          <w:sz w:val="20"/>
          <w:szCs w:val="20"/>
          <w:color w:val="auto"/>
        </w:rPr>
      </w:pPr>
    </w:p>
    <w:p>
      <w:pPr>
        <w:ind w:left="260" w:right="180"/>
        <w:spacing w:after="0" w:line="230" w:lineRule="auto"/>
        <w:rPr>
          <w:sz w:val="20"/>
          <w:szCs w:val="20"/>
          <w:color w:val="auto"/>
        </w:rPr>
      </w:pPr>
      <w:r>
        <w:rPr>
          <w:rFonts w:ascii="Arial" w:cs="Arial" w:eastAsia="Arial" w:hAnsi="Arial"/>
          <w:sz w:val="20"/>
          <w:szCs w:val="20"/>
          <w:b w:val="1"/>
          <w:bCs w:val="1"/>
          <w:color w:val="auto"/>
        </w:rPr>
        <w:t>consequences, including possible civil or criminal liability, injunctions, disgorgement of profits made or losses avoided, substantial penalties and exposure to private lawsuits.</w:t>
      </w:r>
    </w:p>
    <w:p>
      <w:pPr>
        <w:spacing w:after="0" w:line="189" w:lineRule="exact"/>
        <w:rPr>
          <w:sz w:val="20"/>
          <w:szCs w:val="20"/>
          <w:color w:val="auto"/>
        </w:rPr>
      </w:pPr>
    </w:p>
    <w:p>
      <w:pPr>
        <w:ind w:left="260" w:right="180" w:firstLine="1134"/>
        <w:spacing w:after="0" w:line="213" w:lineRule="auto"/>
        <w:rPr>
          <w:sz w:val="20"/>
          <w:szCs w:val="20"/>
          <w:color w:val="auto"/>
        </w:rPr>
      </w:pPr>
      <w:r>
        <w:rPr>
          <w:rFonts w:ascii="Arial" w:cs="Arial" w:eastAsia="Arial" w:hAnsi="Arial"/>
          <w:sz w:val="20"/>
          <w:szCs w:val="20"/>
          <w:color w:val="auto"/>
        </w:rPr>
        <w:t>Information concerning the Company or its subsidiaries is "inside" or "nonpublic" for purposes of this policy if it has not been made generally available to the public for at least two full days. Information would be deemed generally</w:t>
      </w:r>
    </w:p>
    <w:p>
      <w:pPr>
        <w:spacing w:after="0" w:line="1" w:lineRule="exact"/>
        <w:rPr>
          <w:sz w:val="20"/>
          <w:szCs w:val="20"/>
          <w:color w:val="auto"/>
        </w:rPr>
      </w:pPr>
    </w:p>
    <w:p>
      <w:pPr>
        <w:ind w:left="260" w:right="180"/>
        <w:spacing w:after="0" w:line="232" w:lineRule="auto"/>
        <w:rPr>
          <w:sz w:val="20"/>
          <w:szCs w:val="20"/>
          <w:color w:val="auto"/>
        </w:rPr>
      </w:pPr>
      <w:r>
        <w:rPr>
          <w:rFonts w:ascii="Arial" w:cs="Arial" w:eastAsia="Arial" w:hAnsi="Arial"/>
          <w:sz w:val="20"/>
          <w:szCs w:val="20"/>
          <w:color w:val="auto"/>
        </w:rPr>
        <w:t>available to the public if it has been included in a filing made by the Company with the Securities and Exchange Commission or disclosed in a press release.</w:t>
      </w:r>
    </w:p>
    <w:p>
      <w:pPr>
        <w:spacing w:after="0" w:line="172" w:lineRule="exact"/>
        <w:rPr>
          <w:sz w:val="20"/>
          <w:szCs w:val="20"/>
          <w:color w:val="auto"/>
        </w:rPr>
      </w:pPr>
    </w:p>
    <w:p>
      <w:pPr>
        <w:ind w:left="260" w:right="180" w:firstLine="1134"/>
        <w:spacing w:after="0" w:line="232" w:lineRule="auto"/>
        <w:rPr>
          <w:sz w:val="20"/>
          <w:szCs w:val="20"/>
          <w:color w:val="auto"/>
        </w:rPr>
      </w:pPr>
      <w:r>
        <w:rPr>
          <w:rFonts w:ascii="Arial" w:cs="Arial" w:eastAsia="Arial" w:hAnsi="Arial"/>
          <w:sz w:val="19"/>
          <w:szCs w:val="19"/>
          <w:color w:val="auto"/>
        </w:rPr>
        <w:t>Inside information is "material" if it relates to the Company and its subsidiaries or their respective businesses, financial condition or prospects or the Company's Common Stock and its dissemination would be likely to affect the market</w:t>
      </w:r>
    </w:p>
    <w:p>
      <w:pPr>
        <w:spacing w:after="0" w:line="1" w:lineRule="exact"/>
        <w:rPr>
          <w:sz w:val="20"/>
          <w:szCs w:val="20"/>
          <w:color w:val="auto"/>
        </w:rPr>
      </w:pPr>
    </w:p>
    <w:p>
      <w:pPr>
        <w:ind w:left="260" w:right="180"/>
        <w:spacing w:after="0" w:line="204" w:lineRule="auto"/>
        <w:rPr>
          <w:sz w:val="20"/>
          <w:szCs w:val="20"/>
          <w:color w:val="auto"/>
        </w:rPr>
      </w:pPr>
      <w:r>
        <w:rPr>
          <w:rFonts w:ascii="Arial" w:cs="Arial" w:eastAsia="Arial" w:hAnsi="Arial"/>
          <w:sz w:val="20"/>
          <w:szCs w:val="20"/>
          <w:color w:val="auto"/>
        </w:rPr>
        <w:t>price of the Company's Common Stock or if there is a substantial likelihood that a reasonable investor would consider it important in determining whether to buy, sell or hold the Company's Common Stock. Material inside information can also</w:t>
      </w:r>
    </w:p>
    <w:p>
      <w:pPr>
        <w:spacing w:after="0" w:line="1" w:lineRule="exact"/>
        <w:rPr>
          <w:sz w:val="20"/>
          <w:szCs w:val="20"/>
          <w:color w:val="auto"/>
        </w:rPr>
      </w:pPr>
    </w:p>
    <w:p>
      <w:pPr>
        <w:ind w:left="260" w:right="180"/>
        <w:spacing w:after="0" w:line="232" w:lineRule="auto"/>
        <w:rPr>
          <w:sz w:val="20"/>
          <w:szCs w:val="20"/>
          <w:color w:val="auto"/>
        </w:rPr>
      </w:pPr>
      <w:r>
        <w:rPr>
          <w:rFonts w:ascii="Arial" w:cs="Arial" w:eastAsia="Arial" w:hAnsi="Arial"/>
          <w:sz w:val="20"/>
          <w:szCs w:val="20"/>
          <w:color w:val="auto"/>
        </w:rPr>
        <w:t>be related to new services, customers, sales, etc. Information concerning any of the following will generally be considered material:</w:t>
      </w:r>
    </w:p>
    <w:p>
      <w:pPr>
        <w:spacing w:after="0" w:line="162" w:lineRule="exact"/>
        <w:rPr>
          <w:sz w:val="20"/>
          <w:szCs w:val="20"/>
          <w:color w:val="auto"/>
        </w:rPr>
      </w:pPr>
    </w:p>
    <w:p>
      <w:pPr>
        <w:ind w:left="2220" w:hanging="668"/>
        <w:spacing w:after="0"/>
        <w:tabs>
          <w:tab w:leader="none" w:pos="22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earnings information;</w:t>
      </w:r>
    </w:p>
    <w:p>
      <w:pPr>
        <w:ind w:left="2220" w:hanging="668"/>
        <w:spacing w:after="0" w:line="211" w:lineRule="auto"/>
        <w:tabs>
          <w:tab w:leader="none" w:pos="22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financial forecasts, especially estimates of earnings;</w:t>
      </w:r>
    </w:p>
    <w:p>
      <w:pPr>
        <w:ind w:left="2220" w:hanging="668"/>
        <w:spacing w:after="0" w:line="197" w:lineRule="auto"/>
        <w:tabs>
          <w:tab w:leader="none" w:pos="22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changes in previously disclosed financial information;</w:t>
      </w:r>
    </w:p>
    <w:p>
      <w:pPr>
        <w:ind w:left="2200" w:right="3540" w:hanging="648"/>
        <w:spacing w:after="0" w:line="211" w:lineRule="auto"/>
        <w:tabs>
          <w:tab w:leader="none" w:pos="2212" w:val="left"/>
        </w:tabs>
        <w:numPr>
          <w:ilvl w:val="0"/>
          <w:numId w:val="68"/>
        </w:numPr>
        <w:rPr>
          <w:rFonts w:ascii="Arial" w:cs="Arial" w:eastAsia="Arial" w:hAnsi="Arial"/>
          <w:sz w:val="20"/>
          <w:szCs w:val="20"/>
          <w:color w:val="auto"/>
        </w:rPr>
      </w:pPr>
      <w:r>
        <w:rPr>
          <w:rFonts w:ascii="Arial" w:cs="Arial" w:eastAsia="Arial" w:hAnsi="Arial"/>
          <w:sz w:val="20"/>
          <w:szCs w:val="20"/>
          <w:color w:val="auto"/>
        </w:rPr>
        <w:t>joint ventures, mergers or acquisitions of other companies and negotiations with respect thereto;</w:t>
      </w:r>
    </w:p>
    <w:p>
      <w:pPr>
        <w:ind w:left="2220" w:hanging="668"/>
        <w:spacing w:after="0" w:line="197" w:lineRule="auto"/>
        <w:tabs>
          <w:tab w:leader="none" w:pos="22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proposed issuances of new securities or repurchases of Common Stock by the Company;</w:t>
      </w:r>
    </w:p>
    <w:p>
      <w:pPr>
        <w:ind w:left="2200" w:hanging="648"/>
        <w:spacing w:after="0"/>
        <w:tabs>
          <w:tab w:leader="none" w:pos="22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significant changes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699516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Page </w:t>
      </w:r>
      <w:r>
        <w:rPr>
          <w:rFonts w:ascii="Arial" w:cs="Arial" w:eastAsia="Arial" w:hAnsi="Arial"/>
          <w:sz w:val="18"/>
          <w:szCs w:val="18"/>
          <w:b w:val="1"/>
          <w:bCs w:val="1"/>
          <w:color w:val="FFFFFF"/>
        </w:rPr>
        <w:t>1</w:t>
      </w:r>
      <w:r>
        <w:rPr>
          <w:rFonts w:ascii="Arial" w:cs="Arial" w:eastAsia="Arial" w:hAnsi="Arial"/>
          <w:sz w:val="18"/>
          <w:szCs w:val="18"/>
          <w:color w:val="FFFFFF"/>
        </w:rPr>
        <w:t xml:space="preserv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#NUM_PAGES#</w:t>
      </w:r>
    </w:p>
    <w:p>
      <w:pPr>
        <w:sectPr>
          <w:pgSz w:w="11900" w:h="16838" w:orient="portrait"/>
          <w:cols w:equalWidth="0" w:num="1">
            <w:col w:w="11200"/>
          </w:cols>
          <w:pgMar w:left="360" w:top="1440" w:right="339" w:bottom="1440" w:gutter="0" w:footer="0" w:header="0"/>
          <w:type w:val="continuous"/>
        </w:sectPr>
      </w:pPr>
    </w:p>
    <w:bookmarkStart w:id="118" w:name="page119"/>
    <w:bookmarkEnd w:id="118"/>
    <w:p>
      <w:pPr>
        <w:ind w:left="2220" w:hanging="668"/>
        <w:spacing w:after="0"/>
        <w:tabs>
          <w:tab w:leader="none" w:pos="22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significant increases or decreases in customers;</w:t>
      </w:r>
    </w:p>
    <w:p>
      <w:pPr>
        <w:ind w:left="2220" w:hanging="668"/>
        <w:spacing w:after="0" w:line="197" w:lineRule="auto"/>
        <w:tabs>
          <w:tab w:leader="none" w:pos="22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extraordinary borrowings;</w:t>
      </w:r>
    </w:p>
    <w:p>
      <w:pPr>
        <w:ind w:left="2200" w:hanging="648"/>
        <w:spacing w:after="0" w:line="211" w:lineRule="auto"/>
        <w:tabs>
          <w:tab w:leader="none" w:pos="22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commencement of major litigation or governmental investigations;</w:t>
      </w:r>
    </w:p>
    <w:p>
      <w:pPr>
        <w:ind w:left="2200" w:hanging="648"/>
        <w:spacing w:after="0" w:line="211" w:lineRule="auto"/>
        <w:tabs>
          <w:tab w:leader="none" w:pos="22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financial liquidity problems;</w:t>
      </w:r>
    </w:p>
    <w:p>
      <w:pPr>
        <w:ind w:left="2220" w:hanging="668"/>
        <w:spacing w:after="0" w:line="197" w:lineRule="auto"/>
        <w:tabs>
          <w:tab w:leader="none" w:pos="22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significant changes in management; and</w:t>
      </w:r>
    </w:p>
    <w:p>
      <w:pPr>
        <w:ind w:left="2200" w:hanging="648"/>
        <w:spacing w:after="0"/>
        <w:tabs>
          <w:tab w:leader="none" w:pos="22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declarations of stock splits, stock dividends and cash dividends.</w:t>
      </w:r>
    </w:p>
    <w:p>
      <w:pPr>
        <w:spacing w:after="0" w:line="198" w:lineRule="exact"/>
        <w:rPr>
          <w:sz w:val="20"/>
          <w:szCs w:val="20"/>
          <w:color w:val="auto"/>
        </w:rPr>
      </w:pPr>
    </w:p>
    <w:p>
      <w:pPr>
        <w:ind w:left="900"/>
        <w:spacing w:after="0" w:line="243" w:lineRule="auto"/>
        <w:rPr>
          <w:sz w:val="20"/>
          <w:szCs w:val="20"/>
          <w:color w:val="auto"/>
        </w:rPr>
      </w:pPr>
      <w:r>
        <w:rPr>
          <w:rFonts w:ascii="Arial" w:cs="Arial" w:eastAsia="Arial" w:hAnsi="Arial"/>
          <w:sz w:val="20"/>
          <w:szCs w:val="20"/>
          <w:color w:val="auto"/>
        </w:rPr>
        <w:t>When in doubt, information concerning the Company or its subsidiaries should be presumed to be material and not to have been disclosed to the public.</w:t>
      </w:r>
    </w:p>
    <w:p>
      <w:pPr>
        <w:spacing w:after="0" w:line="167" w:lineRule="exact"/>
        <w:rPr>
          <w:sz w:val="20"/>
          <w:szCs w:val="20"/>
          <w:color w:val="auto"/>
        </w:rPr>
      </w:pPr>
    </w:p>
    <w:p>
      <w:pPr>
        <w:ind w:left="1720" w:hanging="654"/>
        <w:spacing w:after="0"/>
        <w:tabs>
          <w:tab w:leader="none" w:pos="172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on Transactions in Company Common Stock</w:t>
      </w:r>
    </w:p>
    <w:p>
      <w:pPr>
        <w:spacing w:after="0" w:line="249"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Company has adopted the following policies with respect to transactions by</w:t>
      </w:r>
    </w:p>
    <w:p>
      <w:pPr>
        <w:ind w:left="580"/>
        <w:spacing w:after="0"/>
        <w:rPr>
          <w:sz w:val="20"/>
          <w:szCs w:val="20"/>
          <w:color w:val="auto"/>
        </w:rPr>
      </w:pPr>
      <w:r>
        <w:rPr>
          <w:rFonts w:ascii="Arial" w:cs="Arial" w:eastAsia="Arial" w:hAnsi="Arial"/>
          <w:sz w:val="20"/>
          <w:szCs w:val="20"/>
          <w:color w:val="auto"/>
        </w:rPr>
        <w:t>employees and non-employee directors of the Company and its subsidiaries in the Company's Common Stock:</w:t>
      </w:r>
    </w:p>
    <w:p>
      <w:pPr>
        <w:spacing w:after="0" w:line="198" w:lineRule="exact"/>
        <w:rPr>
          <w:sz w:val="20"/>
          <w:szCs w:val="20"/>
          <w:color w:val="auto"/>
        </w:rPr>
      </w:pPr>
    </w:p>
    <w:p>
      <w:pPr>
        <w:jc w:val="both"/>
        <w:ind w:left="260" w:right="120" w:firstLine="1292"/>
        <w:spacing w:after="0" w:line="231" w:lineRule="auto"/>
        <w:tabs>
          <w:tab w:leader="none" w:pos="1921" w:val="left"/>
        </w:tabs>
        <w:numPr>
          <w:ilvl w:val="0"/>
          <w:numId w:val="71"/>
        </w:numPr>
        <w:rPr>
          <w:rFonts w:ascii="Arial" w:cs="Arial" w:eastAsia="Arial" w:hAnsi="Arial"/>
          <w:sz w:val="20"/>
          <w:szCs w:val="20"/>
          <w:color w:val="auto"/>
        </w:rPr>
      </w:pPr>
      <w:r>
        <w:rPr>
          <w:rFonts w:ascii="Arial" w:cs="Arial" w:eastAsia="Arial" w:hAnsi="Arial"/>
          <w:sz w:val="20"/>
          <w:szCs w:val="20"/>
          <w:color w:val="auto"/>
        </w:rPr>
        <w:t>Employees and non-employee directors may not buy or sell the Company’s Common Stock within the period from fifteen days prior to the end of each fiscal quarter (i.e., March 31, June 30, September 30 and December 31) until the second day after the announcement of the earnings of the Company for such quarter.</w:t>
      </w:r>
    </w:p>
    <w:p>
      <w:pPr>
        <w:spacing w:after="0" w:line="172" w:lineRule="exact"/>
        <w:rPr>
          <w:rFonts w:ascii="Arial" w:cs="Arial" w:eastAsia="Arial" w:hAnsi="Arial"/>
          <w:sz w:val="20"/>
          <w:szCs w:val="20"/>
          <w:color w:val="auto"/>
        </w:rPr>
      </w:pPr>
    </w:p>
    <w:p>
      <w:pPr>
        <w:ind w:left="260" w:right="120" w:firstLine="1292"/>
        <w:spacing w:after="0" w:line="243" w:lineRule="auto"/>
        <w:tabs>
          <w:tab w:leader="none" w:pos="1924" w:val="left"/>
        </w:tabs>
        <w:numPr>
          <w:ilvl w:val="0"/>
          <w:numId w:val="71"/>
        </w:numPr>
        <w:rPr>
          <w:rFonts w:ascii="Arial" w:cs="Arial" w:eastAsia="Arial" w:hAnsi="Arial"/>
          <w:sz w:val="20"/>
          <w:szCs w:val="20"/>
          <w:color w:val="auto"/>
        </w:rPr>
      </w:pPr>
      <w:r>
        <w:rPr>
          <w:rFonts w:ascii="Arial" w:cs="Arial" w:eastAsia="Arial" w:hAnsi="Arial"/>
          <w:sz w:val="20"/>
          <w:szCs w:val="20"/>
          <w:color w:val="auto"/>
        </w:rPr>
        <w:t>Employees and non-employee directors may not buy or sell the Company's Common Stock at any time while in possession of material, non-public information.</w:t>
      </w:r>
    </w:p>
    <w:p>
      <w:pPr>
        <w:spacing w:after="0" w:line="182" w:lineRule="exact"/>
        <w:rPr>
          <w:rFonts w:ascii="Arial" w:cs="Arial" w:eastAsia="Arial" w:hAnsi="Arial"/>
          <w:sz w:val="20"/>
          <w:szCs w:val="20"/>
          <w:color w:val="auto"/>
        </w:rPr>
      </w:pPr>
    </w:p>
    <w:p>
      <w:pPr>
        <w:ind w:left="260" w:right="140" w:firstLine="1292"/>
        <w:spacing w:after="0" w:line="243" w:lineRule="auto"/>
        <w:tabs>
          <w:tab w:leader="none" w:pos="1914" w:val="left"/>
        </w:tabs>
        <w:numPr>
          <w:ilvl w:val="0"/>
          <w:numId w:val="71"/>
        </w:numPr>
        <w:rPr>
          <w:rFonts w:ascii="Arial" w:cs="Arial" w:eastAsia="Arial" w:hAnsi="Arial"/>
          <w:sz w:val="20"/>
          <w:szCs w:val="20"/>
          <w:color w:val="auto"/>
        </w:rPr>
      </w:pPr>
      <w:r>
        <w:rPr>
          <w:rFonts w:ascii="Arial" w:cs="Arial" w:eastAsia="Arial" w:hAnsi="Arial"/>
          <w:sz w:val="20"/>
          <w:szCs w:val="20"/>
          <w:color w:val="auto"/>
        </w:rPr>
        <w:t>Employees and non-employee directors may not buy or sell or deal in puts, calls, transferable options or other speculative rights or obligations with respect to equity securities of the Company.</w:t>
      </w:r>
    </w:p>
    <w:p>
      <w:pPr>
        <w:spacing w:after="0" w:line="182" w:lineRule="exact"/>
        <w:rPr>
          <w:sz w:val="20"/>
          <w:szCs w:val="20"/>
          <w:color w:val="auto"/>
        </w:rPr>
      </w:pPr>
    </w:p>
    <w:p>
      <w:pPr>
        <w:ind w:left="260" w:right="120" w:firstLine="1458"/>
        <w:spacing w:after="0" w:line="224" w:lineRule="auto"/>
        <w:rPr>
          <w:sz w:val="20"/>
          <w:szCs w:val="20"/>
          <w:color w:val="auto"/>
        </w:rPr>
      </w:pPr>
      <w:r>
        <w:rPr>
          <w:rFonts w:ascii="Arial" w:cs="Arial" w:eastAsia="Arial" w:hAnsi="Arial"/>
          <w:sz w:val="19"/>
          <w:szCs w:val="19"/>
          <w:color w:val="auto"/>
        </w:rPr>
        <w:t>To facilitate compliance with the foregoing policies, prior to any purchase or sale of Common Stock, employees and non-employee directors should give notice to the Company’s General Counsel of their intent to purchase or</w:t>
      </w:r>
    </w:p>
    <w:p>
      <w:pPr>
        <w:ind w:left="260"/>
        <w:spacing w:after="0" w:line="213" w:lineRule="auto"/>
        <w:rPr>
          <w:sz w:val="20"/>
          <w:szCs w:val="20"/>
          <w:color w:val="auto"/>
        </w:rPr>
      </w:pPr>
      <w:r>
        <w:rPr>
          <w:rFonts w:ascii="Arial" w:cs="Arial" w:eastAsia="Arial" w:hAnsi="Arial"/>
          <w:sz w:val="20"/>
          <w:szCs w:val="20"/>
          <w:color w:val="auto"/>
        </w:rPr>
        <w:t>sell Cross Country Healthcare, Inc. securities. Prior to any exercise of options and/or subsequent sale thereafter of Cross</w:t>
      </w:r>
    </w:p>
    <w:p>
      <w:pPr>
        <w:ind w:left="260" w:right="120"/>
        <w:spacing w:after="0" w:line="225" w:lineRule="auto"/>
        <w:rPr>
          <w:sz w:val="20"/>
          <w:szCs w:val="20"/>
          <w:color w:val="auto"/>
        </w:rPr>
      </w:pPr>
      <w:r>
        <w:rPr>
          <w:rFonts w:ascii="Arial" w:cs="Arial" w:eastAsia="Arial" w:hAnsi="Arial"/>
          <w:sz w:val="20"/>
          <w:szCs w:val="20"/>
          <w:color w:val="auto"/>
        </w:rPr>
        <w:t xml:space="preserve">Country Healthcare, Inc. securities an employee or non-employee director must complete a </w:t>
      </w:r>
      <w:r>
        <w:rPr>
          <w:rFonts w:ascii="Arial" w:cs="Arial" w:eastAsia="Arial" w:hAnsi="Arial"/>
          <w:sz w:val="20"/>
          <w:szCs w:val="20"/>
          <w:i w:val="1"/>
          <w:iCs w:val="1"/>
          <w:color w:val="auto"/>
        </w:rPr>
        <w:t>Prior Transaction Notification</w:t>
      </w:r>
      <w:r>
        <w:rPr>
          <w:rFonts w:ascii="Arial" w:cs="Arial" w:eastAsia="Arial" w:hAnsi="Arial"/>
          <w:sz w:val="20"/>
          <w:szCs w:val="20"/>
          <w:color w:val="auto"/>
        </w:rPr>
        <w:t xml:space="preserve"> </w:t>
      </w:r>
      <w:r>
        <w:rPr>
          <w:rFonts w:ascii="Arial" w:cs="Arial" w:eastAsia="Arial" w:hAnsi="Arial"/>
          <w:sz w:val="20"/>
          <w:szCs w:val="20"/>
          <w:i w:val="1"/>
          <w:iCs w:val="1"/>
          <w:color w:val="auto"/>
        </w:rPr>
        <w:t>Form</w:t>
      </w:r>
      <w:r>
        <w:rPr>
          <w:rFonts w:ascii="Arial" w:cs="Arial" w:eastAsia="Arial" w:hAnsi="Arial"/>
          <w:sz w:val="20"/>
          <w:szCs w:val="20"/>
          <w:color w:val="auto"/>
        </w:rPr>
        <w:t>. The completed form must be sent to the General Counsel at least 48 hours prior to the intended transaction date.</w:t>
      </w:r>
    </w:p>
    <w:p>
      <w:pPr>
        <w:spacing w:after="0" w:line="199" w:lineRule="exact"/>
        <w:rPr>
          <w:sz w:val="20"/>
          <w:szCs w:val="20"/>
          <w:color w:val="auto"/>
        </w:rPr>
      </w:pPr>
    </w:p>
    <w:p>
      <w:pPr>
        <w:ind w:left="260" w:right="80" w:firstLine="1458"/>
        <w:spacing w:after="0" w:line="224" w:lineRule="auto"/>
        <w:rPr>
          <w:sz w:val="20"/>
          <w:szCs w:val="20"/>
          <w:color w:val="auto"/>
        </w:rPr>
      </w:pPr>
      <w:r>
        <w:rPr>
          <w:rFonts w:ascii="Arial" w:cs="Arial" w:eastAsia="Arial" w:hAnsi="Arial"/>
          <w:sz w:val="19"/>
          <w:szCs w:val="19"/>
          <w:color w:val="auto"/>
        </w:rPr>
        <w:t>You may either fax or email the form. If you fax the form, it must reflect your signature. Fax in confidence to 800-565-9774 Attention: General Counsel. If you email the form, send to Cross Country Healthcare, Inc.’s General Counsel</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 sball@crosscountry.com.</w:t>
      </w:r>
    </w:p>
    <w:p>
      <w:pPr>
        <w:spacing w:after="0" w:line="196" w:lineRule="exact"/>
        <w:rPr>
          <w:sz w:val="20"/>
          <w:szCs w:val="20"/>
          <w:color w:val="auto"/>
        </w:rPr>
      </w:pPr>
    </w:p>
    <w:p>
      <w:pPr>
        <w:ind w:left="260" w:right="820" w:firstLine="1458"/>
        <w:spacing w:after="0" w:line="235"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change or cancel information submitted on a</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Prior Transaction Notification Form</w:t>
      </w:r>
      <w:r>
        <w:rPr>
          <w:rFonts w:ascii="Arial" w:cs="Arial" w:eastAsia="Arial" w:hAnsi="Arial"/>
          <w:sz w:val="20"/>
          <w:szCs w:val="20"/>
          <w:color w:val="auto"/>
        </w:rPr>
        <w:t>, fill out a</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Change or Cancel Notification Form </w:t>
      </w:r>
      <w:r>
        <w:rPr>
          <w:rFonts w:ascii="Arial" w:cs="Arial" w:eastAsia="Arial" w:hAnsi="Arial"/>
          <w:sz w:val="20"/>
          <w:szCs w:val="20"/>
          <w:color w:val="auto"/>
        </w:rPr>
        <w:t>and forward to the Company’s General Counsel immediately.</w:t>
      </w:r>
    </w:p>
    <w:p>
      <w:pPr>
        <w:spacing w:after="0" w:line="186" w:lineRule="exact"/>
        <w:rPr>
          <w:sz w:val="20"/>
          <w:szCs w:val="20"/>
          <w:color w:val="auto"/>
        </w:rPr>
      </w:pPr>
    </w:p>
    <w:p>
      <w:pPr>
        <w:ind w:left="260" w:right="260" w:firstLine="1458"/>
        <w:spacing w:after="0" w:line="243" w:lineRule="auto"/>
        <w:rPr>
          <w:sz w:val="20"/>
          <w:szCs w:val="20"/>
          <w:color w:val="auto"/>
        </w:rPr>
      </w:pPr>
      <w:r>
        <w:rPr>
          <w:rFonts w:ascii="Arial" w:cs="Arial" w:eastAsia="Arial" w:hAnsi="Arial"/>
          <w:sz w:val="20"/>
          <w:szCs w:val="20"/>
          <w:color w:val="auto"/>
        </w:rPr>
        <w:t xml:space="preserve">No later than 1 day after any exercise, purchase or sale of Cross Country Healthcare, Inc. securities, you must complete a </w:t>
      </w:r>
      <w:r>
        <w:rPr>
          <w:rFonts w:ascii="Arial" w:cs="Arial" w:eastAsia="Arial" w:hAnsi="Arial"/>
          <w:sz w:val="20"/>
          <w:szCs w:val="20"/>
          <w:i w:val="1"/>
          <w:iCs w:val="1"/>
          <w:color w:val="auto"/>
        </w:rPr>
        <w:t>Post Transaction Notification Form</w:t>
      </w:r>
      <w:r>
        <w:rPr>
          <w:rFonts w:ascii="Arial" w:cs="Arial" w:eastAsia="Arial" w:hAnsi="Arial"/>
          <w:sz w:val="20"/>
          <w:szCs w:val="20"/>
          <w:color w:val="auto"/>
        </w:rPr>
        <w:t xml:space="preserve"> and forward to the Company’s General Counsel.</w:t>
      </w:r>
    </w:p>
    <w:p>
      <w:pPr>
        <w:spacing w:after="0" w:line="167" w:lineRule="exact"/>
        <w:rPr>
          <w:sz w:val="20"/>
          <w:szCs w:val="20"/>
          <w:color w:val="auto"/>
        </w:rPr>
      </w:pPr>
    </w:p>
    <w:p>
      <w:pPr>
        <w:ind w:left="1720" w:hanging="492"/>
        <w:spacing w:after="0"/>
        <w:tabs>
          <w:tab w:leader="none" w:pos="172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p>
    <w:p>
      <w:pPr>
        <w:spacing w:after="0" w:line="26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unauthorized disclosure of material information concerning the Company or its subsidiaries may</w:t>
      </w:r>
    </w:p>
    <w:p>
      <w:pPr>
        <w:ind w:left="260" w:right="120"/>
        <w:spacing w:after="0" w:line="215" w:lineRule="auto"/>
        <w:rPr>
          <w:sz w:val="20"/>
          <w:szCs w:val="20"/>
          <w:color w:val="auto"/>
        </w:rPr>
      </w:pPr>
      <w:r>
        <w:rPr>
          <w:rFonts w:ascii="Arial" w:cs="Arial" w:eastAsia="Arial" w:hAnsi="Arial"/>
          <w:sz w:val="19"/>
          <w:szCs w:val="19"/>
          <w:color w:val="auto"/>
        </w:rPr>
        <w:t xml:space="preserve">cause serious harm, whether or not such disclosure is for the purpose of facilitating improper trading in the Company's Common Stock. </w:t>
      </w:r>
      <w:r>
        <w:rPr>
          <w:rFonts w:ascii="Arial" w:cs="Arial" w:eastAsia="Arial" w:hAnsi="Arial"/>
          <w:sz w:val="19"/>
          <w:szCs w:val="19"/>
          <w:b w:val="1"/>
          <w:bCs w:val="1"/>
          <w:color w:val="auto"/>
        </w:rPr>
        <w:t>Therefore, employees and non-employee directors should not discuss any non-public information</w:t>
      </w:r>
    </w:p>
    <w:p>
      <w:pPr>
        <w:ind w:left="260"/>
        <w:spacing w:after="0" w:line="211" w:lineRule="auto"/>
        <w:rPr>
          <w:sz w:val="20"/>
          <w:szCs w:val="20"/>
          <w:color w:val="auto"/>
        </w:rPr>
      </w:pPr>
      <w:r>
        <w:rPr>
          <w:rFonts w:ascii="Arial" w:cs="Arial" w:eastAsia="Arial" w:hAnsi="Arial"/>
          <w:sz w:val="20"/>
          <w:szCs w:val="20"/>
          <w:b w:val="1"/>
          <w:bCs w:val="1"/>
          <w:color w:val="auto"/>
        </w:rPr>
        <w:t>concerning the Company or its subsidiaries with anyone outside of the Company</w:t>
      </w:r>
      <w:r>
        <w:rPr>
          <w:rFonts w:ascii="Arial" w:cs="Arial" w:eastAsia="Arial" w:hAnsi="Arial"/>
          <w:sz w:val="20"/>
          <w:szCs w:val="20"/>
          <w:color w:val="auto"/>
        </w:rPr>
        <w:t>. This prohibition applies</w:t>
      </w:r>
    </w:p>
    <w:p>
      <w:pPr>
        <w:ind w:left="260" w:right="120"/>
        <w:spacing w:after="0" w:line="204" w:lineRule="auto"/>
        <w:rPr>
          <w:sz w:val="20"/>
          <w:szCs w:val="20"/>
          <w:color w:val="auto"/>
        </w:rPr>
      </w:pPr>
      <w:r>
        <w:rPr>
          <w:rFonts w:ascii="Arial" w:cs="Arial" w:eastAsia="Arial" w:hAnsi="Arial"/>
          <w:sz w:val="20"/>
          <w:szCs w:val="20"/>
          <w:color w:val="auto"/>
        </w:rPr>
        <w:t>specifically, but not exclusively, to inquiries about the Company or its subsidiaries which may be made by the financial press, investment analysts or others in the financial community or any stockholder. It is important that all such</w:t>
      </w:r>
    </w:p>
    <w:p>
      <w:pPr>
        <w:ind w:left="260"/>
        <w:spacing w:after="0" w:line="211" w:lineRule="auto"/>
        <w:rPr>
          <w:sz w:val="20"/>
          <w:szCs w:val="20"/>
          <w:color w:val="auto"/>
        </w:rPr>
      </w:pPr>
      <w:r>
        <w:rPr>
          <w:rFonts w:ascii="Arial" w:cs="Arial" w:eastAsia="Arial" w:hAnsi="Arial"/>
          <w:sz w:val="20"/>
          <w:szCs w:val="20"/>
          <w:color w:val="auto"/>
        </w:rPr>
        <w:t>communications on behalf of the Company or its subsidiaries be made through an appropriately designated officer under</w:t>
      </w:r>
    </w:p>
    <w:p>
      <w:pPr>
        <w:spacing w:after="0" w:line="1" w:lineRule="exact"/>
        <w:rPr>
          <w:sz w:val="20"/>
          <w:szCs w:val="20"/>
          <w:color w:val="auto"/>
        </w:rPr>
      </w:pPr>
    </w:p>
    <w:p>
      <w:pPr>
        <w:ind w:left="260" w:right="120"/>
        <w:spacing w:after="0" w:line="225" w:lineRule="auto"/>
        <w:rPr>
          <w:sz w:val="20"/>
          <w:szCs w:val="20"/>
          <w:color w:val="auto"/>
        </w:rPr>
      </w:pPr>
      <w:r>
        <w:rPr>
          <w:rFonts w:ascii="Arial" w:cs="Arial" w:eastAsia="Arial" w:hAnsi="Arial"/>
          <w:sz w:val="20"/>
          <w:szCs w:val="20"/>
          <w:color w:val="auto"/>
        </w:rPr>
        <w:t>carefully controlled circumstances. If you receive any inquiries of this nature, you should decline comment and refer the inquirer to the Company’s General Counsel, unless you are expressly authorized to the contrary.</w:t>
      </w:r>
    </w:p>
    <w:p>
      <w:pPr>
        <w:spacing w:after="0" w:line="210"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699516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50" w:lineRule="exact"/>
        <w:rPr>
          <w:sz w:val="20"/>
          <w:szCs w:val="20"/>
          <w:color w:val="auto"/>
        </w:rPr>
      </w:pPr>
    </w:p>
    <w:p>
      <w:pPr>
        <w:jc w:val="both"/>
        <w:ind w:right="20" w:firstLine="1386"/>
        <w:spacing w:after="0" w:line="257" w:lineRule="auto"/>
        <w:rPr>
          <w:sz w:val="20"/>
          <w:szCs w:val="20"/>
          <w:color w:val="auto"/>
        </w:rPr>
      </w:pPr>
      <w:r>
        <w:rPr>
          <w:rFonts w:ascii="Arial" w:cs="Arial" w:eastAsia="Arial" w:hAnsi="Arial"/>
          <w:sz w:val="19"/>
          <w:szCs w:val="19"/>
          <w:color w:val="auto"/>
        </w:rPr>
        <w:t xml:space="preserve">Adherence to the policies set forth in this memorandum is essential. </w:t>
      </w:r>
      <w:r>
        <w:rPr>
          <w:rFonts w:ascii="Arial" w:cs="Arial" w:eastAsia="Arial" w:hAnsi="Arial"/>
          <w:sz w:val="19"/>
          <w:szCs w:val="19"/>
          <w:b w:val="1"/>
          <w:bCs w:val="1"/>
          <w:color w:val="auto"/>
        </w:rPr>
        <w:t>Any violation of the Company's policies</w:t>
      </w:r>
      <w:r>
        <w:rPr>
          <w:rFonts w:ascii="Arial" w:cs="Arial" w:eastAsia="Arial" w:hAnsi="Arial"/>
          <w:sz w:val="19"/>
          <w:szCs w:val="19"/>
          <w:color w:val="auto"/>
        </w:rPr>
        <w:t xml:space="preserve"> </w:t>
      </w:r>
      <w:r>
        <w:rPr>
          <w:rFonts w:ascii="Arial" w:cs="Arial" w:eastAsia="Arial" w:hAnsi="Arial"/>
          <w:sz w:val="16"/>
          <w:szCs w:val="16"/>
          <w:color w:val="FFFFFF"/>
        </w:rPr>
        <w:t>Page</w:t>
      </w:r>
      <w:r>
        <w:rPr>
          <w:rFonts w:ascii="Arial" w:cs="Arial" w:eastAsia="Arial" w:hAnsi="Arial"/>
          <w:sz w:val="18"/>
          <w:szCs w:val="18"/>
          <w:b w:val="1"/>
          <w:bCs w:val="1"/>
          <w:color w:val="000000"/>
        </w:rPr>
        <w:t>as</w:t>
      </w:r>
      <w:r>
        <w:rPr>
          <w:rFonts w:ascii="Arial" w:cs="Arial" w:eastAsia="Arial" w:hAnsi="Arial"/>
          <w:sz w:val="16"/>
          <w:szCs w:val="16"/>
          <w:b w:val="1"/>
          <w:bCs w:val="1"/>
          <w:color w:val="FFFFFF"/>
        </w:rPr>
        <w:t>2</w:t>
      </w:r>
      <w:r>
        <w:rPr>
          <w:rFonts w:ascii="Arial" w:cs="Arial" w:eastAsia="Arial" w:hAnsi="Arial"/>
          <w:sz w:val="18"/>
          <w:szCs w:val="18"/>
          <w:b w:val="1"/>
          <w:bCs w:val="1"/>
          <w:color w:val="000000"/>
        </w:rPr>
        <w:t>set</w:t>
      </w:r>
      <w:r>
        <w:rPr>
          <w:rFonts w:ascii="Arial" w:cs="Arial" w:eastAsia="Arial" w:hAnsi="Arial"/>
          <w:sz w:val="16"/>
          <w:szCs w:val="16"/>
          <w:color w:val="FFFFFF"/>
        </w:rPr>
        <w:t xml:space="preserve">of </w:t>
      </w:r>
      <w:r>
        <w:rPr>
          <w:rFonts w:ascii="Arial" w:cs="Arial" w:eastAsia="Arial" w:hAnsi="Arial"/>
          <w:sz w:val="18"/>
          <w:szCs w:val="18"/>
          <w:b w:val="1"/>
          <w:bCs w:val="1"/>
          <w:color w:val="000000"/>
        </w:rPr>
        <w:t>forth in this memorandum will be regarded as a serious matter and may result in termination of employment.</w:t>
      </w:r>
    </w:p>
    <w:p>
      <w:pPr>
        <w:spacing w:after="0"/>
        <w:rPr>
          <w:sz w:val="20"/>
          <w:szCs w:val="20"/>
          <w:color w:val="auto"/>
        </w:rPr>
      </w:pPr>
      <w:r>
        <w:rPr>
          <w:rFonts w:ascii="Arial" w:cs="Arial" w:eastAsia="Arial" w:hAnsi="Arial"/>
          <w:sz w:val="18"/>
          <w:szCs w:val="18"/>
          <w:b w:val="1"/>
          <w:bCs w:val="1"/>
          <w:color w:val="FFFFFF"/>
        </w:rPr>
        <w:t>#NUM_PAGES#</w:t>
      </w:r>
    </w:p>
    <w:p>
      <w:pPr>
        <w:sectPr>
          <w:pgSz w:w="11900" w:h="16838" w:orient="portrait"/>
          <w:cols w:equalWidth="0" w:num="1">
            <w:col w:w="11140"/>
          </w:cols>
          <w:pgMar w:left="360" w:top="1067" w:right="3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0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594"/>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America,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Cejka Search,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Credent Verification and Licensing Services,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DAS, Inc.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Country Holdco (Cyprus) Limited</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Cyprus</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Infotech, Pvt. Ltd.</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Country Staffing, Inc.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Tech,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Intellify Talent Solutions,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Medical Doctor Associates,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Mediscan II,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OWS, LLC</w:t>
            </w:r>
          </w:p>
        </w:tc>
        <w:tc>
          <w:tcPr>
            <w:tcW w:w="70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Staff, LLC</w:t>
            </w:r>
          </w:p>
        </w:tc>
        <w:tc>
          <w:tcPr>
            <w:tcW w:w="70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333-279632, 333-74862, 333-145484, 333-188519, 333-196639, 333-218557 and 333-238719 on Form S-8 and Registration Statement No. 333-263433 on Form S-3 of our report dated March 9, 2026, relating to the consolidated financial statements of Cross Country Healthcare, Inc. and the effectiveness of Cross Country Healthcare, Inc.’s internal control over financial reporting appearing in this Annual Report on Form 10-K for the year ended December 31, 2025.</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 Clark,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March 9, 2026</w:t>
      </w:r>
      <w:r>
        <w:rPr>
          <w:sz w:val="20"/>
          <w:szCs w:val="20"/>
          <w:color w:val="auto"/>
        </w:rPr>
        <w:tab/>
      </w:r>
      <w:r>
        <w:rPr>
          <w:rFonts w:ascii="Times New Roman" w:cs="Times New Roman" w:eastAsia="Times New Roman" w:hAnsi="Times New Roman"/>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Kevin C. Clark</w:t>
      </w:r>
    </w:p>
    <w:p>
      <w:pPr>
        <w:ind w:left="3000"/>
        <w:spacing w:after="0" w:line="203" w:lineRule="auto"/>
        <w:rPr>
          <w:sz w:val="20"/>
          <w:szCs w:val="20"/>
          <w:color w:val="auto"/>
        </w:rPr>
      </w:pPr>
      <w:r>
        <w:rPr>
          <w:rFonts w:ascii="Times New Roman" w:cs="Times New Roman" w:eastAsia="Times New Roman" w:hAnsi="Times New Roman"/>
          <w:sz w:val="18"/>
          <w:szCs w:val="18"/>
          <w:color w:val="auto"/>
        </w:rPr>
        <w:t>Chairman, Chief Executive Officer, and President</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360"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March 9, 2026</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30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Cross Country Healthcare, Inc. (the Company) for the year ended December 31, 2025, (the "Periodic Report"), I, Kevin C. Clark, Chairman, Chief Executive Officer, and President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March 9, 2026</w:t>
      </w:r>
      <w:r>
        <w:rPr>
          <w:sz w:val="20"/>
          <w:szCs w:val="20"/>
          <w:color w:val="auto"/>
        </w:rPr>
        <w:tab/>
      </w:r>
      <w:r>
        <w:rPr>
          <w:rFonts w:ascii="Times New Roman" w:cs="Times New Roman" w:eastAsia="Times New Roman" w:hAnsi="Times New Roman"/>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Kevin C. Clark</w:t>
      </w:r>
    </w:p>
    <w:p>
      <w:pPr>
        <w:ind w:left="3040"/>
        <w:spacing w:after="0" w:line="203" w:lineRule="auto"/>
        <w:rPr>
          <w:sz w:val="20"/>
          <w:szCs w:val="20"/>
          <w:color w:val="auto"/>
        </w:rPr>
      </w:pPr>
      <w:r>
        <w:rPr>
          <w:rFonts w:ascii="Times New Roman" w:cs="Times New Roman" w:eastAsia="Times New Roman" w:hAnsi="Times New Roman"/>
          <w:sz w:val="18"/>
          <w:szCs w:val="18"/>
          <w:color w:val="auto"/>
        </w:rPr>
        <w:t>Chairman, Chief Executive Officer, and President</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Cross Country Healthcare, Inc. (the "Company") for the year ended December 31, 2025,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March 9, 2026</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line="203"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3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decimal"/>
      <w:start w:val="2"/>
    </w:lvl>
  </w:abstractNum>
  <w:abstractNum w:abstractNumId="4">
    <w:nsid w:val="51EAD36B"/>
    <w:multiLevelType w:val="hybridMultilevel"/>
    <w:lvl w:ilvl="0">
      <w:lvlJc w:val="left"/>
      <w:lvlText w:val="%1"/>
      <w:numFmt w:val="upperLetter"/>
      <w:start w:val="35"/>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2"/>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upperLetter"/>
      <w:start w:val="1"/>
    </w:lvl>
  </w:abstractNum>
  <w:abstractNum w:abstractNumId="14">
    <w:nsid w:val="2CD89A32"/>
    <w:multiLevelType w:val="hybridMultilevel"/>
    <w:lvl w:ilvl="0">
      <w:lvlJc w:val="left"/>
      <w:lvlText w:val="%1."/>
      <w:numFmt w:val="upperLetter"/>
      <w:start w:val="2"/>
    </w:lvl>
  </w:abstractNum>
  <w:abstractNum w:abstractNumId="15">
    <w:nsid w:val="57E4CCAF"/>
    <w:multiLevelType w:val="hybridMultilevel"/>
    <w:lvl w:ilvl="0">
      <w:lvlJc w:val="left"/>
      <w:lvlText w:val="%1."/>
      <w:numFmt w:val="upperLetter"/>
      <w:start w:val="3"/>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lowerLetter"/>
      <w:start w:val="1"/>
    </w:lvl>
    <w:lvl w:ilvl="1">
      <w:lvlJc w:val="left"/>
      <w:lvlText w:val="(%2)"/>
      <w:numFmt w:val="decimal"/>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lvl w:ilvl="1">
      <w:lvlJc w:val="left"/>
      <w:lvlText w:val="\endash "/>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upperLetter"/>
      <w:start w:val="35"/>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Letter"/>
      <w:start w:val="1"/>
    </w:lvl>
  </w:abstractNum>
  <w:abstractNum w:abstractNumId="26">
    <w:nsid w:val="3DC240FB"/>
    <w:multiLevelType w:val="hybridMultilevel"/>
    <w:lvl w:ilvl="0">
      <w:lvlJc w:val="left"/>
      <w:lvlText w:val="(%1)"/>
      <w:numFmt w:val="lowerRoman"/>
      <w:start w:val="3"/>
    </w:lvl>
  </w:abstractNum>
  <w:abstractNum w:abstractNumId="27">
    <w:nsid w:val="1BA026FA"/>
    <w:multiLevelType w:val="hybridMultilevel"/>
    <w:lvl w:ilvl="0">
      <w:lvlJc w:val="left"/>
      <w:lvlText w:val="(%1)"/>
      <w:numFmt w:val="lowerRoman"/>
      <w:start w:val="3"/>
    </w:lvl>
  </w:abstractNum>
  <w:abstractNum w:abstractNumId="28">
    <w:nsid w:val="79A1DEAA"/>
    <w:multiLevelType w:val="hybridMultilevel"/>
    <w:lvl w:ilvl="0">
      <w:lvlJc w:val="left"/>
      <w:lvlText w:val="(%1)"/>
      <w:numFmt w:val="lowerRoman"/>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8"/>
    </w:lvl>
    <w:lvl w:ilvl="1">
      <w:lvlJc w:val="left"/>
      <w:lvlText w:val="•"/>
      <w:numFmt w:val="bullet"/>
      <w:start w:val="1"/>
    </w:lvl>
  </w:abstractNum>
  <w:abstractNum w:abstractNumId="38">
    <w:nsid w:val="39386575"/>
    <w:multiLevelType w:val="hybridMultilevel"/>
    <w:lvl w:ilvl="0">
      <w:lvlJc w:val="left"/>
      <w:lvlText w:val="%1."/>
      <w:numFmt w:val="decimal"/>
      <w:start w:val="1"/>
    </w:lvl>
    <w:lvl w:ilvl="1">
      <w:lvlJc w:val="left"/>
      <w:lvlText w:val="(%2)"/>
      <w:numFmt w:val="lowerLetter"/>
      <w:start w:val="1"/>
    </w:lvl>
  </w:abstractNum>
  <w:abstractNum w:abstractNumId="39">
    <w:nsid w:val="1CF10FD8"/>
    <w:multiLevelType w:val="hybridMultilevel"/>
    <w:lvl w:ilvl="0">
      <w:lvlJc w:val="left"/>
      <w:lvlText w:val="(%1)"/>
      <w:numFmt w:val="lowerLetter"/>
      <w:start w:val="2"/>
    </w:lvl>
  </w:abstractNum>
  <w:abstractNum w:abstractNumId="40">
    <w:nsid w:val="180115BE"/>
    <w:multiLevelType w:val="hybridMultilevel"/>
    <w:lvl w:ilvl="0">
      <w:lvlJc w:val="left"/>
      <w:lvlText w:val="%1"/>
      <w:numFmt w:val="decimal"/>
      <w:start w:val="1"/>
    </w:lvl>
    <w:lvl w:ilvl="1">
      <w:lvlJc w:val="left"/>
      <w:lvlText w:val="(%2)"/>
      <w:numFmt w:val="lowerLetter"/>
      <w:start w:val="4"/>
    </w:lvl>
  </w:abstractNum>
  <w:abstractNum w:abstractNumId="41">
    <w:nsid w:val="235BA861"/>
    <w:multiLevelType w:val="hybridMultilevel"/>
    <w:lvl w:ilvl="0">
      <w:lvlJc w:val="left"/>
      <w:lvlText w:val="%1."/>
      <w:numFmt w:val="decimal"/>
      <w:start w:val="3"/>
    </w:lvl>
    <w:lvl w:ilvl="1">
      <w:lvlJc w:val="left"/>
      <w:lvlText w:val="(%2)"/>
      <w:numFmt w:val="lowerLetter"/>
      <w:start w:val="1"/>
    </w:lvl>
  </w:abstractNum>
  <w:abstractNum w:abstractNumId="42">
    <w:nsid w:val="47398C89"/>
    <w:multiLevelType w:val="hybridMultilevel"/>
    <w:lvl w:ilvl="0">
      <w:lvlJc w:val="left"/>
      <w:lvlText w:val="%1"/>
      <w:numFmt w:val="decimal"/>
      <w:start w:val="1"/>
    </w:lvl>
    <w:lvl w:ilvl="1">
      <w:lvlJc w:val="left"/>
      <w:lvlText w:val="(%2)"/>
      <w:numFmt w:val="lowerLetter"/>
      <w:start w:val="2"/>
    </w:lvl>
  </w:abstractNum>
  <w:abstractNum w:abstractNumId="43">
    <w:nsid w:val="354FE9F9"/>
    <w:multiLevelType w:val="hybridMultilevel"/>
    <w:lvl w:ilvl="0">
      <w:lvlJc w:val="left"/>
      <w:lvlText w:val="%1."/>
      <w:numFmt w:val="decimal"/>
      <w:start w:val="5"/>
    </w:lvl>
    <w:lvl w:ilvl="1">
      <w:lvlJc w:val="left"/>
      <w:lvlText w:val="%2"/>
      <w:numFmt w:val="lowerLetter"/>
      <w:start w:val="1"/>
    </w:lvl>
  </w:abstractNum>
  <w:abstractNum w:abstractNumId="44">
    <w:nsid w:val="15B5AF5C"/>
    <w:multiLevelType w:val="hybridMultilevel"/>
    <w:lvl w:ilvl="0">
      <w:lvlJc w:val="left"/>
      <w:lvlText w:val="%1."/>
      <w:numFmt w:val="decimal"/>
      <w:start w:val="6"/>
    </w:lvl>
  </w:abstractNum>
  <w:abstractNum w:abstractNumId="45">
    <w:nsid w:val="741226BB"/>
    <w:multiLevelType w:val="hybridMultilevel"/>
    <w:lvl w:ilvl="0">
      <w:lvlJc w:val="left"/>
      <w:lvlText w:val="%1."/>
      <w:numFmt w:val="decimal"/>
      <w:start w:val="11"/>
    </w:lvl>
    <w:lvl w:ilvl="1">
      <w:lvlJc w:val="left"/>
      <w:lvlText w:val="(%2)"/>
      <w:numFmt w:val="lowerLetter"/>
      <w:start w:val="1"/>
    </w:lvl>
  </w:abstractNum>
  <w:abstractNum w:abstractNumId="46">
    <w:nsid w:val="D34B6A8"/>
    <w:multiLevelType w:val="hybridMultilevel"/>
    <w:lvl w:ilvl="0">
      <w:lvlJc w:val="left"/>
      <w:lvlText w:val="(%1)"/>
      <w:numFmt w:val="lowerLetter"/>
      <w:start w:val="4"/>
    </w:lvl>
  </w:abstractNum>
  <w:abstractNum w:abstractNumId="47">
    <w:nsid w:val="10233C99"/>
    <w:multiLevelType w:val="hybridMultilevel"/>
    <w:lvl w:ilvl="0">
      <w:lvlJc w:val="left"/>
      <w:lvlText w:val="%1."/>
      <w:numFmt w:val="decimal"/>
      <w:start w:val="1"/>
    </w:lvl>
    <w:lvl w:ilvl="1">
      <w:lvlJc w:val="left"/>
      <w:lvlText w:val="(%2)"/>
      <w:numFmt w:val="lowerLetter"/>
      <w:start w:val="1"/>
    </w:lvl>
  </w:abstractNum>
  <w:abstractNum w:abstractNumId="48">
    <w:nsid w:val="3F6AB60F"/>
    <w:multiLevelType w:val="hybridMultilevel"/>
    <w:lvl w:ilvl="0">
      <w:lvlJc w:val="left"/>
      <w:lvlText w:val="%1"/>
      <w:numFmt w:val="decimal"/>
      <w:start w:val="1"/>
    </w:lvl>
    <w:lvl w:ilvl="1">
      <w:lvlJc w:val="left"/>
      <w:lvlText w:val="(%2)"/>
      <w:numFmt w:val="lowerLetter"/>
      <w:start w:val="2"/>
    </w:lvl>
  </w:abstractNum>
  <w:abstractNum w:abstractNumId="49">
    <w:nsid w:val="61574095"/>
    <w:multiLevelType w:val="hybridMultilevel"/>
    <w:lvl w:ilvl="0">
      <w:lvlJc w:val="left"/>
      <w:lvlText w:val="%1."/>
      <w:numFmt w:val="decimal"/>
      <w:start w:val="4"/>
    </w:lvl>
    <w:lvl w:ilvl="1">
      <w:lvlJc w:val="left"/>
      <w:lvlText w:val="(%2)"/>
      <w:numFmt w:val="lowerLetter"/>
      <w:start w:val="1"/>
    </w:lvl>
  </w:abstractNum>
  <w:abstractNum w:abstractNumId="50">
    <w:nsid w:val="7E0C57B1"/>
    <w:multiLevelType w:val="hybridMultilevel"/>
    <w:lvl w:ilvl="0">
      <w:lvlJc w:val="left"/>
      <w:lvlText w:val="%1."/>
      <w:numFmt w:val="decimal"/>
      <w:start w:val="5"/>
    </w:lvl>
    <w:lvl w:ilvl="1">
      <w:lvlJc w:val="left"/>
      <w:lvlText w:val="(%2)"/>
      <w:numFmt w:val="lowerLetter"/>
      <w:start w:val="1"/>
    </w:lvl>
  </w:abstractNum>
  <w:abstractNum w:abstractNumId="51">
    <w:nsid w:val="77AE35EB"/>
    <w:multiLevelType w:val="hybridMultilevel"/>
    <w:lvl w:ilvl="0">
      <w:lvlJc w:val="left"/>
      <w:lvlText w:val="%1."/>
      <w:numFmt w:val="decimal"/>
      <w:start w:val="6"/>
    </w:lvl>
  </w:abstractNum>
  <w:abstractNum w:abstractNumId="52">
    <w:nsid w:val="579BE4F1"/>
    <w:multiLevelType w:val="hybridMultilevel"/>
    <w:lvl w:ilvl="0">
      <w:lvlJc w:val="left"/>
      <w:lvlText w:val="%1."/>
      <w:numFmt w:val="decimal"/>
      <w:start w:val="12"/>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upperLetter"/>
      <w:start w:val="2"/>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decimal"/>
      <w:start w:val="1"/>
    </w:lvl>
    <w:lvl w:ilvl="1">
      <w:lvlJc w:val="left"/>
      <w:lvlText w:val="(%2)"/>
      <w:numFmt w:val="lowerLetter"/>
      <w:start w:val="1"/>
    </w:lvl>
  </w:abstractNum>
  <w:abstractNum w:abstractNumId="57">
    <w:nsid w:val="1DBABF00"/>
    <w:multiLevelType w:val="hybridMultilevel"/>
    <w:lvl w:ilvl="0">
      <w:lvlJc w:val="left"/>
      <w:lvlText w:val="%1"/>
      <w:numFmt w:val="decimal"/>
      <w:start w:val="1"/>
    </w:lvl>
    <w:lvl w:ilvl="1">
      <w:lvlJc w:val="left"/>
      <w:lvlText w:val="(%2)"/>
      <w:numFmt w:val="lowerLetter"/>
      <w:start w:val="2"/>
    </w:lvl>
  </w:abstractNum>
  <w:abstractNum w:abstractNumId="58">
    <w:nsid w:val="4AD084E9"/>
    <w:multiLevelType w:val="hybridMultilevel"/>
    <w:lvl w:ilvl="0">
      <w:lvlJc w:val="left"/>
      <w:lvlText w:val="%1."/>
      <w:numFmt w:val="decimal"/>
      <w:start w:val="5"/>
    </w:lvl>
    <w:lvl w:ilvl="1">
      <w:lvlJc w:val="left"/>
      <w:lvlText w:val="%2"/>
      <w:numFmt w:val="lowerLetter"/>
      <w:start w:val="1"/>
    </w:lvl>
  </w:abstractNum>
  <w:abstractNum w:abstractNumId="59">
    <w:nsid w:val="1F48EAA1"/>
    <w:multiLevelType w:val="hybridMultilevel"/>
    <w:lvl w:ilvl="0">
      <w:lvlJc w:val="left"/>
      <w:lvlText w:val="%1"/>
      <w:numFmt w:val="decimal"/>
      <w:start w:val="30"/>
    </w:lvl>
    <w:lvl w:ilvl="1">
      <w:lvlJc w:val="left"/>
      <w:lvlText w:val="%2"/>
      <w:numFmt w:val="lowerLetter"/>
      <w:start w:val="1"/>
    </w:lvl>
  </w:abstractNum>
  <w:abstractNum w:abstractNumId="60">
    <w:nsid w:val="1381823A"/>
    <w:multiLevelType w:val="hybridMultilevel"/>
    <w:lvl w:ilvl="0">
      <w:lvlJc w:val="left"/>
      <w:lvlText w:val="%1."/>
      <w:numFmt w:val="decimal"/>
      <w:start w:val="6"/>
    </w:lvl>
    <w:lvl w:ilvl="1">
      <w:lvlJc w:val="left"/>
      <w:lvlText w:val="%2"/>
      <w:numFmt w:val="lowerLetter"/>
      <w:start w:val="1"/>
    </w:lvl>
  </w:abstractNum>
  <w:abstractNum w:abstractNumId="61">
    <w:nsid w:val="5DB70AE5"/>
    <w:multiLevelType w:val="hybridMultilevel"/>
    <w:lvl w:ilvl="0">
      <w:lvlJc w:val="left"/>
      <w:lvlText w:val="%1."/>
      <w:numFmt w:val="decimal"/>
      <w:start w:val="8"/>
    </w:lvl>
  </w:abstractNum>
  <w:abstractNum w:abstractNumId="62">
    <w:nsid w:val="100F8FCA"/>
    <w:multiLevelType w:val="hybridMultilevel"/>
    <w:lvl w:ilvl="0">
      <w:lvlJc w:val="left"/>
      <w:lvlText w:val="%1."/>
      <w:numFmt w:val="decimal"/>
      <w:start w:val="14"/>
    </w:lvl>
    <w:lvl w:ilvl="1">
      <w:lvlJc w:val="left"/>
      <w:lvlText w:val="(%2)"/>
      <w:numFmt w:val="lowerLetter"/>
      <w:start w:val="1"/>
    </w:lvl>
  </w:abstractNum>
  <w:abstractNum w:abstractNumId="63">
    <w:nsid w:val="6590700B"/>
    <w:multiLevelType w:val="hybridMultilevel"/>
    <w:lvl w:ilvl="0">
      <w:lvlJc w:val="left"/>
      <w:lvlText w:val="%1."/>
      <w:numFmt w:val="decimal"/>
      <w:start w:val="17"/>
    </w:lvl>
  </w:abstractNum>
  <w:abstractNum w:abstractNumId="64">
    <w:nsid w:val="15014ACB"/>
    <w:multiLevelType w:val="hybridMultilevel"/>
    <w:lvl w:ilvl="0">
      <w:lvlJc w:val="left"/>
      <w:lvlText w:val="%1."/>
      <w:numFmt w:val="upperLetter"/>
      <w:start w:val="9"/>
    </w:lvl>
  </w:abstractNum>
  <w:abstractNum w:abstractNumId="65">
    <w:nsid w:val="5F5E7FD0"/>
    <w:multiLevelType w:val="hybridMultilevel"/>
    <w:lvl w:ilvl="0">
      <w:lvlJc w:val="left"/>
      <w:lvlText w:val="%1."/>
      <w:numFmt w:val="upperLetter"/>
      <w:start w:val="1"/>
    </w:lvl>
  </w:abstractNum>
  <w:abstractNum w:abstractNumId="66">
    <w:nsid w:val="98A3148"/>
    <w:multiLevelType w:val="hybridMultilevel"/>
    <w:lvl w:ilvl="0">
      <w:lvlJc w:val="left"/>
      <w:lvlText w:val="%1."/>
      <w:numFmt w:val="upperLetter"/>
      <w:start w:val="2"/>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7"/>
    </w:lvl>
  </w:abstractNum>
  <w:abstractNum w:abstractNumId="69">
    <w:nsid w:val="42C296BD"/>
    <w:multiLevelType w:val="hybridMultilevel"/>
    <w:lvl w:ilvl="0">
      <w:lvlJc w:val="left"/>
      <w:lvlText w:val="%1."/>
      <w:numFmt w:val="upperLetter"/>
      <w:start w:val="35"/>
    </w:lvl>
  </w:abstractNum>
  <w:abstractNum w:abstractNumId="70">
    <w:nsid w:val="168E121F"/>
    <w:multiLevelType w:val="hybridMultilevel"/>
    <w:lvl w:ilvl="0">
      <w:lvlJc w:val="left"/>
      <w:lvlText w:val="(%1)"/>
      <w:numFmt w:val="lowerRoman"/>
      <w:start w:val="1"/>
    </w:lvl>
  </w:abstractNum>
  <w:abstractNum w:abstractNumId="71">
    <w:nsid w:val="1EBA5D23"/>
    <w:multiLevelType w:val="hybridMultilevel"/>
    <w:lvl w:ilvl="0">
      <w:lvlJc w:val="left"/>
      <w:lvlText w:val="%1."/>
      <w:numFmt w:val="upperLetter"/>
      <w:start w:val="6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jpeg"/><Relationship Id="rId168" Type="http://schemas.openxmlformats.org/officeDocument/2006/relationships/image" Target="media/image127.jpeg"/><Relationship Id="rId169" Type="http://schemas.openxmlformats.org/officeDocument/2006/relationships/image" Target="media/image128.jpeg"/><Relationship Id="rId170" Type="http://schemas.openxmlformats.org/officeDocument/2006/relationships/image" Target="media/image129.jpe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59" Type="http://schemas.openxmlformats.org/officeDocument/2006/relationships/hyperlink" Target="https://www.sec.gov/Archives/edgar/data/0001141103/000115752321000786/a52444769ex2_1.htm" TargetMode="External"/><Relationship Id="rId60" Type="http://schemas.openxmlformats.org/officeDocument/2006/relationships/hyperlink" Target="https://www.sec.gov/Archives/edgar/data/1141103/000095010324017244/dp221634_ex0201.htm" TargetMode="External"/><Relationship Id="rId61" Type="http://schemas.openxmlformats.org/officeDocument/2006/relationships/hyperlink" Target="https://www.sec.gov/Archives/edgar/data/1141103/000091205701530091/a2057156zex-3_1.txt" TargetMode="External"/><Relationship Id="rId62" Type="http://schemas.openxmlformats.org/officeDocument/2006/relationships/hyperlink" Target="https://www.sec.gov/Archives/edgar/data/1141103/000162828018002702/ccrn20171231-10kex3x2.htm" TargetMode="External"/><Relationship Id="rId63" Type="http://schemas.openxmlformats.org/officeDocument/2006/relationships/hyperlink" Target="https://www.sec.gov/Archives/edgar/data/1141103/000162828024019778/ccrn20240331-10qex3x1.htm" TargetMode="External"/><Relationship Id="rId64" Type="http://schemas.openxmlformats.org/officeDocument/2006/relationships/hyperlink" Target="https://www.sec.gov/Archives/edgar/data/1141103/000091205701536175/a2061600zex-4_1.txt" TargetMode="External"/><Relationship Id="rId65" Type="http://schemas.openxmlformats.org/officeDocument/2006/relationships/hyperlink" Target="https://www.sec.gov/Archives/edgar/data/1141103/000162828020003031/ccrn20191231-10kex4x4.htmccrn20191231-10kex4x4.htm" TargetMode="External"/><Relationship Id="rId66" Type="http://schemas.openxmlformats.org/officeDocument/2006/relationships/hyperlink" Target="https://www.sec.gov/Archives/edgar/data/1141103/000104746903010584/a2106509zex-10_19.htm" TargetMode="External"/><Relationship Id="rId67" Type="http://schemas.openxmlformats.org/officeDocument/2006/relationships/hyperlink" Target="https://www.sec.gov/Archives/edgar/data/1141103/000111650207000527/exhibit1045.htm" TargetMode="External"/><Relationship Id="rId68" Type="http://schemas.openxmlformats.org/officeDocument/2006/relationships/hyperlink" Target="https://www.sec.gov/Archives/edgar/data/1141103/000095013010001422/dex101.htm" TargetMode="External"/><Relationship Id="rId69" Type="http://schemas.openxmlformats.org/officeDocument/2006/relationships/hyperlink" Target="https://www.sec.gov/Archives/edgar/data/1141103/000135448815004495/ccrn_ex101.htm" TargetMode="External"/><Relationship Id="rId70" Type="http://schemas.openxmlformats.org/officeDocument/2006/relationships/hyperlink" Target="https://www.sec.gov/Archives/edgar/data/1141103/000115752315003645/a51213647ex10_1.htm" TargetMode="External"/><Relationship Id="rId71" Type="http://schemas.openxmlformats.org/officeDocument/2006/relationships/hyperlink" Target="https://www.sec.gov/Archives/edgar/data/1141103/000162828018002702/ccrn20171231-10kex10x55.htm" TargetMode="External"/><Relationship Id="rId72" Type="http://schemas.openxmlformats.org/officeDocument/2006/relationships/hyperlink" Target="https://www.sec.gov/Archives/edgar/data/1141103/000115752319000203/a51933754ex10_1.htm" TargetMode="External"/><Relationship Id="rId73" Type="http://schemas.openxmlformats.org/officeDocument/2006/relationships/hyperlink" Target="https://www.sec.gov/Archives/edgar/data/1141103/000115752319002114/a52118196ex10_1.htm" TargetMode="External"/><Relationship Id="rId74" Type="http://schemas.openxmlformats.org/officeDocument/2006/relationships/hyperlink" Target="https://www.sec.gov/Archives/edgar/data/1141103/000115752320000949/a52243705ex10_1.htm" TargetMode="External"/><Relationship Id="rId75" Type="http://schemas.openxmlformats.org/officeDocument/2006/relationships/hyperlink" Target="https://www.sec.gov/Archives/edgar/data/1141103/000162828020011956/ccrn20200630-10qex10x2.htm" TargetMode="External"/><Relationship Id="rId76" Type="http://schemas.openxmlformats.org/officeDocument/2006/relationships/hyperlink" Target="https://www.sec.gov/Archives/edgar/data/1141103/000115752321000076/a52367224ex10_1.htm" TargetMode="External"/><Relationship Id="rId79" Type="http://schemas.openxmlformats.org/officeDocument/2006/relationships/hyperlink" Target="https://www.sec.gov/Archives/edgar/data/1141103/000115752321000076/a52367224ex10_2.htm" TargetMode="External"/><Relationship Id="rId80" Type="http://schemas.openxmlformats.org/officeDocument/2006/relationships/hyperlink" Target="https://www.sec.gov/Archives/edgar/data/1141103/000162828021003296/ccrn20201221-10kex10x29.htm" TargetMode="External"/><Relationship Id="rId81" Type="http://schemas.openxmlformats.org/officeDocument/2006/relationships/hyperlink" Target="https://www.sec.gov/Archives/edgar/data/1141103/000162828021003296/ccrn20201231-10kex10x30.htm" TargetMode="External"/><Relationship Id="rId82" Type="http://schemas.openxmlformats.org/officeDocument/2006/relationships/hyperlink" Target="https://www.sec.gov/Archives/edgar/data/1141103/000115752321000317/a52393385ex10_1.htm" TargetMode="External"/><Relationship Id="rId83" Type="http://schemas.openxmlformats.org/officeDocument/2006/relationships/hyperlink" Target="https://www.sec.gov/Archives/edgar/data/0001141103/000115752321000639/a52426652ex10_1.htm" TargetMode="External"/><Relationship Id="rId84" Type="http://schemas.openxmlformats.org/officeDocument/2006/relationships/hyperlink" Target="https://www.sec.gov/Archives/edgar/data/0001141103/000115752321000639/a52426652ex10_2.htm" TargetMode="External"/><Relationship Id="rId85" Type="http://schemas.openxmlformats.org/officeDocument/2006/relationships/hyperlink" Target="https://www.sec.gov/Archives/edgar/data/0001141103/000115752321000786/a52444769ex10_2.htm" TargetMode="External"/><Relationship Id="rId86" Type="http://schemas.openxmlformats.org/officeDocument/2006/relationships/hyperlink" Target="https://www.sec.gov/Archives/edgar/data/0001141103/000115752321001436/a52534862ex10_2.htm" TargetMode="External"/><Relationship Id="rId87" Type="http://schemas.openxmlformats.org/officeDocument/2006/relationships/hyperlink" Target="https://www.sec.gov/Archives/edgar/data/1141103/000115752322000069/a52564385ex10_2.htm" TargetMode="External"/><Relationship Id="rId88" Type="http://schemas.openxmlformats.org/officeDocument/2006/relationships/hyperlink" Target="https://www.sec.gov/Archives/edgar/data/1141103/000115752322000358/a52612995ex10_1.htm" TargetMode="External"/><Relationship Id="rId89" Type="http://schemas.openxmlformats.org/officeDocument/2006/relationships/hyperlink" Target="https://www.sec.gov/Archives/edgar/data/1141103/000115752323001455/a53567346ex10_1.htm" TargetMode="External"/><Relationship Id="rId90" Type="http://schemas.openxmlformats.org/officeDocument/2006/relationships/hyperlink" Target="https://www.sec.gov/Archives/edgar/data/1141103/000162828024033300/ccrn20240729-ablamendmente.htm" TargetMode="External"/><Relationship Id="rId91" Type="http://schemas.openxmlformats.org/officeDocument/2006/relationships/hyperlink" Target="https://www.sec.gov/Archives/edgar/data/1141103/000092963824001883/exhibit99-1.htm" TargetMode="External"/><Relationship Id="rId92" Type="http://schemas.openxmlformats.org/officeDocument/2006/relationships/hyperlink" Target="https://www.sec.gov/Archives/edgar/data/1141103/000162828026000149/cch-ceoemploymentagreement.htm" TargetMode="External"/><Relationship Id="rId93" Type="http://schemas.openxmlformats.org/officeDocument/2006/relationships/hyperlink" Target="https://www.sec.gov/Archives/edgar/data/1141103/000162828022004263/ccrn20211231-10kex14x1.htm" TargetMode="External"/><Relationship Id="rId96" Type="http://schemas.openxmlformats.org/officeDocument/2006/relationships/hyperlink" Target="https://www.sec.gov/Archives/edgar/data/1141103/000162828024006454/ccrn20231231-10kex97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2026-03-09T05:31:17Z</dcterms:created>
  <dcterms:modified xsi:type="dcterms:W3CDTF">2026-03-09T05:31:17Z</dcterms:modified>
</cp:coreProperties>
</file>