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4100" w:right="2520" w:hanging="1532"/>
        <w:spacing w:after="0" w:line="351" w:lineRule="auto"/>
        <w:tabs>
          <w:tab w:leader="none" w:pos="275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2019</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 Transition Report Pursuant to Section 13 or 15(d) of the Securities Exchange Act of 1934</w:t>
      </w:r>
    </w:p>
    <w:p>
      <w:pPr>
        <w:spacing w:after="0" w:line="82"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 xml:space="preserve">For the Transition Period From </w:t>
      </w:r>
      <w:r>
        <w:rPr>
          <w:rFonts w:ascii="Arial" w:cs="Arial" w:eastAsia="Arial" w:hAnsi="Arial"/>
          <w:sz w:val="16"/>
          <w:szCs w:val="16"/>
          <w:color w:val="auto"/>
        </w:rPr>
        <w:t>_________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12065</wp:posOffset>
            </wp:positionV>
            <wp:extent cx="2135505" cy="857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976" w:right="279" w:bottom="1440" w:gutter="0" w:footer="0" w:header="0"/>
        </w:sectPr>
      </w:pPr>
    </w:p>
    <w:p>
      <w:pPr>
        <w:spacing w:after="0" w:line="156"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0-33169</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13-4066229</w:t>
      </w:r>
    </w:p>
    <w:p>
      <w:pPr>
        <w:spacing w:after="0" w:line="99" w:lineRule="exact"/>
        <w:rPr>
          <w:sz w:val="24"/>
          <w:szCs w:val="24"/>
          <w:color w:val="auto"/>
        </w:rPr>
      </w:pPr>
    </w:p>
    <w:p>
      <w:pPr>
        <w:sectPr>
          <w:pgSz w:w="11900" w:h="16838" w:orient="portrait"/>
          <w:cols w:equalWidth="0" w:num="3">
            <w:col w:w="4740" w:space="720"/>
            <w:col w:w="2980" w:space="720"/>
            <w:col w:w="2220"/>
          </w:cols>
          <w:pgMar w:left="240" w:top="976" w:right="279" w:bottom="1440" w:gutter="0" w:footer="0" w:header="0"/>
          <w:type w:val="continuous"/>
        </w:sectPr>
      </w:pPr>
    </w:p>
    <w:p>
      <w:pPr>
        <w:jc w:val="center"/>
        <w:ind w:right="820"/>
        <w:spacing w:after="0"/>
        <w:rPr>
          <w:sz w:val="20"/>
          <w:szCs w:val="20"/>
          <w:color w:val="auto"/>
        </w:rPr>
      </w:pPr>
      <w:r>
        <w:rPr>
          <w:rFonts w:ascii="Arial" w:cs="Arial" w:eastAsia="Arial" w:hAnsi="Arial"/>
          <w:sz w:val="16"/>
          <w:szCs w:val="16"/>
          <w:i w:val="1"/>
          <w:iCs w:val="1"/>
          <w:color w:val="auto"/>
        </w:rPr>
        <w:t>(State or other jurisdiction of</w:t>
      </w:r>
    </w:p>
    <w:p>
      <w:pPr>
        <w:spacing w:after="0" w:line="22" w:lineRule="exact"/>
        <w:rPr>
          <w:sz w:val="24"/>
          <w:szCs w:val="24"/>
          <w:color w:val="auto"/>
        </w:rPr>
      </w:pPr>
    </w:p>
    <w:p>
      <w:pPr>
        <w:jc w:val="center"/>
        <w:ind w:right="82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Commission</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5"/>
          <w:szCs w:val="15"/>
          <w:i w:val="1"/>
          <w:i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6"/>
          <w:szCs w:val="16"/>
          <w:i w:val="1"/>
          <w:iCs w:val="1"/>
          <w:color w:val="auto"/>
        </w:rPr>
        <w:t>(I.R.S. Employer</w:t>
      </w:r>
    </w:p>
    <w:p>
      <w:pPr>
        <w:spacing w:after="0" w:line="22" w:lineRule="exact"/>
        <w:rPr>
          <w:sz w:val="24"/>
          <w:szCs w:val="24"/>
          <w:color w:val="auto"/>
        </w:rPr>
      </w:pPr>
    </w:p>
    <w:p>
      <w:pPr>
        <w:jc w:val="center"/>
        <w:ind w:right="1100"/>
        <w:spacing w:after="0"/>
        <w:rPr>
          <w:sz w:val="20"/>
          <w:szCs w:val="20"/>
          <w:color w:val="auto"/>
        </w:rPr>
      </w:pPr>
      <w:r>
        <w:rPr>
          <w:rFonts w:ascii="Arial" w:cs="Arial" w:eastAsia="Arial" w:hAnsi="Arial"/>
          <w:sz w:val="15"/>
          <w:szCs w:val="15"/>
          <w:i w:val="1"/>
          <w:iCs w:val="1"/>
          <w:color w:val="auto"/>
        </w:rPr>
        <w:t>Identification Number)</w:t>
      </w:r>
    </w:p>
    <w:p>
      <w:pPr>
        <w:spacing w:after="0" w:line="157" w:lineRule="exact"/>
        <w:rPr>
          <w:sz w:val="24"/>
          <w:szCs w:val="24"/>
          <w:color w:val="auto"/>
        </w:rPr>
      </w:pPr>
    </w:p>
    <w:p>
      <w:pPr>
        <w:sectPr>
          <w:pgSz w:w="11900" w:h="16838" w:orient="portrait"/>
          <w:cols w:equalWidth="0" w:num="3">
            <w:col w:w="4600" w:space="720"/>
            <w:col w:w="2760" w:space="720"/>
            <w:col w:w="2580"/>
          </w:cols>
          <w:pgMar w:left="240" w:top="976"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5201 Congress Avenue, Suite 100B</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80"/>
          </w:cols>
          <w:pgMar w:left="240" w:top="976" w:right="279" w:bottom="1440" w:gutter="0" w:footer="0" w:header="0"/>
          <w:type w:val="continuous"/>
        </w:sectPr>
      </w:pPr>
    </w:p>
    <w:p>
      <w:pPr>
        <w:spacing w:after="0" w:line="284"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160" w:space="720"/>
            <w:col w:w="2040" w:space="720"/>
            <w:col w:w="3740"/>
          </w:cols>
          <w:pgMar w:left="240" w:top="976" w:right="27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165" w:lineRule="exact"/>
        <w:rPr>
          <w:sz w:val="24"/>
          <w:szCs w:val="24"/>
          <w:color w:val="auto"/>
        </w:rPr>
      </w:pPr>
    </w:p>
    <w:p>
      <w:pPr>
        <w:sectPr>
          <w:pgSz w:w="11900" w:h="16838" w:orient="portrait"/>
          <w:cols w:equalWidth="0" w:num="3">
            <w:col w:w="4480" w:space="720"/>
            <w:col w:w="2280" w:space="720"/>
            <w:col w:w="3180"/>
          </w:cols>
          <w:pgMar w:left="240" w:top="976" w:right="279" w:bottom="1440" w:gutter="0" w:footer="0" w:header="0"/>
          <w:type w:val="continuous"/>
        </w:sect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8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74"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o</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period for complying with any new or revised financial accounting standards provided pursuant to Section 13(a) of the Exchange Act. o</w:t>
      </w:r>
    </w:p>
    <w:p>
      <w:pPr>
        <w:spacing w:after="0" w:line="69" w:lineRule="exact"/>
        <w:rPr>
          <w:sz w:val="24"/>
          <w:szCs w:val="24"/>
          <w:color w:val="auto"/>
        </w:rPr>
      </w:pPr>
    </w:p>
    <w:p>
      <w:pPr>
        <w:ind w:right="3160"/>
        <w:spacing w:after="0" w:line="267" w:lineRule="exact"/>
        <w:rPr>
          <w:sz w:val="20"/>
          <w:szCs w:val="20"/>
          <w:color w:val="auto"/>
        </w:rPr>
      </w:pPr>
      <w:r>
        <w:rPr>
          <w:rFonts w:ascii="Arial" w:cs="Arial" w:eastAsia="Arial" w:hAnsi="Arial"/>
          <w:sz w:val="15"/>
          <w:szCs w:val="15"/>
          <w:color w:val="auto"/>
        </w:rPr>
        <w:t xml:space="preserve">Indicate by checkmark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36,890,296 shares of Common Stock, par value $0.0001 per share, as of July 26, 2019.</w:t>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2018,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10"/>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7"/>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88"/>
              </w:rPr>
              <w:t>June 30, 2019</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3"/>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10"/>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Income (Unaudited)</w:t>
              </w:r>
            </w:hyperlink>
          </w:p>
        </w:tc>
        <w:tc>
          <w:tcPr>
            <w:tcW w:w="2080" w:type="dxa"/>
            <w:vAlign w:val="bottom"/>
            <w:gridSpan w:val="2"/>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Stockholders' Equity (Unaudited)</w:t>
              </w:r>
            </w:hyperlink>
          </w:p>
        </w:tc>
        <w:tc>
          <w:tcPr>
            <w:tcW w:w="72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(Unaudited)</w:t>
              </w:r>
            </w:hyperlink>
          </w:p>
        </w:tc>
        <w:tc>
          <w:tcPr>
            <w:tcW w:w="2800" w:type="dxa"/>
            <w:vAlign w:val="bottom"/>
            <w:gridSpan w:val="3"/>
          </w:tcPr>
          <w:p>
            <w:pPr>
              <w:spacing w:after="0"/>
              <w:rPr>
                <w:sz w:val="24"/>
                <w:szCs w:val="24"/>
                <w:color w:val="auto"/>
              </w:rPr>
            </w:pPr>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2080" w:type="dxa"/>
            <w:vAlign w:val="bottom"/>
            <w:gridSpan w:val="3"/>
          </w:tcPr>
          <w:p>
            <w:pPr>
              <w:jc w:val="center"/>
              <w:ind w:left="179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806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80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80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00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6300" w:type="dxa"/>
            <w:vAlign w:val="bottom"/>
            <w:gridSpan w:val="11"/>
          </w:tcPr>
          <w:p>
            <w:pPr>
              <w:spacing w:after="0"/>
              <w:rPr>
                <w:sz w:val="24"/>
                <w:szCs w:val="24"/>
                <w:color w:val="auto"/>
              </w:rPr>
            </w:pPr>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4"/>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sz w:val="20"/>
                <w:szCs w:val="20"/>
                <w:color w:val="auto"/>
              </w:rPr>
            </w:pPr>
            <w:r>
              <w:rPr>
                <w:rFonts w:ascii="Arial" w:cs="Arial" w:eastAsia="Arial" w:hAnsi="Arial"/>
                <w:sz w:val="18"/>
                <w:szCs w:val="18"/>
                <w:color w:val="0000EE"/>
              </w:rPr>
              <w:t>Item 6.</w:t>
            </w:r>
          </w:p>
        </w:tc>
        <w:tc>
          <w:tcPr>
            <w:tcW w:w="300" w:type="dxa"/>
            <w:vAlign w:val="bottom"/>
            <w:gridSpan w:val="2"/>
          </w:tcPr>
          <w:p>
            <w:pPr>
              <w:spacing w:after="0"/>
              <w:rPr>
                <w:sz w:val="24"/>
                <w:szCs w:val="24"/>
                <w:color w:val="auto"/>
              </w:rPr>
            </w:pPr>
          </w:p>
        </w:tc>
        <w:tc>
          <w:tcPr>
            <w:tcW w:w="80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gridSpan w:val="3"/>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Signatures</w:t>
              </w:r>
            </w:hyperlink>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3"/>
          </w:tcPr>
          <w:p>
            <w:pPr>
              <w:jc w:val="center"/>
              <w:ind w:left="181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16,019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$3,511 in 2019 and $3,705 in 2018</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150,515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166,128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4,186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187,242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194,905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$35,639 in 2019 and $33,476 in 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20,254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Trade names, indefinite-lived</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20,402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deferred tax assets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23,750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396,968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427,003</w:t>
            </w:r>
          </w:p>
        </w:tc>
      </w:tr>
      <w:tr>
        <w:trPr>
          <w:trHeight w:val="230"/>
        </w:trPr>
        <w:tc>
          <w:tcPr>
            <w:tcW w:w="8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50,180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43,744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33,332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5,235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Operating lease liabilities - current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3,075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85,386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70,613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77,944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Non-current 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liabilities - non-current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21,447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Long-term accrued claims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29,299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8,521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16,176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232,280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208,805</w:t>
            </w:r>
          </w:p>
        </w:tc>
      </w:tr>
      <w:tr>
        <w:trPr>
          <w:trHeight w:val="243"/>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303,048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(84,062)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163,961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217,528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164,688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218,198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 and stockholders'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427,003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204,572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397,928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414,860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Direct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150,883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298,086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307,418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45,944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45,284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91,980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90,918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Restructuring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Legal settlement charges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217,853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200,230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415,712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406,270</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6,076</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Consolidated net (loss)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(52,646)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Net income attributable to 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1,539</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(53,441)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3,181</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Net (loss) income per share attributable to common shareholders -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Net (loss) income per share attributable to common shareholders -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35,727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35,824</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35,832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35,763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35,959</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w:t>
            </w:r>
          </w:p>
        </w:tc>
      </w:tr>
      <w:tr>
        <w:trPr>
          <w:trHeight w:val="29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gain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interest rate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Reclassification adjustment to interest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Taxes on other comprehensive (loss)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Income tax effect related to 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w w:val="96"/>
              </w:rPr>
              <w:t>Income tax effect related to unrealized (loss) gain on interest rate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Income tax expense related to reclassification adjustment to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Valuation allowance adjustment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5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3,749</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 shareholders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3,186</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line="249" w:lineRule="auto"/>
        <w:rPr>
          <w:sz w:val="20"/>
          <w:szCs w:val="20"/>
          <w:color w:val="auto"/>
        </w:rPr>
      </w:pPr>
      <w:r>
        <w:rPr>
          <w:rFonts w:ascii="Arial" w:cs="Arial" w:eastAsia="Arial" w:hAnsi="Arial"/>
          <w:sz w:val="20"/>
          <w:szCs w:val="20"/>
          <w:b w:val="1"/>
          <w:bCs w:val="1"/>
          <w:color w:val="auto"/>
        </w:rPr>
        <w:t>CROSS COUNTRY HEALTHCARE, INC. CONDENSED CONSOLIDATED STATEMENTS OF STOCKHOLDERS' EQUITY Three months ended June 30, 2019 and 2018 (Unaudited, amounts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ind w:right="243"/>
              <w:spacing w:after="0" w:line="159"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59"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59"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4"/>
                <w:szCs w:val="4"/>
                <w:color w:val="auto"/>
              </w:rPr>
            </w:pPr>
          </w:p>
        </w:tc>
        <w:tc>
          <w:tcPr>
            <w:tcW w:w="1240" w:type="dxa"/>
            <w:vAlign w:val="bottom"/>
            <w:vMerge w:val="restart"/>
          </w:tcPr>
          <w:p>
            <w:pPr>
              <w:jc w:val="center"/>
              <w:ind w:right="83"/>
              <w:spacing w:after="0" w:line="159"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4"/>
                <w:szCs w:val="4"/>
                <w:color w:val="auto"/>
              </w:rPr>
            </w:pPr>
          </w:p>
        </w:tc>
        <w:tc>
          <w:tcPr>
            <w:tcW w:w="1100" w:type="dxa"/>
            <w:vAlign w:val="bottom"/>
            <w:vMerge w:val="restart"/>
          </w:tcPr>
          <w:p>
            <w:pPr>
              <w:jc w:val="right"/>
              <w:ind w:right="103"/>
              <w:spacing w:after="0" w:line="159"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84"/>
        </w:trPr>
        <w:tc>
          <w:tcPr>
            <w:tcW w:w="2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Balances at March 31, 2019</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35,806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302,802</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(1,661)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(85,829)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694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216,010</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Vesting of restricted stock and</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performance stock awards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49</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(11)</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1,004</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1,004</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shd w:val="clear" w:color="auto" w:fill="CCEEFF"/>
              </w:rPr>
              <w:t>Foreign currency translation adjustment,</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net of taxes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19</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taxes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(693)</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Distribution to noncontrolling</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shareholder</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(371)</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0" w:type="dxa"/>
            <w:vAlign w:val="bottom"/>
          </w:tcPr>
          <w:p>
            <w:pPr>
              <w:spacing w:after="0"/>
              <w:rPr>
                <w:sz w:val="1"/>
                <w:szCs w:val="1"/>
                <w:color w:val="auto"/>
              </w:rPr>
            </w:pPr>
          </w:p>
        </w:tc>
      </w:tr>
      <w:tr>
        <w:trPr>
          <w:trHeight w:val="266"/>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(51,674)</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404</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(51,270)</w:t>
            </w:r>
          </w:p>
        </w:tc>
        <w:tc>
          <w:tcPr>
            <w:tcW w:w="0" w:type="dxa"/>
            <w:vAlign w:val="bottom"/>
          </w:tcPr>
          <w:p>
            <w:pPr>
              <w:spacing w:after="0"/>
              <w:rPr>
                <w:sz w:val="1"/>
                <w:szCs w:val="1"/>
                <w:color w:val="auto"/>
              </w:rPr>
            </w:pPr>
          </w:p>
        </w:tc>
      </w:tr>
      <w:tr>
        <w:trPr>
          <w:trHeight w:val="26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Balances at June 30, 2019</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35,860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303,795</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(137,503)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164,688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ind w:right="243"/>
              <w:spacing w:after="0" w:line="159"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59"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59"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4"/>
                <w:szCs w:val="4"/>
                <w:color w:val="auto"/>
              </w:rPr>
            </w:pPr>
          </w:p>
        </w:tc>
        <w:tc>
          <w:tcPr>
            <w:tcW w:w="1240" w:type="dxa"/>
            <w:vAlign w:val="bottom"/>
            <w:vMerge w:val="restart"/>
          </w:tcPr>
          <w:p>
            <w:pPr>
              <w:jc w:val="center"/>
              <w:ind w:right="83"/>
              <w:spacing w:after="0" w:line="159"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4"/>
                <w:szCs w:val="4"/>
                <w:color w:val="auto"/>
              </w:rPr>
            </w:pPr>
          </w:p>
        </w:tc>
        <w:tc>
          <w:tcPr>
            <w:tcW w:w="1100" w:type="dxa"/>
            <w:vAlign w:val="bottom"/>
            <w:vMerge w:val="restart"/>
          </w:tcPr>
          <w:p>
            <w:pPr>
              <w:jc w:val="right"/>
              <w:ind w:right="103"/>
              <w:spacing w:after="0" w:line="159"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84"/>
        </w:trPr>
        <w:tc>
          <w:tcPr>
            <w:tcW w:w="2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68"/>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Balances at March 31, 2018</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35,706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302,325</w:t>
            </w:r>
          </w:p>
        </w:tc>
        <w:tc>
          <w:tcPr>
            <w:tcW w:w="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(65,469)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601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236,101</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Vesting of restricted stock and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performance stock awards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(71)</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914</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914</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repurchase and retirement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(1,815)</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4"/>
              </w:rPr>
              <w:t>Foreign currency translation adjustment,</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net of taxes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(49)</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249</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Distribution to noncontrolling</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shareholder</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(282)</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1,539</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285</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1,824</w:t>
            </w:r>
          </w:p>
        </w:tc>
        <w:tc>
          <w:tcPr>
            <w:tcW w:w="0" w:type="dxa"/>
            <w:vAlign w:val="bottom"/>
          </w:tcPr>
          <w:p>
            <w:pPr>
              <w:spacing w:after="0"/>
              <w:rPr>
                <w:sz w:val="1"/>
                <w:szCs w:val="1"/>
                <w:color w:val="auto"/>
              </w:rPr>
            </w:pPr>
          </w:p>
        </w:tc>
      </w:tr>
      <w:tr>
        <w:trPr>
          <w:trHeight w:val="268"/>
        </w:trPr>
        <w:tc>
          <w:tcPr>
            <w:tcW w:w="2740" w:type="dxa"/>
            <w:vAlign w:val="bottom"/>
          </w:tcPr>
          <w:p>
            <w:pPr>
              <w:ind w:left="40"/>
              <w:spacing w:after="0"/>
              <w:rPr>
                <w:sz w:val="20"/>
                <w:szCs w:val="20"/>
                <w:color w:val="auto"/>
              </w:rPr>
            </w:pPr>
            <w:r>
              <w:rPr>
                <w:rFonts w:ascii="Arial" w:cs="Arial" w:eastAsia="Arial" w:hAnsi="Arial"/>
                <w:sz w:val="15"/>
                <w:szCs w:val="15"/>
                <w:color w:val="auto"/>
              </w:rPr>
              <w:t>Balances at June 30, 2018</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35,606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301,353</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(63,930)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236,871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CROSS COUNTRY HEALTHCARE,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Six months ended June 30, 2019 and 2018</w:t>
      </w:r>
    </w:p>
    <w:p>
      <w:pPr>
        <w:jc w:val="center"/>
        <w:spacing w:after="0"/>
        <w:rPr>
          <w:sz w:val="20"/>
          <w:szCs w:val="20"/>
          <w:color w:val="auto"/>
        </w:rPr>
      </w:pPr>
      <w:r>
        <w:rPr>
          <w:rFonts w:ascii="Arial" w:cs="Arial" w:eastAsia="Arial" w:hAnsi="Arial"/>
          <w:sz w:val="20"/>
          <w:szCs w:val="20"/>
          <w:b w:val="1"/>
          <w:bCs w:val="1"/>
          <w:color w:val="auto"/>
        </w:rPr>
        <w:t>(Unaudited, amounts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restart"/>
          </w:tcPr>
          <w:p>
            <w:pPr>
              <w:jc w:val="right"/>
              <w:ind w:right="243"/>
              <w:spacing w:after="0" w:line="159"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59"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59"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4"/>
                <w:szCs w:val="4"/>
                <w:color w:val="auto"/>
              </w:rPr>
            </w:pPr>
          </w:p>
        </w:tc>
        <w:tc>
          <w:tcPr>
            <w:tcW w:w="1240" w:type="dxa"/>
            <w:vAlign w:val="bottom"/>
            <w:vMerge w:val="restart"/>
          </w:tcPr>
          <w:p>
            <w:pPr>
              <w:jc w:val="center"/>
              <w:ind w:right="83"/>
              <w:spacing w:after="0" w:line="159"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4"/>
                <w:szCs w:val="4"/>
                <w:color w:val="auto"/>
              </w:rPr>
            </w:pPr>
          </w:p>
        </w:tc>
        <w:tc>
          <w:tcPr>
            <w:tcW w:w="1100" w:type="dxa"/>
            <w:vAlign w:val="bottom"/>
            <w:vMerge w:val="restart"/>
          </w:tcPr>
          <w:p>
            <w:pPr>
              <w:jc w:val="right"/>
              <w:ind w:right="103"/>
              <w:spacing w:after="0" w:line="159"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84"/>
        </w:trPr>
        <w:tc>
          <w:tcPr>
            <w:tcW w:w="2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Shares</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68"/>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Balances at December 31, 2018</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35,626</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303,048</w:t>
            </w:r>
          </w:p>
        </w:tc>
        <w:tc>
          <w:tcPr>
            <w:tcW w:w="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(84,062)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670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218,198</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9</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Vesting of restricted stock and</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performance stock awards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225</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(788)</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(788)</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1,535</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1,535</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shd w:val="clear" w:color="auto" w:fill="CCEEFF"/>
              </w:rPr>
              <w:t>Foreign currency translation adjustment,</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net of taxes</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72</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taxes</w:t>
            </w:r>
          </w:p>
        </w:tc>
        <w:tc>
          <w:tcPr>
            <w:tcW w:w="8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(945)</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(945)</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Distribution to noncontrolling</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shd w:val="clear" w:color="auto" w:fill="CCEEFF"/>
              </w:rPr>
              <w:t>shareholder</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(738)</w:t>
            </w: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266"/>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(53,441)</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795</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(52,646)</w:t>
            </w:r>
          </w:p>
        </w:tc>
        <w:tc>
          <w:tcPr>
            <w:tcW w:w="0" w:type="dxa"/>
            <w:vAlign w:val="bottom"/>
          </w:tcPr>
          <w:p>
            <w:pPr>
              <w:spacing w:after="0"/>
              <w:rPr>
                <w:sz w:val="1"/>
                <w:szCs w:val="1"/>
                <w:color w:val="auto"/>
              </w:rPr>
            </w:pPr>
          </w:p>
        </w:tc>
      </w:tr>
      <w:tr>
        <w:trPr>
          <w:trHeight w:val="26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Balances at June 30, 2019</w:t>
            </w: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35,860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303,795</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(137,503)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164,688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40" w:type="dxa"/>
            <w:vAlign w:val="bottom"/>
          </w:tcPr>
          <w:p>
            <w:pPr>
              <w:spacing w:after="0"/>
              <w:rPr>
                <w:sz w:val="15"/>
                <w:szCs w:val="15"/>
                <w:color w:val="auto"/>
              </w:rPr>
            </w:pPr>
          </w:p>
        </w:tc>
        <w:tc>
          <w:tcPr>
            <w:tcW w:w="176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Additional</w:t>
            </w:r>
          </w:p>
        </w:tc>
        <w:tc>
          <w:tcPr>
            <w:tcW w:w="160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Accumulated Other</w:t>
            </w:r>
          </w:p>
        </w:tc>
        <w:tc>
          <w:tcPr>
            <w:tcW w:w="180" w:type="dxa"/>
            <w:vAlign w:val="bottom"/>
          </w:tcPr>
          <w:p>
            <w:pPr>
              <w:spacing w:after="0"/>
              <w:rPr>
                <w:sz w:val="15"/>
                <w:szCs w:val="15"/>
                <w:color w:val="auto"/>
              </w:rPr>
            </w:pPr>
          </w:p>
        </w:tc>
        <w:tc>
          <w:tcPr>
            <w:tcW w:w="1140" w:type="dxa"/>
            <w:vAlign w:val="bottom"/>
          </w:tcPr>
          <w:p>
            <w:pPr>
              <w:jc w:val="center"/>
              <w:ind w:right="83"/>
              <w:spacing w:after="0"/>
              <w:rPr>
                <w:sz w:val="20"/>
                <w:szCs w:val="20"/>
                <w:color w:val="auto"/>
              </w:rPr>
            </w:pPr>
            <w:r>
              <w:rPr>
                <w:rFonts w:ascii="Arial" w:cs="Arial" w:eastAsia="Arial" w:hAnsi="Arial"/>
                <w:sz w:val="15"/>
                <w:szCs w:val="15"/>
                <w:b w:val="1"/>
                <w:bCs w:val="1"/>
                <w:color w:val="auto"/>
                <w:w w:val="90"/>
              </w:rPr>
              <w:t>(Accumulated</w:t>
            </w:r>
          </w:p>
        </w:tc>
        <w:tc>
          <w:tcPr>
            <w:tcW w:w="22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Arial" w:cs="Arial" w:eastAsia="Arial" w:hAnsi="Arial"/>
                <w:sz w:val="15"/>
                <w:szCs w:val="15"/>
                <w:b w:val="1"/>
                <w:bCs w:val="1"/>
                <w:color w:val="auto"/>
                <w:w w:val="91"/>
              </w:rPr>
              <w:t>Noncontrolling</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74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jc w:val="right"/>
              <w:ind w:right="243"/>
              <w:spacing w:after="0" w:line="146" w:lineRule="exact"/>
              <w:rPr>
                <w:sz w:val="20"/>
                <w:szCs w:val="20"/>
                <w:color w:val="auto"/>
              </w:rPr>
            </w:pPr>
            <w:r>
              <w:rPr>
                <w:rFonts w:ascii="Arial" w:cs="Arial" w:eastAsia="Arial" w:hAnsi="Arial"/>
                <w:sz w:val="15"/>
                <w:szCs w:val="15"/>
                <w:b w:val="1"/>
                <w:bCs w:val="1"/>
                <w:color w:val="auto"/>
              </w:rPr>
              <w:t>Paid-In</w:t>
            </w:r>
          </w:p>
        </w:tc>
        <w:tc>
          <w:tcPr>
            <w:tcW w:w="1600" w:type="dxa"/>
            <w:vAlign w:val="bottom"/>
            <w:gridSpan w:val="2"/>
            <w:vMerge w:val="restart"/>
          </w:tcPr>
          <w:p>
            <w:pPr>
              <w:ind w:left="120"/>
              <w:spacing w:after="0" w:line="146" w:lineRule="exact"/>
              <w:rPr>
                <w:sz w:val="20"/>
                <w:szCs w:val="20"/>
                <w:color w:val="auto"/>
              </w:rPr>
            </w:pPr>
            <w:r>
              <w:rPr>
                <w:rFonts w:ascii="Arial" w:cs="Arial" w:eastAsia="Arial" w:hAnsi="Arial"/>
                <w:sz w:val="15"/>
                <w:szCs w:val="15"/>
                <w:b w:val="1"/>
                <w:bCs w:val="1"/>
                <w:color w:val="auto"/>
                <w:w w:val="93"/>
              </w:rPr>
              <w:t>Comprehensive Loss,</w:t>
            </w:r>
          </w:p>
        </w:tc>
        <w:tc>
          <w:tcPr>
            <w:tcW w:w="1320" w:type="dxa"/>
            <w:vAlign w:val="bottom"/>
            <w:gridSpan w:val="2"/>
            <w:vMerge w:val="restart"/>
          </w:tcPr>
          <w:p>
            <w:pPr>
              <w:jc w:val="center"/>
              <w:spacing w:after="0" w:line="146" w:lineRule="exact"/>
              <w:rPr>
                <w:sz w:val="20"/>
                <w:szCs w:val="20"/>
                <w:color w:val="auto"/>
              </w:rPr>
            </w:pPr>
            <w:r>
              <w:rPr>
                <w:rFonts w:ascii="Arial" w:cs="Arial" w:eastAsia="Arial" w:hAnsi="Arial"/>
                <w:sz w:val="15"/>
                <w:szCs w:val="15"/>
                <w:b w:val="1"/>
                <w:bCs w:val="1"/>
                <w:color w:val="auto"/>
                <w:w w:val="92"/>
              </w:rPr>
              <w:t>Deficit) Retained</w:t>
            </w:r>
          </w:p>
        </w:tc>
        <w:tc>
          <w:tcPr>
            <w:tcW w:w="220" w:type="dxa"/>
            <w:vAlign w:val="bottom"/>
          </w:tcPr>
          <w:p>
            <w:pPr>
              <w:spacing w:after="0"/>
              <w:rPr>
                <w:sz w:val="5"/>
                <w:szCs w:val="5"/>
                <w:color w:val="auto"/>
              </w:rPr>
            </w:pPr>
          </w:p>
        </w:tc>
        <w:tc>
          <w:tcPr>
            <w:tcW w:w="1240" w:type="dxa"/>
            <w:vAlign w:val="bottom"/>
            <w:vMerge w:val="restart"/>
          </w:tcPr>
          <w:p>
            <w:pPr>
              <w:jc w:val="center"/>
              <w:ind w:right="83"/>
              <w:spacing w:after="0" w:line="146" w:lineRule="exact"/>
              <w:rPr>
                <w:sz w:val="20"/>
                <w:szCs w:val="20"/>
                <w:color w:val="auto"/>
              </w:rPr>
            </w:pPr>
            <w:r>
              <w:rPr>
                <w:rFonts w:ascii="Arial" w:cs="Arial" w:eastAsia="Arial" w:hAnsi="Arial"/>
                <w:sz w:val="15"/>
                <w:szCs w:val="15"/>
                <w:b w:val="1"/>
                <w:bCs w:val="1"/>
                <w:color w:val="auto"/>
                <w:w w:val="94"/>
              </w:rPr>
              <w:t>Interest in</w:t>
            </w:r>
          </w:p>
        </w:tc>
        <w:tc>
          <w:tcPr>
            <w:tcW w:w="220" w:type="dxa"/>
            <w:vAlign w:val="bottom"/>
          </w:tcPr>
          <w:p>
            <w:pPr>
              <w:spacing w:after="0"/>
              <w:rPr>
                <w:sz w:val="5"/>
                <w:szCs w:val="5"/>
                <w:color w:val="auto"/>
              </w:rPr>
            </w:pPr>
          </w:p>
        </w:tc>
        <w:tc>
          <w:tcPr>
            <w:tcW w:w="1100" w:type="dxa"/>
            <w:vAlign w:val="bottom"/>
            <w:vMerge w:val="restart"/>
          </w:tcPr>
          <w:p>
            <w:pPr>
              <w:jc w:val="right"/>
              <w:ind w:right="103"/>
              <w:spacing w:after="0" w:line="146" w:lineRule="exact"/>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57"/>
        </w:trPr>
        <w:tc>
          <w:tcPr>
            <w:tcW w:w="2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7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8"/>
              </w:rPr>
              <w:t>Dollars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Capital</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0"/>
              </w:rPr>
              <w:t>Earnings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Subsidiary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68"/>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Balances at December 31, 2017</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35,838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305,362</w:t>
            </w:r>
          </w:p>
        </w:tc>
        <w:tc>
          <w:tcPr>
            <w:tcW w:w="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(67,111)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630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237,719</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Exercise of share options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16</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Vesting of restricted stock and</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performance stock awards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151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(692)</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5"/>
                <w:szCs w:val="15"/>
                <w:color w:val="auto"/>
              </w:rPr>
              <w:t>Equity compensation</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1,383</w:t>
            </w:r>
          </w:p>
        </w:tc>
        <w:tc>
          <w:tcPr>
            <w:tcW w:w="44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1,383</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repurchase and retirement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(399)</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(4,700)</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(4,700)</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4"/>
              </w:rPr>
              <w:t>Foreign currency translation adjustment,</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net of taxes</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(72)</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2"/>
              </w:rPr>
              <w:t>Net change in hedging transaction, net of</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78</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Distribution to noncontrolling</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shareholder</w:t>
            </w:r>
          </w:p>
        </w:tc>
        <w:tc>
          <w:tcPr>
            <w:tcW w:w="8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(590)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(590)</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3,181</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564</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3,745</w:t>
            </w:r>
          </w:p>
        </w:tc>
        <w:tc>
          <w:tcPr>
            <w:tcW w:w="0" w:type="dxa"/>
            <w:vAlign w:val="bottom"/>
          </w:tcPr>
          <w:p>
            <w:pPr>
              <w:spacing w:after="0"/>
              <w:rPr>
                <w:sz w:val="1"/>
                <w:szCs w:val="1"/>
                <w:color w:val="auto"/>
              </w:rPr>
            </w:pPr>
          </w:p>
        </w:tc>
      </w:tr>
      <w:tr>
        <w:trPr>
          <w:trHeight w:val="268"/>
        </w:trPr>
        <w:tc>
          <w:tcPr>
            <w:tcW w:w="2740" w:type="dxa"/>
            <w:vAlign w:val="bottom"/>
          </w:tcPr>
          <w:p>
            <w:pPr>
              <w:ind w:left="40"/>
              <w:spacing w:after="0"/>
              <w:rPr>
                <w:sz w:val="20"/>
                <w:szCs w:val="20"/>
                <w:color w:val="auto"/>
              </w:rPr>
            </w:pPr>
            <w:r>
              <w:rPr>
                <w:rFonts w:ascii="Arial" w:cs="Arial" w:eastAsia="Arial" w:hAnsi="Arial"/>
                <w:sz w:val="15"/>
                <w:szCs w:val="15"/>
                <w:color w:val="auto"/>
              </w:rPr>
              <w:t>Balances at June 30, 2018</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35,606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301,353</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(63,930)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236,871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(loss)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(52,646)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3,744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31,425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8,808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17,939</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Acquisition-related settlements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repurchase and retirement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24,830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32,559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2019.</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2018 included in the Company’s Annual Report on Form 10-K as filed with the Securities and Exchange Commission. The December 31, 2018 condensed consolidated balance sheet included herein was derived from the December 31, 2018 audited consolidated balance sheet included in the Company’s Annual Report on Form 10-K.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on the condensed consolidated balance sheets, and as presented in Note 3 - Revenue Recognition and Note 13 - Segment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Operations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made $12.5 million in optional debt prepayments during the first half of 2019 and, as a result, no further debt payments are required through December 31, 2020. As of June 30, 2019, the Company was in compliance with the covenants contained in its Credit Agreement, which consist of leverage, fixed charge coverage, and asset coverage ratios. Based on the terms of the Credit Agreement, the fixed charge coverage ratio does not permit the Company to reflect the impact of debt prepayments made during 2019. As of June 30, 2019, the Company believes its financial results, based upon its projections as well as the further cost actions it can take, will be sufficient to maintain compliance with the financial covenants and meet its obligations for the next twelve months. In the event actual results differ significantly from current projections, the Company believes it would be able to either amend its Credit Agreement in conjunction with making additional prepayments, repay its existing senior term loan with other sources of liquidity, or refinance its senior debt entirely.</w:t>
      </w:r>
    </w:p>
    <w:p>
      <w:pPr>
        <w:spacing w:after="0" w:line="163"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fair value of the interest rate swap agreement;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0" w:name="page11"/>
    <w:bookmarkEnd w:id="10"/>
    <w:p>
      <w:pPr>
        <w:ind w:right="540"/>
        <w:spacing w:after="0" w:line="277" w:lineRule="auto"/>
        <w:rPr>
          <w:sz w:val="20"/>
          <w:szCs w:val="20"/>
          <w:color w:val="auto"/>
        </w:rPr>
      </w:pPr>
      <w:r>
        <w:rPr>
          <w:rFonts w:ascii="Arial" w:cs="Arial" w:eastAsia="Arial" w:hAnsi="Arial"/>
          <w:sz w:val="18"/>
          <w:szCs w:val="18"/>
          <w:color w:val="auto"/>
        </w:rPr>
        <w:t>As a result, restructuring costs on the consolidated statements of operations include on-going benefit costs for its employees, exit costs, and other costs including write-offs related to abandoned locations.</w:t>
      </w:r>
    </w:p>
    <w:p>
      <w:pPr>
        <w:spacing w:after="0" w:line="17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 xml:space="preserve">Effective January 1, 2019, in conjunction with the adoption of the Financial Accounting Standards Board (FASB)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described below, certain office locations that the Company vacated in connection with restructuring activities were included in the measurement of its beginning operating lease liabilities. Previous accruals related to these locations of $0.3 million have been presented as a reduction to the operating lease right-of-use assets on the 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Reconciliation of the on-going benefit costs beginning and ending liability balance is presented below:</w:t>
            </w: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On-Going Benefit Costs</w:t>
            </w:r>
          </w:p>
        </w:tc>
      </w:tr>
      <w:tr>
        <w:trPr>
          <w:trHeight w:val="27"/>
        </w:trPr>
        <w:tc>
          <w:tcPr>
            <w:tcW w:w="8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jc w:val="right"/>
              <w:ind w:right="370"/>
              <w:spacing w:after="0"/>
              <w:rPr>
                <w:sz w:val="20"/>
                <w:szCs w:val="20"/>
                <w:color w:val="auto"/>
              </w:rPr>
            </w:pPr>
            <w:r>
              <w:rPr>
                <w:rFonts w:ascii="Arial" w:cs="Arial" w:eastAsia="Arial" w:hAnsi="Arial"/>
                <w:sz w:val="18"/>
                <w:szCs w:val="18"/>
                <w:color w:val="auto"/>
                <w:w w:val="99"/>
              </w:rPr>
              <w:t>(amounts in thousands)</w:t>
            </w: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January 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Charged to restructuring costs</w:t>
            </w:r>
          </w:p>
        </w:tc>
        <w:tc>
          <w:tcPr>
            <w:tcW w:w="26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1,104</w:t>
            </w: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Payments</w:t>
            </w:r>
          </w:p>
        </w:tc>
        <w:tc>
          <w:tcPr>
            <w:tcW w:w="26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26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1,287</w:t>
            </w: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Charged to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6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7"/>
        </w:trPr>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June 30,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 of the beginning of the second quarter of 2019, the Company early adopted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350-40), Customer's Accounting for Implementation Costs Incurred in a Cloud Computing Arrangement That is a Service Contract, </w:t>
      </w:r>
      <w:r>
        <w:rPr>
          <w:rFonts w:ascii="Arial" w:cs="Arial" w:eastAsia="Arial" w:hAnsi="Arial"/>
          <w:sz w:val="18"/>
          <w:szCs w:val="18"/>
          <w:color w:val="auto"/>
        </w:rPr>
        <w:t>which aligns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Company has adopted this guidance prospectively to all implementation costs incurred after the date of adoption with no material impact on its consolidated financial statements.</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Effective January 1, 2019, the Company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that, as lessee, leases, as defined by the standard, are to be recognized on the balance sheet as right-of-use assets and as lease liabilities. The Company elected not to apply the recognition requirements to short-term leases (leases with terms of twelve months or less), and to apply the transition method, which is applied prospectively, measuring and recognizing the initial right-of-use asset and liability at January 1, 2019, without revising comparative period information or disclosure. In addition, the Company elected the package of transition provisions available for expired or existing contracts, which allowed the Company to forego assessment of: (1) whether contracts are or contain leases, (2) lease classification, and (3) initial direct costs. Consistent with current accounting, all of the Company's existing leases identified under ASC 840 will be treated as operating leases. The Company has also elected the practical expedient to not separate non-lease components from the lease components to which they relate, and instead account for each as a single lease component, for all of its underlying asset classes. Accordingly, all expenses associated with a lease contract are accounted for as lease expenses.</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the later of January 1, 2019 or each lease’s respective commencement date, the Company recorded lease liabilities equal to the present value of its remaining minimum lease payments and right-of-use assets equal to the corresponding lease liability adjusted for any prepaid or accrued lease payments and the remaining balance of lease incentives received. At the transition date, the right of use asset and total lease liabilities were $22.0 million and $28.6 million, respectively. The difference between the right-of use-asset and lease liabilities is due to the derecognition of accrued lease payments of $7.2 million, previously included in other current and non-current liabilities, and prepaid rent of $0.6 million, previously included in prepaid expenses. See Note 10 - Leases.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revenues, generated from temporary staffing services and other services, are disaggregated by segment in the following table. Sales and usage-based taxes are excluded from revenue.</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 June 30, 2019</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177,733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194,560</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3,054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3,942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8,197</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180,787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202,757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 June 30, 2018</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175,692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195,635</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3,242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4,304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8,937</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178,934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204,572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Six Months ended June 30, 2019</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350,396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382,377</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6,028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2,206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7,317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15,551</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356,424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34,187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397,928</w:t>
            </w:r>
          </w:p>
        </w:tc>
      </w:tr>
      <w:tr>
        <w:trPr>
          <w:trHeight w:val="20"/>
        </w:trPr>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500"/>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Six Months ended June 30, 2018</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Allied</w:t>
            </w:r>
          </w:p>
        </w:tc>
        <w:tc>
          <w:tcPr>
            <w:tcW w:w="28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Physician</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Staffing</w:t>
            </w:r>
          </w:p>
        </w:tc>
        <w:tc>
          <w:tcPr>
            <w:tcW w:w="28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Staffing</w:t>
            </w:r>
          </w:p>
        </w:tc>
        <w:tc>
          <w:tcPr>
            <w:tcW w:w="34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356,837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40,173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397,010</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6,706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2,721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8,423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17,850</w:t>
            </w: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363,543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42,894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8,423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414,860</w:t>
            </w:r>
          </w:p>
        </w:tc>
      </w:tr>
      <w:tr>
        <w:trPr>
          <w:trHeight w:val="20"/>
        </w:trPr>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Accounts receivable includes estimated revenue for the Company's employees', subcontracted employees', and independent contractors’ time worked but not yet invoiced. At June 30, 2019 and December 31, 2018, the Company's estimate of amounts that had been worked but had not been billed totaled $43.0 million and $44.1 million, respectively, and are included in accounts receivable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364" w:right="35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 RN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during the third quarter of 2017 as the final adjustment for net working capital. Additionally, $0.6 million of the purchase price was deferred as of the closing and was due to the seller within 20 months, less any Cobra and healthcare payments incurred by the Company on behalf of the seller. The Company incurred approximately $0.5 million in COBRA expenses since the Advantage acquisition and, in February 2019, released to the seller the remaining liability of $0.1 million.</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On April 3, 2019, $4.3 million related to the tax liabilities was disbursed to pay taxes and the remaining $2.9 million was released from escrow to the seller. In the first quarter of 2019, $7.0 million related to the post-close liabilities was released from escrow, leaving a balance of $0.5 million to cover pending post-close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30, 2015, the Company completed the acquisition of all of the membership interests of New Mediscan II, LLC, Mediscan Diagnostic Services, LLC, and Mediscan Nursing Staffing, LLC (collectively, Mediscan). In connection with the Mediscan acquisition, the Company assumed contingent purchase price liabilities for a previously acquired business that are payable annually based on specific performance criteria for the years 2016 through 2019. Payments related to the years 2016 through 2018 were limited to $0.3 million annually and 2019 is uncapped. During each of the six months ended June 30, 2019 and 2018, the Company paid $0.1 million related to the years 2018 and 2017. As of June 30, 2019, the fair value of the remaining obligations was estimated at $8.1 million and is included in other current and other long-term liabilities on the condensed consolidated balance sheets. See Note 11 - Fair Value Measurements.</w:t>
      </w:r>
    </w:p>
    <w:p>
      <w:pPr>
        <w:spacing w:after="0" w:line="18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Total comprehensive income (loss) includes net income or loss, foreign currency translation adjustments, and net change in derivative transactions, net of any related deferred taxes, if applicable. Certain of the Company’s foreign subsidiaries use their respective local currency as their functional currency. In accordance with the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$1.2 million at June 30, 2019 and $1.3 million at December 31, 2018. The cumulative impact of net changes in derivative instruments included in accumulated other comprehensive loss in the condensed consolidated balance sheets was an unrealized loss of $1.1 million at June 30, 2019 and $0.2 million at December 31, 2018. See Note 9 - Derivative.</w:t>
      </w:r>
    </w:p>
    <w:p>
      <w:pPr>
        <w:spacing w:after="0" w:line="1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income tax impact related to components of other comprehensive (loss) income for the three and six months ended June 30, 2019 and 2018 is reflected on the condensed consolidated statements of comprehensive (loss) income. During the three and six months ended June 30, 2019, the Company established a valuation allowance on its deferred tax assets. As a result, the first quarter's tax impact recorded through other comprehensive income was reversed.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5"/>
          </w:tcPr>
          <w:p>
            <w:pPr>
              <w:ind w:left="20"/>
              <w:spacing w:after="0"/>
              <w:rPr>
                <w:sz w:val="20"/>
                <w:szCs w:val="20"/>
                <w:color w:val="auto"/>
              </w:rPr>
            </w:pPr>
            <w:r>
              <w:rPr>
                <w:rFonts w:ascii="Arial" w:cs="Arial" w:eastAsia="Arial" w:hAnsi="Arial"/>
                <w:sz w:val="14"/>
                <w:szCs w:val="14"/>
                <w:color w:val="auto"/>
                <w:w w:val="99"/>
              </w:rPr>
              <w:t>(amounts in thousands, except per share data)</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w w:val="99"/>
              </w:rPr>
              <w:t>Net (loss) income attributable to common shareholders - Basic and</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(51,674)</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(53,441)</w:t>
            </w:r>
          </w:p>
        </w:tc>
        <w:tc>
          <w:tcPr>
            <w:tcW w:w="1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Weighted average common shares - 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35,727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Effective of diluted shares: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awards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35,832</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35,763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35,959</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Net (loss) income per share attributable to common shareholders -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8"/>
                <w:szCs w:val="18"/>
                <w:color w:val="auto"/>
                <w:w w:val="92"/>
              </w:rPr>
              <w:t>Net (loss) income per share attributable to common shareholders -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six months ended June 30, 2019 and 2018, no tax benefits were assumed in the weighted average share calculation due to the Company's net operating loss position.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Due to the net loss for the three and six months ended June 30, 2019, 117,259 and 107,222 shares, respectively, were excluded from diluted weighted average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900" w:type="dxa"/>
            <w:vAlign w:val="bottom"/>
            <w:gridSpan w:val="8"/>
          </w:tcPr>
          <w:p>
            <w:pPr>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40" w:type="dxa"/>
            <w:vAlign w:val="bottom"/>
            <w:gridSpan w:val="6"/>
          </w:tcPr>
          <w:p>
            <w:pPr>
              <w:spacing w:after="0"/>
              <w:rPr>
                <w:sz w:val="20"/>
                <w:szCs w:val="20"/>
                <w:color w:val="auto"/>
              </w:rPr>
            </w:pPr>
            <w:r>
              <w:rPr>
                <w:rFonts w:ascii="Arial" w:cs="Arial" w:eastAsia="Arial" w:hAnsi="Arial"/>
                <w:sz w:val="18"/>
                <w:szCs w:val="18"/>
                <w:color w:val="auto"/>
                <w:w w:val="91"/>
              </w:rPr>
              <w:t>The Company had the following acquired intangible assets: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June 30, 2019</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20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30,530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10,743</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19,787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30,530</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9,216</w:t>
            </w:r>
          </w:p>
        </w:tc>
        <w:tc>
          <w:tcPr>
            <w:tcW w:w="22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49,758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24,946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24,812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23,296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4"/>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8,800</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6,020</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1,696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89,408</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38,598</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50,810</w:t>
            </w: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89,487</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34,305</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55,182</w:t>
            </w:r>
          </w:p>
        </w:tc>
        <w:tc>
          <w:tcPr>
            <w:tcW w:w="2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Intangible assets not subject to</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Trade names, indefinite-lived</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56,710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9"/>
              </w:rPr>
              <w:t>As of June 30, 2019, estimated annual amortization expense is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0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49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2"/>
          </w:tcPr>
          <w:p>
            <w:pPr>
              <w:ind w:left="6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Borders>
              <w:top w:val="single" w:sz="8" w:color="auto"/>
            </w:tcBorders>
          </w:tcPr>
          <w:p>
            <w:pPr>
              <w:jc w:val="right"/>
              <w:ind w:right="49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names and other intangible assets</w:t>
      </w:r>
    </w:p>
    <w:p>
      <w:pPr>
        <w:spacing w:after="0" w:line="14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part of evolving its go-to-market strategy, in the second quarter of 2019, the Company began eliminating certain brands across all of its segments. The Company’s rebranding efforts resulted in a $14.5 million write-off of indefinite-lived trade names related to its Nurse and Allied Staffing business segment, which is presented as impairment charges on the condensed consolidated statements of operations. In addition, certain finite-lived trade names were accelerated, which resulted in additional amortization expense related to its Nurse and Allied Staffing and Physician Staffing business segments of $0.1 million and $0.5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As of June 30, 2019, the Company performed a qualitative assessment of each of its reporting units and determined it was not more likely than not that the fair value of its reporting units dropped below their carrying value. As a result, management concluded that no impairment testing was warranted as of June 30, 2019. Although management believes that the Company's current estimates and assumptions are reasonable and supportable, there can be no assurance that the estimates and assumptions made for purposes of the impairment testing will prove to be accurate predictions of future performance.</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 result of the Company merging its permanent search recruitment brands into its Search segment, $2.4 million of goodwill was reassigned to its Search reporting unit from Nurse and Allied Staffing. As of June 30, 2019, goodwill by reporting segment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5" w:name="page16"/>
    <w:bookmarkEnd w:id="15"/>
    <w:p>
      <w:pPr>
        <w:ind w:right="400"/>
        <w:spacing w:after="0" w:line="277" w:lineRule="auto"/>
        <w:rPr>
          <w:sz w:val="20"/>
          <w:szCs w:val="20"/>
          <w:color w:val="auto"/>
        </w:rPr>
      </w:pPr>
      <w:r>
        <w:rPr>
          <w:rFonts w:ascii="Arial" w:cs="Arial" w:eastAsia="Arial" w:hAnsi="Arial"/>
          <w:sz w:val="18"/>
          <w:szCs w:val="18"/>
          <w:color w:val="auto"/>
        </w:rPr>
        <w:t>was: $86.5 million for Nurse and Allied Staffing, $2.8 million for Physician Staffing, and $11.9 million for Search, totaling $101.2 million as of June 30, 2019. See Note 13 - Segment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80"/>
              <w:spacing w:after="0"/>
              <w:rPr>
                <w:sz w:val="20"/>
                <w:szCs w:val="20"/>
                <w:color w:val="auto"/>
              </w:rPr>
            </w:pPr>
            <w:r>
              <w:rPr>
                <w:rFonts w:ascii="Arial" w:cs="Arial" w:eastAsia="Arial" w:hAnsi="Arial"/>
                <w:sz w:val="18"/>
                <w:szCs w:val="18"/>
                <w:b w:val="1"/>
                <w:bCs w:val="1"/>
                <w:color w:val="auto"/>
              </w:rPr>
              <w:t>June 30, 2019</w:t>
            </w:r>
          </w:p>
        </w:tc>
        <w:tc>
          <w:tcPr>
            <w:tcW w:w="240" w:type="dxa"/>
            <w:vAlign w:val="bottom"/>
          </w:tcPr>
          <w:p>
            <w:pPr>
              <w:spacing w:after="0"/>
              <w:rPr>
                <w:sz w:val="24"/>
                <w:szCs w:val="24"/>
                <w:color w:val="auto"/>
              </w:rPr>
            </w:pPr>
          </w:p>
        </w:tc>
        <w:tc>
          <w:tcPr>
            <w:tcW w:w="2600" w:type="dxa"/>
            <w:vAlign w:val="bottom"/>
            <w:gridSpan w:val="4"/>
          </w:tcPr>
          <w:p>
            <w:pPr>
              <w:jc w:val="right"/>
              <w:ind w:right="594"/>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Debt Issuance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w w:val="90"/>
              </w:rPr>
              <w:t>Debt Issuance</w:t>
            </w: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Costs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Term Loan, interest 5.4% and 4.8% at June 30, 2019 and December 31,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respectively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71,376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78,641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Facility</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March 29, 2019, the Company entered into a Second Amendment (Second Amendment) to its Amended and Restated Credit Agreement that, among other administrative changes, modifies the following: (1) changes the financial leverage ratio from Consolidated Total Leverage to Consolidated Net Leverage and permits a maximum Consolidated Net Leverage Ratio of 4.60:1.00 for the periods of December 31, 2018 through June 30, 2019, 4.25:1:00 for the period ending September 30, 2019, 4.00:1.00 for the period ending December 31, 2019, 3.75:1.00 for the period ending March 31, 2020, 3.50:1.00 for the period ending June 30, 2020, 3.25:1.00 for the period ending September 30, 2020, and maintains 3.00:1:00 for the periods thereafter and as adjusted pursuant to a Specified and Qualified Permitted Acquisition (as defined therein); (2) the Applicable Margin definition has been revised to: modify Level V to be greater than or equal to 3.00:1.00 but less than 3.50:1.00; adds an additional Level VI if the Consolidated Net Leverage is greater than or equal to 3.50:1.00 but less than 4.00:1.00; and adds an additional Level VII if Consolidated Net Leverage Ratio is greater than 4.00:1.00. The added Levels VI and VII result in an increase in the Applicable Margin for borrowing from their respective prior Levels by 25 basis points for each and an increase of 5 basis points to the Commitment Fee for each; (3) adds an additional financial covenant for the quarters ending March 31, 2019 through and including the quarter ending December 31, 2019, that requires the Consolidated Asset Coverage Ratio to be no less than 1.10:1.00; and (4) lowers the Aggregate Revolving Commitments from $115 million to $75 million through the exercise of a $40 million Optional Reduction.</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Second Amendment has been treated as a modification and accordingly, the fees of $0.6 million paid to the Company's lenders in connection with the amendment are included as $0.3 million of debt issuance costs associated with the revolving credit agreement, and $0.3 million as a reduction to the carrying amount of the term loan. The fees will be amortized to interest expense over the term of the arrangement. In addition, in the three months ended March 31, 2019, $0.3 million of debt issuance costs was written off due to the reduction in borrowing capacity under the revolving credit facility, which is included in loss on early extinguishment on the consolidated statement of operations.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29, 2019 and June 28, 2019, the Company made optional prepayments of $7.5 million and $5.0 million, respectively, on its Term Loan, which have been allocated to the next consecutive scheduled quarterly payments resulting in the next seven and a portion of the eighth payment being prepaid. As a result, in the three months ended June 30, 2019, an additional $0.1 million of debt issuance costs were written off. The Company has the right at any time and from time to time to prepay any borrowing, in whole or in part, without premium or penalty, by giving written notice (or telephonic notice promptly confirmed in writing). The Company is required to prepay its Term Loan and Revolving Credit Facility under certain circumstances including from net cash proceeds from asset sales or dispositions in excess of certain thresholds, as well as from net cash proceeds from the issuance of certain debt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As of June 30, 2019, the aggregate scheduled maturities of the term loan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0" w:type="dxa"/>
            <w:vAlign w:val="bottom"/>
          </w:tcPr>
          <w:p>
            <w:pPr>
              <w:jc w:val="right"/>
              <w:ind w:right="731"/>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8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jc w:val="right"/>
              <w:ind w:right="411"/>
              <w:spacing w:after="0"/>
              <w:rPr>
                <w:sz w:val="20"/>
                <w:szCs w:val="20"/>
                <w:color w:val="auto"/>
              </w:rPr>
            </w:pPr>
            <w:r>
              <w:rPr>
                <w:rFonts w:ascii="Arial" w:cs="Arial" w:eastAsia="Arial" w:hAnsi="Arial"/>
                <w:sz w:val="16"/>
                <w:szCs w:val="16"/>
                <w:color w:val="auto"/>
              </w:rPr>
              <w:t>(amounts in thousands)</w:t>
            </w:r>
          </w:p>
        </w:tc>
      </w:tr>
      <w:tr>
        <w:trPr>
          <w:trHeight w:val="33"/>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2019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5,386</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65,990</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71,376</w:t>
            </w:r>
          </w:p>
        </w:tc>
      </w:tr>
      <w:tr>
        <w:trPr>
          <w:trHeight w:val="20"/>
        </w:trPr>
        <w:tc>
          <w:tcPr>
            <w:tcW w:w="8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Subject to the terms of the Amended and Restated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w:t>
      </w:r>
    </w:p>
    <w:p>
      <w:pPr>
        <w:spacing w:after="0" w:line="15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As of June 30, 2019, the Amended Term Loan and Amended Revolving Credit Facility bore interest at a rate equal to One Month LIBOR plus 3.00%. The interest rate is subject to an increase of 2.00% if an event of default exists under the Amended and Restated Credit Agreement. The Company is required to pay a commitment fee on the average daily unused portion of the Amended Revolving Credit Facility, based on the Applicable Margin which is 0.45% as of June 30, 2019. During the three months ended March 31, 2018, the Company entered into an interest rate swap to reduce its exposure to fluctuations in the interest rates associated with its debt, which was effective April 2, 2018. See Note 9 - Derivative.</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and affirmative covenants. The Amended and Restated Credit Agreement also contains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In addition to the Consolidated Total Leverage ratio and the Consolidated Asset Coverage ratio mentioned previously, the Amended and Restated Credit Agreement also includes a financial covenant of a minimum Consolidated Fixed Charge Coverage ratio (as defined therein) as of the end of each fiscal quarter of 1.50:1.00. As of June 30, 2019, the Company was in compliance with the covenants contained in the Amended and Restated Credit Agreement.</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obligations under the Amended and Restated Credit Agreement are guaranteed by all of the Company’s domestic wholly-owned subsidiaries and are secured by a first-priority security interest in the Collateral (as defined therein).</w:t>
      </w:r>
    </w:p>
    <w:p>
      <w:pPr>
        <w:spacing w:after="0" w:line="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2019, the Company had $20.6 million letters of credit outstanding, which relate to the Company’s workers’ compensation and professional liability insurance policies.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DERIVATIVE</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an interest rate swap agreement that, at initiation, effectively fixed the interest rate on 50% of the amortizing balance of the Company’s term debt, exclusive of the credit spread on the debt. The interest rate swap agreement requires the Company to pay a fixed rate to the respective counterparty of 2.627% per annum on an amortizing notional amount corresponding with the initial term loan payment schedule, and to receive from the respective counterparty, interest payments based on the applicable notional amounts and 1 month USD LIBOR, with no exchanges of notional amounts. As of June 30, 2019 and December 31, 2018, the interest rate swap is treated as a cash flow hedge and its fair value of a $1.2 million liability and a $0.2 million liability, respectively, is included in other current and other long-term liabilities on the consolidated balance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7" w:name="page18"/>
    <w:bookmarkEnd w:id="17"/>
    <w:p>
      <w:pPr>
        <w:ind w:right="60"/>
        <w:spacing w:after="0" w:line="277" w:lineRule="auto"/>
        <w:rPr>
          <w:sz w:val="20"/>
          <w:szCs w:val="20"/>
          <w:color w:val="auto"/>
        </w:rPr>
      </w:pPr>
      <w:r>
        <w:rPr>
          <w:rFonts w:ascii="Arial" w:cs="Arial" w:eastAsia="Arial" w:hAnsi="Arial"/>
          <w:sz w:val="18"/>
          <w:szCs w:val="18"/>
          <w:color w:val="auto"/>
        </w:rPr>
        <w:t>sheets. As of June 30, 2019, $0.4 million is expected to be reclassified from other comprehensive loss to interest expense related to the interest rate swap. See Note 11 - Fair Value Measurements.</w:t>
      </w:r>
    </w:p>
    <w:p>
      <w:pPr>
        <w:spacing w:after="0" w:line="16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has lease contracts related to the rental of office space, housing for its healthcare professionals on assignments, and other equipment rentals. The Company's lease population included in the recognition of its beginning right-of-use asset and lease liabilities under the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of the FASB ASC is substantially related to the rental of office space. The Company enters into lease agreements as lessee for the rental of office space for both its corporate and branch locations that may include options to extend or terminate early. Many of these real estate leases require variable payments of property taxes, insurance, and common area maintenance, in addition to base rent. The variable portion of these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on the condensed consolidated statement of operations. These leases do not include residual value guarantees, covenants, or other restrictions. Certain of the leases have provisions for free rent months during the lease term and/or escalating rent payments. In addition, particularly for the Company’s longer-term leases for its corporate offices, it has received incentives to enter into the leases such as receiving up to a specified dollar amount to construct tenant improvements. These lease incentives resulted in deferred rent credits. Upon adoption of the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of the FASB ASC, these deferred rent credits reduced the beginning operating right-of-use asset recognized and, consistent with the prior guidance will be recognized as a reduction to future rent expense over the expected remaining term of the respective leases.</w:t>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determines whether an arrangement constitutes a lease and records lease liabilities and right-of-use assets on its consolidated balance sheets at lease commencement. Lease liabilities are measured based on the present value of the total lease payments not yet paid discounted based on its incremental borrowing rate, as the rate implicit in the lease is not determinable. Its incremental borrowing rate is estimated based on what it would be required to pay for a collateralized borrowing equal to the total lease payments over the term of the lease. As such, the Company estimates its incremental borrowing rate based on an analysis of publicly traded debt securities of companies with credit and financial profiles similar to its own. Right-of-use assets are measured based on the corresponding lease liability adjusted for: (i) payments made to the lessor at or before the commencement date, (ii) initial direct costs, and (iii) tenant incentives under the lease. Rent expense commences when the lessor makes the underlying asset available to us. The Company does not assume renewals or early terminations unless it is reasonably certain to exercise these options at commencement. For short-term leases, rent expense is recognized in the condensed consolidated statements of operations on a straight-line basis over the lease term.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w w:val="91"/>
              </w:rPr>
              <w:t>The table below presents the lease-related assets and liabilities included on the condensed consolidated balance sheets:</w:t>
            </w: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300" w:type="dxa"/>
            <w:vAlign w:val="bottom"/>
          </w:tcPr>
          <w:p>
            <w:pPr>
              <w:spacing w:after="0"/>
              <w:rPr>
                <w:sz w:val="24"/>
                <w:szCs w:val="24"/>
                <w:color w:val="auto"/>
              </w:rPr>
            </w:pPr>
          </w:p>
        </w:tc>
        <w:tc>
          <w:tcPr>
            <w:tcW w:w="2320" w:type="dxa"/>
            <w:vAlign w:val="bottom"/>
          </w:tcPr>
          <w:p>
            <w:pPr>
              <w:jc w:val="right"/>
              <w:ind w:right="69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40" w:type="dxa"/>
            <w:vAlign w:val="bottom"/>
          </w:tcPr>
          <w:p>
            <w:pPr>
              <w:spacing w:after="0"/>
              <w:rPr>
                <w:sz w:val="2"/>
                <w:szCs w:val="2"/>
                <w:color w:val="auto"/>
              </w:rPr>
            </w:pPr>
          </w:p>
        </w:tc>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6"/>
              </w:rPr>
              <w:t>(amounts in thousands)</w:t>
            </w:r>
          </w:p>
        </w:tc>
      </w:tr>
      <w:tr>
        <w:trPr>
          <w:trHeight w:val="243"/>
        </w:trPr>
        <w:tc>
          <w:tcPr>
            <w:tcW w:w="4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20,254</w:t>
            </w:r>
          </w:p>
        </w:tc>
      </w:tr>
      <w:tr>
        <w:trPr>
          <w:trHeight w:val="27"/>
        </w:trPr>
        <w:tc>
          <w:tcPr>
            <w:tcW w:w="40" w:type="dxa"/>
            <w:vAlign w:val="bottom"/>
          </w:tcPr>
          <w:p>
            <w:pPr>
              <w:spacing w:after="0"/>
              <w:rPr>
                <w:sz w:val="2"/>
                <w:szCs w:val="2"/>
                <w:color w:val="auto"/>
              </w:rPr>
            </w:pPr>
          </w:p>
        </w:tc>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5,132</w:t>
            </w:r>
          </w:p>
        </w:tc>
      </w:tr>
      <w:tr>
        <w:trPr>
          <w:trHeight w:val="243"/>
        </w:trPr>
        <w:tc>
          <w:tcPr>
            <w:tcW w:w="4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21,447</w:t>
            </w:r>
          </w:p>
        </w:tc>
      </w:tr>
      <w:tr>
        <w:trPr>
          <w:trHeight w:val="162"/>
        </w:trPr>
        <w:tc>
          <w:tcPr>
            <w:tcW w:w="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50"/>
        </w:trPr>
        <w:tc>
          <w:tcPr>
            <w:tcW w:w="4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 years</w:t>
            </w:r>
          </w:p>
        </w:tc>
      </w:tr>
      <w:tr>
        <w:trPr>
          <w:trHeight w:val="243"/>
        </w:trPr>
        <w:tc>
          <w:tcPr>
            <w:tcW w:w="40" w:type="dxa"/>
            <w:vAlign w:val="bottom"/>
          </w:tcPr>
          <w:p>
            <w:pPr>
              <w:spacing w:after="0"/>
              <w:rPr>
                <w:sz w:val="21"/>
                <w:szCs w:val="21"/>
                <w:color w:val="auto"/>
              </w:rPr>
            </w:pPr>
          </w:p>
        </w:tc>
        <w:tc>
          <w:tcPr>
            <w:tcW w:w="8740" w:type="dxa"/>
            <w:vAlign w:val="bottom"/>
          </w:tcPr>
          <w:p>
            <w:pPr>
              <w:ind w:left="20"/>
              <w:spacing w:after="0"/>
              <w:rPr>
                <w:sz w:val="20"/>
                <w:szCs w:val="20"/>
                <w:color w:val="auto"/>
              </w:rPr>
            </w:pPr>
            <w:r>
              <w:rPr>
                <w:rFonts w:ascii="Arial" w:cs="Arial" w:eastAsia="Arial" w:hAnsi="Arial"/>
                <w:sz w:val="18"/>
                <w:szCs w:val="18"/>
                <w:color w:val="auto"/>
              </w:rPr>
              <w:t>Weighted average discount rate (a)</w:t>
            </w:r>
          </w:p>
        </w:tc>
        <w:tc>
          <w:tcPr>
            <w:tcW w:w="3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43"/>
        </w:trPr>
        <w:tc>
          <w:tcPr>
            <w:tcW w:w="878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Upon adoption of the new lease standard, discount rates used for existing leases were established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ind w:right="6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on the condensed consolidated balance sheets: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00" w:type="dxa"/>
            <w:vAlign w:val="bottom"/>
          </w:tcPr>
          <w:p>
            <w:pPr>
              <w:spacing w:after="0"/>
              <w:rPr>
                <w:sz w:val="20"/>
                <w:szCs w:val="20"/>
                <w:color w:val="auto"/>
              </w:rPr>
            </w:pPr>
          </w:p>
        </w:tc>
        <w:tc>
          <w:tcPr>
            <w:tcW w:w="2320" w:type="dxa"/>
            <w:vAlign w:val="bottom"/>
          </w:tcPr>
          <w:p>
            <w:pPr>
              <w:jc w:val="right"/>
              <w:ind w:right="390"/>
              <w:spacing w:after="0"/>
              <w:rPr>
                <w:sz w:val="20"/>
                <w:szCs w:val="20"/>
                <w:color w:val="auto"/>
              </w:rPr>
            </w:pPr>
            <w:r>
              <w:rPr>
                <w:rFonts w:ascii="Arial" w:cs="Arial" w:eastAsia="Arial" w:hAnsi="Arial"/>
                <w:sz w:val="18"/>
                <w:szCs w:val="18"/>
                <w:color w:val="auto"/>
                <w:w w:val="96"/>
              </w:rPr>
              <w:t>(amounts in thousands)</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3,083</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6,720</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5,875</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4,986</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4,696</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5,869</w:t>
            </w:r>
          </w:p>
        </w:tc>
      </w:tr>
      <w:tr>
        <w:trPr>
          <w:trHeight w:val="27"/>
        </w:trPr>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Total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31,229</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Less: amount of lease payments representing interest</w:t>
            </w:r>
          </w:p>
        </w:tc>
        <w:tc>
          <w:tcPr>
            <w:tcW w:w="3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(4,650)</w:t>
            </w:r>
          </w:p>
        </w:tc>
      </w:tr>
      <w:tr>
        <w:trPr>
          <w:trHeight w:val="27"/>
        </w:trPr>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Present value of future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26,579</w:t>
            </w: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Less: current lease obligations</w:t>
            </w:r>
          </w:p>
        </w:tc>
        <w:tc>
          <w:tcPr>
            <w:tcW w:w="3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7"/>
        </w:trPr>
        <w:tc>
          <w:tcPr>
            <w:tcW w:w="8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Non-current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21,447</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Future minimum lease payments, as of December 31, 2018, associated with non-cancelable operating lease agreements with terms of one year or more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jc w:val="center"/>
              <w:ind w:right="230"/>
              <w:spacing w:after="0"/>
              <w:rPr>
                <w:sz w:val="20"/>
                <w:szCs w:val="20"/>
                <w:color w:val="auto"/>
              </w:rPr>
            </w:pPr>
            <w:r>
              <w:rPr>
                <w:rFonts w:ascii="Arial" w:cs="Arial" w:eastAsia="Arial" w:hAnsi="Arial"/>
                <w:sz w:val="18"/>
                <w:szCs w:val="18"/>
                <w:color w:val="auto"/>
                <w:w w:val="89"/>
              </w:rPr>
              <w:t>(amounts 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30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6,287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30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4,857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5,893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Total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June 30, 2019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(amounts in thousands)</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180" w:type="dxa"/>
            <w:vAlign w:val="bottom"/>
            <w:gridSpan w:val="2"/>
          </w:tcPr>
          <w:p>
            <w:pPr>
              <w:spacing w:after="0"/>
              <w:rPr>
                <w:sz w:val="20"/>
                <w:szCs w:val="20"/>
                <w:color w:val="auto"/>
              </w:rPr>
            </w:pPr>
            <w:r>
              <w:rPr>
                <w:rFonts w:ascii="Arial" w:cs="Arial" w:eastAsia="Arial" w:hAnsi="Arial"/>
                <w:sz w:val="18"/>
                <w:szCs w:val="18"/>
                <w:color w:val="auto"/>
              </w:rPr>
              <w:t>The components of lease expense are as follows:</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jc w:val="right"/>
              <w:ind w:right="690"/>
              <w:spacing w:after="0"/>
              <w:rPr>
                <w:sz w:val="20"/>
                <w:szCs w:val="20"/>
                <w:color w:val="auto"/>
              </w:rPr>
            </w:pPr>
            <w:r>
              <w:rPr>
                <w:rFonts w:ascii="Arial" w:cs="Arial" w:eastAsia="Arial" w:hAnsi="Arial"/>
                <w:sz w:val="18"/>
                <w:szCs w:val="18"/>
                <w:b w:val="1"/>
                <w:bCs w:val="1"/>
                <w:color w:val="auto"/>
              </w:rPr>
              <w:t>June 30, 2019</w:t>
            </w:r>
          </w:p>
        </w:tc>
        <w:tc>
          <w:tcPr>
            <w:tcW w:w="280" w:type="dxa"/>
            <w:vAlign w:val="bottom"/>
          </w:tcPr>
          <w:p>
            <w:pPr>
              <w:spacing w:after="0"/>
              <w:rPr>
                <w:sz w:val="23"/>
                <w:szCs w:val="23"/>
                <w:color w:val="auto"/>
              </w:rPr>
            </w:pPr>
          </w:p>
        </w:tc>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June 30, 2019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3"/>
            <w:shd w:val="clear" w:color="auto" w:fill="CCEEFF"/>
          </w:tcPr>
          <w:p>
            <w:pPr>
              <w:jc w:val="right"/>
              <w:ind w:right="1650"/>
              <w:spacing w:after="0"/>
              <w:rPr>
                <w:sz w:val="20"/>
                <w:szCs w:val="20"/>
                <w:color w:val="auto"/>
              </w:rPr>
            </w:pPr>
            <w:r>
              <w:rPr>
                <w:rFonts w:ascii="Arial" w:cs="Arial" w:eastAsia="Arial" w:hAnsi="Arial"/>
                <w:sz w:val="18"/>
                <w:szCs w:val="18"/>
                <w:color w:val="auto"/>
              </w:rPr>
              <w:t>(amounts in thousands)</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Amounts Included in Condensed Consolidated Statements of Operations:</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140" w:type="dxa"/>
            <w:vAlign w:val="bottom"/>
          </w:tcPr>
          <w:p>
            <w:pPr>
              <w:ind w:left="140"/>
              <w:spacing w:after="0"/>
              <w:rPr>
                <w:sz w:val="20"/>
                <w:szCs w:val="20"/>
                <w:color w:val="auto"/>
              </w:rPr>
            </w:pPr>
            <w:r>
              <w:rPr>
                <w:rFonts w:ascii="Arial" w:cs="Arial" w:eastAsia="Arial" w:hAnsi="Arial"/>
                <w:sz w:val="18"/>
                <w:szCs w:val="18"/>
                <w:color w:val="auto"/>
              </w:rPr>
              <w:t>Short-term lease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4,108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Variable and other lease costs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6180" w:type="dxa"/>
            <w:vAlign w:val="bottom"/>
            <w:gridSpan w:val="2"/>
          </w:tcPr>
          <w:p>
            <w:pPr>
              <w:ind w:left="56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9" w:name="page20"/>
    <w:bookmarkEnd w:id="19"/>
    <w:p>
      <w:pPr>
        <w:ind w:right="180"/>
        <w:spacing w:after="0" w:line="308" w:lineRule="auto"/>
        <w:rPr>
          <w:sz w:val="20"/>
          <w:szCs w:val="20"/>
          <w:color w:val="auto"/>
        </w:rPr>
      </w:pPr>
      <w:r>
        <w:rPr>
          <w:rFonts w:ascii="Arial" w:cs="Arial" w:eastAsia="Arial" w:hAnsi="Arial"/>
          <w:sz w:val="17"/>
          <w:szCs w:val="17"/>
          <w:color w:val="auto"/>
        </w:rPr>
        <w:t>Operating lease expense, short-term lease expense, and variable and other lease costs are included in selling, general and administrative expenses and direct operating expenses on the Company's condensed consolidated statements of operations, depending on the nature of the leased asset.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Company does not have any material operating leases which have not yet commenced.</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financial assets/liabilities required to be measured on a recurring basis were its: (1) deferred compensation asset included in other non-current assets; (2) deferred compensation liability included in other long-term liabilities; (3) interest rate swap agreement included in other current and other long-term liabilities; and (4) contingent consideration liabilities included in other current and other long-term liabilities.</w:t>
      </w:r>
    </w:p>
    <w:p>
      <w:pPr>
        <w:spacing w:after="0" w:line="18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 agreement</w:t>
      </w:r>
      <w:r>
        <w:rPr>
          <w:rFonts w:ascii="Arial" w:cs="Arial" w:eastAsia="Arial" w:hAnsi="Arial"/>
          <w:sz w:val="16"/>
          <w:szCs w:val="16"/>
          <w:color w:val="auto"/>
        </w:rPr>
        <w:t>—The Company utilized Level 2 inputs to value its interest rate swap agreement. See Note 8 - Debt and Note 9 - Derivative.</w:t>
      </w:r>
    </w:p>
    <w:p>
      <w:pPr>
        <w:spacing w:after="0" w:line="2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Contingent consideration liabilities</w:t>
      </w:r>
      <w:r>
        <w:rPr>
          <w:rFonts w:ascii="Arial" w:cs="Arial" w:eastAsia="Arial" w:hAnsi="Arial"/>
          <w:sz w:val="16"/>
          <w:szCs w:val="16"/>
          <w:color w:val="auto"/>
        </w:rPr>
        <w:t>—Potential earnout payments related to the acquisition of Mediscan are contingent upon meeting certain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through 2019. The long-term portion of these liabilities has been included in other long-term liabilities,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The Mediscan contingent consideration liability has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See Note 4 - Acquisitions.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ind w:left="7260"/>
        <w:spacing w:after="0"/>
        <w:tabs>
          <w:tab w:leader="none" w:pos="9540" w:val="left"/>
        </w:tabs>
        <w:rPr>
          <w:sz w:val="20"/>
          <w:szCs w:val="20"/>
          <w:color w:val="auto"/>
        </w:rPr>
      </w:pPr>
      <w:r>
        <w:rPr>
          <w:rFonts w:ascii="Arial" w:cs="Arial" w:eastAsia="Arial" w:hAnsi="Arial"/>
          <w:sz w:val="18"/>
          <w:szCs w:val="18"/>
          <w:b w:val="1"/>
          <w:bCs w:val="1"/>
          <w:color w:val="auto"/>
        </w:rPr>
        <w:t>June 30, 2019</w:t>
      </w:r>
      <w:r>
        <w:rPr>
          <w:sz w:val="20"/>
          <w:szCs w:val="20"/>
          <w:color w:val="auto"/>
        </w:rPr>
        <w:tab/>
      </w:r>
      <w:r>
        <w:rPr>
          <w:rFonts w:ascii="Arial" w:cs="Arial" w:eastAsia="Arial" w:hAnsi="Arial"/>
          <w:sz w:val="15"/>
          <w:szCs w:val="15"/>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5"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2" w:lineRule="exact"/>
        <w:rPr>
          <w:sz w:val="20"/>
          <w:szCs w:val="20"/>
          <w:color w:val="auto"/>
        </w:rPr>
      </w:pPr>
    </w:p>
    <w:p>
      <w:pPr>
        <w:ind w:left="280"/>
        <w:spacing w:after="0"/>
        <w:tabs>
          <w:tab w:leader="none" w:pos="6640" w:val="left"/>
          <w:tab w:leader="none" w:pos="8520" w:val="left"/>
          <w:tab w:leader="none" w:pos="9140" w:val="left"/>
          <w:tab w:leader="none" w:pos="1112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48895</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(Level 1)</w:t>
      </w:r>
    </w:p>
    <w:p>
      <w:pPr>
        <w:spacing w:after="0" w:line="72" w:lineRule="exact"/>
        <w:rPr>
          <w:sz w:val="20"/>
          <w:szCs w:val="20"/>
          <w:color w:val="auto"/>
        </w:rPr>
      </w:pPr>
    </w:p>
    <w:p>
      <w:pPr>
        <w:ind w:left="280"/>
        <w:spacing w:after="0"/>
        <w:tabs>
          <w:tab w:leader="none" w:pos="6640" w:val="left"/>
          <w:tab w:leader="none" w:pos="8380" w:val="left"/>
          <w:tab w:leader="none" w:pos="9140" w:val="left"/>
          <w:tab w:leader="none" w:pos="1088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(Level 2)</w:t>
      </w:r>
    </w:p>
    <w:p>
      <w:pPr>
        <w:spacing w:after="0" w:line="72" w:lineRule="exact"/>
        <w:rPr>
          <w:sz w:val="20"/>
          <w:szCs w:val="20"/>
          <w:color w:val="auto"/>
        </w:rPr>
      </w:pPr>
    </w:p>
    <w:p>
      <w:pPr>
        <w:ind w:left="280"/>
        <w:spacing w:after="0"/>
        <w:tabs>
          <w:tab w:leader="none" w:pos="6640" w:val="left"/>
          <w:tab w:leader="none" w:pos="8380" w:val="left"/>
          <w:tab w:leader="none" w:pos="9140" w:val="left"/>
          <w:tab w:leader="none" w:pos="1102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(Level 3)</w:t>
      </w:r>
    </w:p>
    <w:p>
      <w:pPr>
        <w:spacing w:after="0" w:line="72" w:lineRule="exact"/>
        <w:rPr>
          <w:sz w:val="20"/>
          <w:szCs w:val="20"/>
          <w:color w:val="auto"/>
        </w:rPr>
      </w:pPr>
    </w:p>
    <w:p>
      <w:pPr>
        <w:ind w:left="280"/>
        <w:spacing w:after="0"/>
        <w:tabs>
          <w:tab w:leader="none" w:pos="6640" w:val="left"/>
          <w:tab w:leader="none" w:pos="8380" w:val="left"/>
          <w:tab w:leader="none" w:pos="9140" w:val="left"/>
          <w:tab w:leader="none" w:pos="10880" w:val="left"/>
        </w:tabs>
        <w:rPr>
          <w:sz w:val="20"/>
          <w:szCs w:val="20"/>
          <w:color w:val="auto"/>
        </w:rPr>
      </w:pPr>
      <w:r>
        <w:rPr>
          <w:rFonts w:ascii="Arial" w:cs="Arial" w:eastAsia="Arial" w:hAnsi="Arial"/>
          <w:sz w:val="18"/>
          <w:szCs w:val="18"/>
          <w:color w:val="auto"/>
        </w:rPr>
        <w:t>Contingent consideration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8,089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26035"/>
                    </a:xfrm>
                    <a:prstGeom prst="rect">
                      <a:avLst/>
                    </a:prstGeom>
                    <a:noFill/>
                  </pic:spPr>
                </pic:pic>
              </a:graphicData>
            </a:graphic>
          </wp:anchor>
        </w:drawing>
      </w:r>
    </w:p>
    <w:p>
      <w:pPr>
        <w:spacing w:after="0" w:line="2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271"/>
              <w:spacing w:after="0"/>
              <w:rPr>
                <w:sz w:val="20"/>
                <w:szCs w:val="20"/>
                <w:color w:val="auto"/>
              </w:rPr>
            </w:pPr>
            <w:r>
              <w:rPr>
                <w:rFonts w:ascii="Arial" w:cs="Arial" w:eastAsia="Arial" w:hAnsi="Arial"/>
                <w:sz w:val="18"/>
                <w:szCs w:val="18"/>
                <w:b w:val="1"/>
                <w:bCs w:val="1"/>
                <w:color w:val="auto"/>
                <w:w w:val="90"/>
              </w:rPr>
              <w:t>Contingent Consideration</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40" w:type="dxa"/>
            <w:vAlign w:val="bottom"/>
          </w:tcPr>
          <w:p>
            <w:pPr>
              <w:jc w:val="center"/>
              <w:ind w:right="251"/>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jc w:val="center"/>
              <w:ind w:right="251"/>
              <w:spacing w:after="0"/>
              <w:rPr>
                <w:sz w:val="20"/>
                <w:szCs w:val="20"/>
                <w:color w:val="auto"/>
              </w:rPr>
            </w:pPr>
            <w:r>
              <w:rPr>
                <w:rFonts w:ascii="Arial" w:cs="Arial" w:eastAsia="Arial" w:hAnsi="Arial"/>
                <w:sz w:val="16"/>
                <w:szCs w:val="16"/>
                <w:color w:val="auto"/>
                <w:w w:val="89"/>
              </w:rPr>
              <w:t>(amounts in thousands)</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December 31, 2018</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34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Accretion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March 31, 2019</w:t>
            </w:r>
          </w:p>
        </w:tc>
        <w:tc>
          <w:tcPr>
            <w:tcW w:w="3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Accretion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8,089</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During an evaluation of goodwill, trade names, and other intangible assets during the fourth quarter of 2018, the carrying value of goodwill and trade names in the Physician Staffing reporting unit exceeded their fair values. As a result, the Company recorded impairment charges that incorporated fair value measurements based on Level 3 inputs. In the second quarter of 2019, the Company eliminated certain of its brands as part of a rebranding strategy. As a result, in the three and six months ended June 30, 2019, the Company incurred impairment charges related to its trade names in Nurse and Allied Staffing. See Note 7 - Goodwill, Trade Names,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 2019</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2018</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Carrying</w:t>
            </w:r>
          </w:p>
        </w:tc>
        <w:tc>
          <w:tcPr>
            <w:tcW w:w="540" w:type="dxa"/>
            <w:vAlign w:val="bottom"/>
          </w:tcPr>
          <w:p>
            <w:pPr>
              <w:spacing w:after="0"/>
              <w:rPr>
                <w:sz w:val="18"/>
                <w:szCs w:val="18"/>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4"/>
              </w:rPr>
              <w:t>Carrying</w:t>
            </w:r>
          </w:p>
        </w:tc>
        <w:tc>
          <w:tcPr>
            <w:tcW w:w="640" w:type="dxa"/>
            <w:vAlign w:val="bottom"/>
          </w:tcPr>
          <w:p>
            <w:pPr>
              <w:spacing w:after="0"/>
              <w:rPr>
                <w:sz w:val="18"/>
                <w:szCs w:val="18"/>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Amount</w:t>
            </w:r>
          </w:p>
        </w:tc>
        <w:tc>
          <w:tcPr>
            <w:tcW w:w="540" w:type="dxa"/>
            <w:vAlign w:val="bottom"/>
          </w:tcPr>
          <w:p>
            <w:pPr>
              <w:spacing w:after="0"/>
              <w:rPr>
                <w:sz w:val="20"/>
                <w:szCs w:val="20"/>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7"/>
              </w:rPr>
              <w:t>Value</w:t>
            </w:r>
          </w:p>
        </w:tc>
        <w:tc>
          <w:tcPr>
            <w:tcW w:w="30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Amount</w:t>
            </w:r>
          </w:p>
        </w:tc>
        <w:tc>
          <w:tcPr>
            <w:tcW w:w="640" w:type="dxa"/>
            <w:vAlign w:val="bottom"/>
          </w:tcPr>
          <w:p>
            <w:pPr>
              <w:spacing w:after="0"/>
              <w:rPr>
                <w:sz w:val="20"/>
                <w:szCs w:val="20"/>
                <w:color w:val="auto"/>
              </w:rPr>
            </w:pPr>
          </w:p>
        </w:tc>
        <w:tc>
          <w:tcPr>
            <w:tcW w:w="1060" w:type="dxa"/>
            <w:vAlign w:val="bottom"/>
          </w:tcPr>
          <w:p>
            <w:pPr>
              <w:jc w:val="center"/>
              <w:ind w:right="55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0"/>
                <w:shd w:val="clear" w:color="auto" w:fill="CCEEFF"/>
              </w:rPr>
              <w:t>Financial Liabilities:</w:t>
            </w:r>
          </w:p>
        </w:tc>
        <w:tc>
          <w:tcPr>
            <w:tcW w:w="2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70,613</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70,300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83,179</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has invested its excess cash in highly-rated overnight funds and other highly-rated liquid accounts. The Company is exposed to credit risk associated with these investments, as the cash balances typically exceed the current Federal Deposit Insurance Corporation (FDIC) limit of $250,000.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of invoice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six months ended June 30, 2019, the Company did not repurchase any shares of its Common Stock. During the six months ended June 30, 2018, the Company repurchased and retired 399,456 shares of its Common Stock for $4.7 million, at an average market price of $11.75 per share, under an authorized share repurchase program.</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June 30, 2019, the Company has 510,004 shares of Common Stock under the current share repurchase program available to repurchase, subject to certain conditions in the Company's Amended and Restated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for the six months ended June 30,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589,120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365,149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837,099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192,939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(59,505)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(189,619)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12.25</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June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1,041,806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368,469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Restricted stock awards granted under the Company’s 2017 Plan entitle the holder to receive, at the end of a vesting period, a specified number of shares of the Company’s common stock. Share-based compensation expense is measured by the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jc w:val="both"/>
        <w:ind w:right="120"/>
        <w:spacing w:after="0" w:line="286" w:lineRule="auto"/>
        <w:rPr>
          <w:sz w:val="20"/>
          <w:szCs w:val="20"/>
          <w:color w:val="auto"/>
        </w:rPr>
      </w:pPr>
      <w:r>
        <w:rPr>
          <w:rFonts w:ascii="Arial" w:cs="Arial" w:eastAsia="Arial" w:hAnsi="Arial"/>
          <w:sz w:val="17"/>
          <w:szCs w:val="17"/>
          <w:color w:val="auto"/>
        </w:rPr>
        <w:t>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and six months ended June 30, 2019, $1.0 million and $1.5 million, respectively, was included in selling, general and administrative expenses related to share-based payments, and a net of 49,317 and 225,753 shares, respectively, of Common Stock were issued upon the vesting of restricted stock.</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and six months ended June 30, 2018, $0.9 million and $1.4 million, respectively, was included in selling, general and administrative expenses related to share-based payments, and a net of 48,620 and 150,454 shares, respectively, of Common Stock were issued upon the vesting of restricted stock.</w:t>
      </w:r>
    </w:p>
    <w:p>
      <w:pPr>
        <w:spacing w:after="0" w:line="17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reports three business segments – Nurse and Allied Staffing, Physician Staffing, and Search. The Company manages and segments its business based on the services it offers to its customers as described below:</w:t>
      </w:r>
    </w:p>
    <w:p>
      <w:pPr>
        <w:spacing w:after="0" w:line="147" w:lineRule="exact"/>
        <w:rPr>
          <w:sz w:val="20"/>
          <w:szCs w:val="20"/>
          <w:color w:val="auto"/>
        </w:rPr>
      </w:pPr>
    </w:p>
    <w:p>
      <w:pPr>
        <w:ind w:left="660" w:right="2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United States.</w:t>
      </w:r>
    </w:p>
    <w:p>
      <w:pPr>
        <w:spacing w:after="0" w:line="188"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 practitioners,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46"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includes retained and contingent search services for physicians, healthcare executives, and other healthcare professionals,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process outsourcing.</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Company’s management evaluates performance of each segment primarily based on revenue and contribution income. The Company defines contribution income as income or loss from operations before depreciation and amortization, acquisition and integration costs, acquisition-related contingent consideration, restructuring costs, legal settlement charges, impairment charges, and corporate overhead. Contribution income is a financial measure used by management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4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color w:val="auto"/>
              </w:rPr>
              <w:t>(amounts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180,787</w:t>
            </w:r>
          </w:p>
        </w:tc>
        <w:tc>
          <w:tcPr>
            <w:tcW w:w="1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178,934</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356,424</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363,543</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18,028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21,334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Search</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3,942</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4,304</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8,423</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202,757</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204,572</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397,928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414,860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16,111</w:t>
            </w:r>
          </w:p>
        </w:tc>
        <w:tc>
          <w:tcPr>
            <w:tcW w:w="1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16,970</w:t>
            </w:r>
          </w:p>
        </w:tc>
        <w:tc>
          <w:tcPr>
            <w:tcW w:w="2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30,407</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33,557</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1,383</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Search</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736</w:t>
            </w:r>
          </w:p>
        </w:tc>
      </w:tr>
      <w:tr>
        <w:trPr>
          <w:trHeight w:val="27"/>
        </w:trPr>
        <w:tc>
          <w:tcPr>
            <w:tcW w:w="4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18,604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37,176</w:t>
            </w:r>
          </w:p>
        </w:tc>
      </w:tr>
      <w:tr>
        <w:trPr>
          <w:trHeight w:val="297"/>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11,439</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10,810</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23,769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3,557</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2,963</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5,872</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Legal settlement charges</w:t>
            </w: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14,502</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(15,096)</w:t>
            </w:r>
          </w:p>
        </w:tc>
        <w:tc>
          <w:tcPr>
            <w:tcW w:w="14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4,342</w:t>
            </w:r>
          </w:p>
        </w:tc>
        <w:tc>
          <w:tcPr>
            <w:tcW w:w="2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8,590</w:t>
            </w:r>
          </w:p>
        </w:tc>
      </w:tr>
      <w:tr>
        <w:trPr>
          <w:trHeight w:val="20"/>
        </w:trPr>
        <w:tc>
          <w:tcPr>
            <w:tcW w:w="4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40"/>
        <w:spacing w:after="0" w:line="264" w:lineRule="auto"/>
        <w:rPr>
          <w:sz w:val="20"/>
          <w:szCs w:val="20"/>
          <w:color w:val="auto"/>
        </w:rPr>
      </w:pPr>
      <w:r>
        <w:rPr>
          <w:rFonts w:ascii="Arial" w:cs="Arial" w:eastAsia="Arial" w:hAnsi="Arial"/>
          <w:sz w:val="18"/>
          <w:szCs w:val="18"/>
          <w:color w:val="auto"/>
        </w:rPr>
        <w:t>In the second quarter of 2019, the Company merged its permanent search recruitment brands. As a result, for the three and six months ended June 30, 2018, $0.4 million and $0.9 million of revenue, respectively, and $0.1 million contribution loss and $0.1 million contribution income, respectively, were reclassified from Nurse and Allied Staffing to Search to conform to the current period presentation.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its profitability. Adverse developments in existing litigation claims or legal proceedings involving the Company or new claims could require it to establish or increase litigation reserves or enter into unfavorable settlements or satisfy judgments for monetary damages for amounts in excess of current reserves, which could adversely affect its financial results. In the second quarter of 2019, the Company recorded $1.6 million in legal settlement charges related to the resolution of a medical malpractice lawsuit, as well as a 2019 California wage and hour class action settlement agreement which remains subject to court approval. The Company believes the outcome of any outstanding loss contingencies as of June 30, 2019 will not have a material adverse effect on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Non-income tax expense is included in selling, general and administrative expenses on its condensed consolidated statements of operations and the liability is reflected in other current liabilities as of June 30, 2019 and December 31, 2018, on its condensed consolidated balance sheets.</w:t>
      </w:r>
    </w:p>
    <w:p>
      <w:pPr>
        <w:spacing w:after="0" w:line="16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For the three and six months ended June 30, 2019, the Company calculated its effective tax rate based on year-to-date results, pursuant to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as opposed to estimating its annual effective tax rate. For the three and six months ended June 30, 2018, the Company estimated its annual effective tax rate and applied that rate to year-to-date results. The Company’s effective tax rate for the three and six months ended June 30, 2019 was negative 210.5% and negative 151.9%, respectively, including the impact of discrete items. Excluding discrete items, the Company’s effective tax rate for the three and six months ended June 30, 2019 was negative 14.8% and 3.8%, respectively. The effective tax rate for the three and six months ended June 30, 2019 was primarily impacted by the additional valuation allowance and impairment of indefinite-lived intangibles as well as international and state taxes.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2019, management assessed the available positive and negative evidence to estimate whether sufficient future taxable income will be generated to permit use of its existing deferred tax assets. A significant piece of objective negative evidence evaluated was the cumulative loss incurred over the three-year period ended June 30, 2019. On the basis of this evaluation, an additional valuation allowance of $36.0 million was recorded ($35.8 million of which was recorded as income tax expense and $0.2 million as a reduction of other comprehensive income) to reduce the portion of the deferred tax asset that is not more likely than not to be realized.</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intends to maintain a valuation allowance until sufficient positive evidence exists to support its reversal. As of June 30, 2019 and December 31, 2018, the Company had valuation allowances of $37.2 million and $1.2 million, respectively. The June 30, 2019 valuation allowance applied to all domestic deferred tax assets other than certain deferred tax assets expected to be realized. The December 31, 2018 valuation allowance applied to the uncertainty of the realization of certain state net operating losses.</w:t>
      </w:r>
    </w:p>
    <w:p>
      <w:pPr>
        <w:spacing w:after="0" w:line="1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June 30, 2019, the Company had approximately $0.7 million of unrecognized tax benefits included in other long-term liabilities ($6.2 million, net of deferred taxes, which would affect the effective tax rate if recognized). During the six months ended June 30, 2019, the Company had gross increases of $0.7 million to its current year unrecognized tax benefits related to federal and state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tax years of 2008 and 2010 through 2018 remain open to examination by certain taxing jurisdictions to which the Company is subject to tax.</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services to entities which are affiliated with certain members of the Company’s Board of Directors. Management believes such services were conducted on terms equivalent to those prevailing in an arm's-length transaction. Revenue related to these transactions was less than $0.1 million for both the three and six months ended June 30, 2019 and June 30, 2018. Accounts receivable due from these entities at June 30, 2019 and December 31, 2018 was less than $0.1 million.</w:t>
      </w:r>
    </w:p>
    <w:p>
      <w:pPr>
        <w:spacing w:after="0" w:line="18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has a 68% ownership interest in Cross Country Talent Acquisition Group, LLC, a joint venture between the Company and a hospital system. The Company generated revenue providing staffing services to the hospital system of $6.3 million and $11.9 million for the three and six months ended June 30, 2019, respectively, and $4.7 million and $9.1 million for the three and six months ended June 30, 2018, respectively. At June 30, 2019 and December 31, 2018, the Company had a receivable balance of $1.8 million and $2.8 million, respectively, and a payable balance of $0.4 million and $0.3 million, respectively.</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and $0.2 million, respectively, in rent expense for these premises for the three and six months ended June 30, 2018. In the fourth quarter of 2018, the Company vacated the premises.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spacing w:after="0"/>
        <w:tabs>
          <w:tab w:leader="none" w:pos="400" w:val="left"/>
        </w:tabs>
        <w:rPr>
          <w:sz w:val="20"/>
          <w:szCs w:val="20"/>
          <w:color w:val="auto"/>
        </w:rPr>
      </w:pPr>
      <w:r>
        <w:rPr>
          <w:rFonts w:ascii="Arial" w:cs="Arial" w:eastAsia="Arial" w:hAnsi="Arial"/>
          <w:sz w:val="18"/>
          <w:szCs w:val="18"/>
          <w:b w:val="1"/>
          <w:bCs w:val="1"/>
          <w:color w:val="auto"/>
        </w:rPr>
        <w:t>17.</w:t>
        <w:tab/>
        <w:t>RECENT ACCOUNTING PRONOUNCEMENTS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The amendments in this update modify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based on the concepts in the Concepts Statement, including the consideration of costs and benefits. The amendments in this update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entities for fiscal years, and interim periods within those fiscal years, beginning after December 15, 2019, and should be applied either prospectively or retrospectively depending on the nature of the disclosure. An entity is permitted to early adopt any removed or modified disclosures upon issuance of this update and delay adoption of the additional disclosures until their effective date. The Company is currently in the process of evaluating this standard and expects to adopt the full provisions in its first quarter of 2020.</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amendments in this update require a financial asset (or a group of financial assets) measured at amortized cost basis to be presented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net amount expected to be collected based on historical experience, current conditions, and reasonable supportable forecasts. The amendments in this update are effective for public business entities for fiscal years, and interim periods within those fiscal years, beginning after December 15, 2019, with early adoption permitted no sooner than the first quarter of 2019. A modified retrospective approach is required for all investments, except debt securities for which an other-than-temporary impairment had been recognized prior to the effective date, which will require a prospective transition approach and should be applied either prospectively or retrospectively depending on the nature of the disclosure. The Company is currently in the process of evaluating this standard and expects to adopt the full provisions in its first quarter of 2020.</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the Company.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for the year ended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provide healthcare staffing, recruiting and workforce solutions to our customers through a network of 68 office locations throughout the United States. Our services include placing clinicians on travel and per diem assignments, local short-term contracts, and permanent positions. In addition, we offer flexible workforce management solutions to our customers including: managed service programs (MSP), education healthcare, as well as recruitment process outsourcing (RPO), and other outsourcing and value-added services as described in Item 1. Business in our Annual Report on Form 10-K for the year ended December 31, 2018. In addition, we provide both retained and contingent placement services for healthcare executives, physicians, and other healthcare professionals.</w:t>
      </w:r>
    </w:p>
    <w:p>
      <w:pPr>
        <w:spacing w:after="0" w:line="19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 xml:space="preserve">We manage and segment our business based on the nature of the services we offer to our customers. As a result,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report three business segments – Nurse and Allied Staffing, Physician Staffing, and Search.</w:t>
      </w:r>
    </w:p>
    <w:p>
      <w:pPr>
        <w:spacing w:after="0" w:line="147" w:lineRule="exact"/>
        <w:rPr>
          <w:sz w:val="20"/>
          <w:szCs w:val="20"/>
          <w:color w:val="auto"/>
        </w:rPr>
      </w:pPr>
    </w:p>
    <w:p>
      <w:pPr>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89% of our total revenue in the second quarter of 2019. Nurse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Allied Staffing provides traditional staffing, recruiting, and value-added workforce solutions including: temporary and permanent placement of travel and local branch-based nurse and allied professionals, MSP services, education healthcare services, and outsourcing services.</w:t>
      </w:r>
    </w:p>
    <w:p>
      <w:pPr>
        <w:spacing w:after="0" w:line="165" w:lineRule="exact"/>
        <w:rPr>
          <w:rFonts w:ascii="Arial" w:cs="Arial" w:eastAsia="Arial" w:hAnsi="Arial"/>
          <w:sz w:val="17"/>
          <w:szCs w:val="17"/>
          <w:color w:val="auto"/>
        </w:rPr>
      </w:pPr>
    </w:p>
    <w:p>
      <w:pPr>
        <w:ind w:left="660" w:right="2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Physician Staffing </w:t>
      </w:r>
      <w:r>
        <w:rPr>
          <w:rFonts w:ascii="Arial" w:cs="Arial" w:eastAsia="Arial" w:hAnsi="Arial"/>
          <w:sz w:val="17"/>
          <w:szCs w:val="17"/>
          <w:color w:val="auto"/>
        </w:rPr>
        <w:t>– Physician Staffing represented approximately 9% of our total revenue in the second quarter of 2019. Physician Staffing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physicians in many specialties, as well as certified registered nurse anesthetists, nurse practitioners, and physician assistants under our Medical Doctor Associates (MDA) brand as independent contractors on temporary assignments throughout the United States.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6" w:name="page27"/>
    <w:bookmarkEnd w:id="26"/>
    <w:p>
      <w:pPr>
        <w:ind w:left="660" w:right="2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Search represented approximately 2% of our total revenue in the second quarter of 2019. Search includes retained and contingent search</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physicians, healthcare executives, and other healthcare professionals, as well as RPO.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31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For the quarter ended June 30, 2019, revenue from services decreased 1% year-over-year to $202.8 million, driven primarily by lower volumes and partially offset by favorable mix and higher average bill rates. Profitability was impacted by higher compensation costs which drove lower bill-pay spreads, as well as lower operating leverage from the overall revenue decline. Also, in the second quarter of 2019, we recorded non-cash impairment charges of $14.5 million in connection with our rebranding efforts, and we recorded income tax expense of $35.8 million to establish valuation allowances on our deferred tax assets. Net loss attributable to common shareholders was $51.7 million, or a loss of $1.44 per share.</w:t>
      </w:r>
    </w:p>
    <w:p>
      <w:pPr>
        <w:spacing w:after="0" w:line="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six months ended June 30, 2019, we generated cash flow from operating activities of $25.1 million and made optional debt prepayments of $12.5 million on our Term Loan. As of June 30, 2019, we had $24.8 million of cash and cash equivalents and a principal balance of $71.4 million outstanding on our Term Loan, and there were no amounts drawn on our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Some of the segment financial results analyzed include revenue, operating expenses, and contribution income. In addition, we monitor cash flow as well as operating and leverage ratios to help us assess our liquidity needs.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Staffing revenue per FTE by the number of days worked in the respective periods.</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placement of nurses.</w:t>
            </w:r>
          </w:p>
        </w:tc>
      </w:tr>
      <w:tr>
        <w:trPr>
          <w:trHeight w:val="47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rPr>
              <w:t>Days filled is calculated by dividing the total hours invoiced during the period,</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including an estimate for the impact of accrued revenue, by 8 hours.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Revenue per day filled is calculated by dividing revenue as reported by days filled for</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the period presented.</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2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5240" w:type="dxa"/>
            <w:vAlign w:val="bottom"/>
          </w:tcPr>
          <w:p>
            <w:pPr>
              <w:spacing w:after="0"/>
              <w:rPr>
                <w:sz w:val="23"/>
                <w:szCs w:val="23"/>
                <w:color w:val="auto"/>
              </w:rPr>
            </w:pPr>
          </w:p>
        </w:tc>
        <w:tc>
          <w:tcPr>
            <w:tcW w:w="19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3"/>
                <w:szCs w:val="23"/>
                <w:color w:val="auto"/>
              </w:rPr>
            </w:pPr>
          </w:p>
        </w:tc>
      </w:tr>
      <w:tr>
        <w:trPr>
          <w:trHeight w:val="27"/>
        </w:trPr>
        <w:tc>
          <w:tcPr>
            <w:tcW w:w="5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74.1</w:t>
            </w:r>
          </w:p>
        </w:tc>
      </w:tr>
      <w:tr>
        <w:trPr>
          <w:trHeight w:val="27"/>
        </w:trPr>
        <w:tc>
          <w:tcPr>
            <w:tcW w:w="5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196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 charges</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5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196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9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9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5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w w:val="96"/>
              </w:rPr>
              <w:t>Less: Net income attributable to noncontrolling interest in subsidiary</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5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1440" w:type="dxa"/>
            <w:vAlign w:val="bottom"/>
          </w:tcPr>
          <w:p>
            <w:pPr>
              <w:jc w:val="right"/>
              <w:ind w:right="7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Comparison of Results for the Three Months Ended June 30, 2019 compared to the Three Months Ended June 30,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 June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150,883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14,502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34,758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33,589</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41.8 %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Revenue from services decreased 0.9%, to $202.8 million for the three months ended June 30, 2019, as compared to $204.6 million for the three months ended June 30, 2018, primarily due to volume declines in Physician Staffing, partially offset by higher revenue from Nurse and Allied Staffing, due to favorable bill rates resulting from an increase in premium rate business, partly offset by a decline in volume. See further discussion in Segment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related insurance expenses. Direct operating expenses increased $0.3 million or 0.2%, to $151.2 million for the three months ended June 30, 2019, as compared to $150.9 million for the three months ended June 30, 2018. As a percentage of total revenue, direct operating expenses increased to 74.6% compared to 73.8% in the prior year period primarily due to higher compensation driving a lower bill-pay spread in our staffing businesses.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Selling, general and administrative expenses increased 1.5%, to $45.9 million for the three months ended June 30, 2019, as compared to $45.3 million for the three months ended June 30, 2018, due to higher health insurance costs as well as other professional and consulting fees, including costs incurred in connection with the replacement of our applicant tracking system for our travel nurse business. As a percentage of total revenue, selling, general and administrative expenses increased to 22.7% for the three months ended June 30, 2019 as compared to 22.1% for the three months ended June 30,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increased to $3.6 million for the three months ended June 30, 2019 from $3.0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June 30, 2018. The increase is due to accelerated amortization of trade names of $0.6 million associated with our rebranding initiatives. See Note 7 -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Goodwill, Trade Names, and Other Intangible Assets to our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Acquisition-related contingent consideration includes accretion and valuation adjustments on our contingent consideration liabilities, substantially related to the Mediscan acquisition, and totaled $0.3 million for the three months ended June 30, 2019 as compared to $0.2 million for the three months ended June 30, 2018. See Note 11 - Fair Value Measurements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Legal settlement charges totaled $1.6 million during the three months ended June 30, 2019 and related to the resolution of a medical malpractice lawsuit, as well as a 2019 California wage and hour class action settlement agreement. There were no similar charges for the three months ended June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evolving our go-to-market strategy, in the second quarter of 2019, we eliminated certain brands across all of our segments as part of our rebranding initiatives. As a result, in the three months ended June 30, 2019, $14.5 million of indefinite-lived trade names related to Nurse and Allied Staffing were written off as impairment charges. See Note 7 - Goodwill, Trade Names, and Other Intangible Assets to our condensed consolidated financial statements. There were no similar charges for the three months ended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Interest expense was $1.4 million for both the three months ended June 30, 2019 and 2018. The effective interest rate on our term loan borrowings increased to 6.4% for the three month period ended June 30, 2019 compared to 5.0% for the three months ended June 30, 2018. The impact of a higher effective rate was offset by lower average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Income tax expense totaled $34.8 million for the three months ended June 30, 2019, compared to $1.2 million for the three months ended June 30, 2018. Income tax expense for the three months ended June 30, 2019 included $35.8 million of additional valuation allowance recorded as a discrete item. The effective tax rate for the second quarter of 2019 was also impacted by international and state taxes as well as the impairment of indefinite-lived intangibles. The effective tax rate for the second quarter of 2018 was primarily impacted by the non-deductibility of certain per diem expenses, the officers’ compensation limitation, and international and state taxes. See Note 15 -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Comparison of Results for the Six Months Ended June 30, 2019 compared to the Six Months Ended June 30, 2018</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Six Months Ended June 30,</w:t>
            </w:r>
          </w:p>
        </w:tc>
        <w:tc>
          <w:tcPr>
            <w:tcW w:w="15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Increase</w:t>
            </w:r>
          </w:p>
        </w:tc>
      </w:t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70"/>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(Amounts in thousands)</w:t>
            </w:r>
          </w:p>
        </w:tc>
        <w:tc>
          <w:tcPr>
            <w:tcW w:w="150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298,086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307,418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103.3 %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Legal settlement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14,502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29,414</w:t>
            </w:r>
          </w:p>
        </w:tc>
        <w:tc>
          <w:tcPr>
            <w:tcW w:w="1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(56,390)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41.2 %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(56,622)</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 from services decreased 4.1%, to $397.9 million for the six months ended June 30, 2019, as compared to $414.9 million for the six months ended June 30, 2018, due to lower volume in all of our business segments. See further discussion in Segment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Direct operating expenses decreased $9.3 million or 3.0%, to $298.1 million for the six months ended June 30, 2019, as compared to $307.4 million for the six months ended June 30, 2018. As a percentage of total revenue, direct operating expenses increased to 74.9% compared to 74.1% in the prior year period primarily due to higher compensation driving a lower bill-pay spread in our staffing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Selling, general and administrative expenses increased 1.2%, to $92.0 million for the six months ended June 30, 2019, as compared to $90.9 million for the six months ended June 30, 2018, due to higher healthcare costs, consulting and other professional service fees, partially offset by our cost savings initiatives undertaken over the last several quarters. The main driver for the increase in consulting fees was related to costs incurred in connection with the replacement of our applicant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980" w:right="25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color w:val="auto"/>
        </w:rPr>
        <w:t>tracking system for our travel nurse business. As a percentage of total revenue, selling, general and administrative expenses increased to 23.1% for the six months ended June 30, 2019 as compared to 21.9% for the six months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Depreciation and amortization expense increased to $6.5 million for the six months ended June 30, 2019 from $5.9 million for the six months ended June 30, 2018. The increase is due to accelerated amortization of trade names of $0.6 million associated with our rebranding initiatives. See Note 7 - Goodwill, Trade Names, and Other Intangible Assets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Acquisition-related contingent consideration for the six months ended June 30, 2019 was $0.5 million and included accretion and valuation adjustments on our contingent consideration liabilities related to the Mediscan acquisition. Acquisition-related contingent consideration for the six months ended June 30, 2018 was $0.4 million and substantially related to the Mediscan acquisition, and to a lesser extent, the USR acquisition. In the third quarter of 2018, we determined that the contingent consideration earnout for USR would not be achieved and the entire liability was reversed. See Note 11 - Fair Value Measurements to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Acquisition and integration costs was $0.3 million for the six months ended June 30, 2019 as compared to $0.2 million for the six months ended June 30, 2018, and related to prior acquisitions. These costs also included expenses incurred for potential transactions for the six months ended June 30,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Restructuring costs were primarily comprised of severance costs incurred in connection with our cost savings initiatives and totaled $1.3 million and $0.6 million during the six months ended June 30,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Legal settlement charges totaled $1.6 million during the six months ended June 30, 2019 and related to the resolution of a medical malpractice lawsuit, as well as a California wage and hour class action settlement agreement. There were no similar charges for the six months ended June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evolving our go-to-market strategy, in the second quarter of 2019, we eliminated certain brands across all of our segments as part of our rebranding initiatives. As a result, in the six months ended June 30, 2019, $14.5 million of indefinite-lived trade names related to Nurse and Allied Staffing were written off as impairment charges. There were no similar charges for the six months ended June 30, 2018. See Note 7 - Goodwill, Trade Names, and Other Intangible Assets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Interest expense was $2.9 million for the six months ended June 30, 2019, as compared to $2.7 million for the six months ended June 30, 2018. The effective interest rate on our term loan borrowings increased to 6.1% for the six month period ended June 30, 2019 compared to 4.7% for the six months ended</w:t>
      </w:r>
    </w:p>
    <w:p>
      <w:pPr>
        <w:ind w:right="520"/>
        <w:spacing w:after="0" w:line="261" w:lineRule="auto"/>
        <w:rPr>
          <w:sz w:val="20"/>
          <w:szCs w:val="20"/>
          <w:color w:val="auto"/>
        </w:rPr>
      </w:pPr>
      <w:r>
        <w:rPr>
          <w:rFonts w:ascii="Arial" w:cs="Arial" w:eastAsia="Arial" w:hAnsi="Arial"/>
          <w:sz w:val="18"/>
          <w:szCs w:val="18"/>
          <w:color w:val="auto"/>
        </w:rPr>
        <w:t>June 30, 2018. The impact of higher average interest rates was partly offset by lower average borrowings in the six months ended June 30, 2019 due to optional debt prepayments on the Term Loan. See Note 8 - Debt to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 on early extinguishment of debt was $0.4 million for the six months ended June 30, 2019, relating to the write-off of</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debt issuance costs primarily in connection with a reduction in borrowing capacity under the revolving credit facility in the first quarter of 2019, as well as optional debt prepayments of $7.5 million and $5.0 million made on our Term Loan in the first and second quarters of 2019,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8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Income tax expense, including the $35.8 million of additional valuation allowance mentioned previously, totaled $31.7 million for the six months ended June 30, 2019, compared to $2.3 million for the six months ended June 30, 2018. The effective tax rate for the six months ended June 30, 2019 was also impacted by international and state taxes as well as the impairment of indefinite-lived intangibles. The effective tax rate for the six months ended June 30, 2018 was primarily impacted by the non-deductibility of certain per diem expenses, the officers’ compensation limitation, and international and state taxes.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color w:val="auto"/>
              </w:rPr>
              <w:t>(amounts in thousands)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180,787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178,934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356,424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363,543</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42,894</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Search</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8,423</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202,757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204,572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397,928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414,860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16,111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16,970</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30,407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33,557</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Search</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736</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37,176</w:t>
            </w:r>
          </w:p>
        </w:tc>
      </w:tr>
      <w:tr>
        <w:trPr>
          <w:trHeight w:val="324"/>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overhead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5,872</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Legal settlement charges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4,342</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8,590</w:t>
            </w: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2019, the Company merged its permanent search recruitment brands. As a result, for the three and six</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months ended June 30, 2018, certain revenue and contribution income amounts were reclassified from Nurse and Allied Staffing to Search to conform to the current period presentation. See Note 13 - Segment Data to our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Nurse and Allied Staffing statistical data:</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8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FTEs</w:t>
            </w:r>
          </w:p>
        </w:tc>
        <w:tc>
          <w:tcPr>
            <w:tcW w:w="2100" w:type="dxa"/>
            <w:vAlign w:val="bottom"/>
            <w:tcBorders>
              <w:top w:val="single" w:sz="8" w:color="CCEEFF"/>
            </w:tcBorders>
            <w:gridSpan w:val="2"/>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7,016</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7,143</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0"/>
              </w:rPr>
              <w:t>Physician Staffing statistical data:</w:t>
            </w:r>
          </w:p>
        </w:tc>
        <w:tc>
          <w:tcPr>
            <w:tcW w:w="2600" w:type="dxa"/>
            <w:vAlign w:val="bottom"/>
            <w:tcBorders>
              <w:bottom w:val="single" w:sz="8" w:color="CCEEFF"/>
            </w:tcBorders>
            <w:gridSpan w:val="4"/>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6"/>
          </w:tcPr>
          <w:p>
            <w:pPr>
              <w:ind w:left="20"/>
              <w:spacing w:after="0"/>
              <w:rPr>
                <w:sz w:val="20"/>
                <w:szCs w:val="20"/>
                <w:color w:val="auto"/>
              </w:rPr>
            </w:pPr>
            <w:r>
              <w:rPr>
                <w:rFonts w:ascii="Arial" w:cs="Arial" w:eastAsia="Arial" w:hAnsi="Arial"/>
                <w:sz w:val="16"/>
                <w:szCs w:val="16"/>
                <w:color w:val="auto"/>
              </w:rPr>
              <w:t>Days filled</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10,754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13,751</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(2,997)</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507"/>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Six Months Ended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June 30,</w:t>
            </w:r>
          </w:p>
        </w:tc>
        <w:tc>
          <w:tcPr>
            <w:tcW w:w="2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6"/>
          </w:tcPr>
          <w:p>
            <w:pPr>
              <w:ind w:left="20"/>
              <w:spacing w:after="0"/>
              <w:rPr>
                <w:sz w:val="20"/>
                <w:szCs w:val="20"/>
                <w:color w:val="auto"/>
              </w:rPr>
            </w:pPr>
            <w:r>
              <w:rPr>
                <w:rFonts w:ascii="Arial" w:cs="Arial" w:eastAsia="Arial" w:hAnsi="Arial"/>
                <w:sz w:val="16"/>
                <w:szCs w:val="16"/>
                <w:color w:val="auto"/>
              </w:rPr>
              <w:t>FTEs</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7,305</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(289)</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3"/>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21,034</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28,001</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(6,967)</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(24.9)%</w:t>
            </w: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98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33"/>
        </w:trPr>
        <w:tc>
          <w:tcPr>
            <w:tcW w:w="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June 30, 2019 compared to the Three Months Ended June 30,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Revenue from Nurse and Allied Staffing increased $1.9 million, or 1.0%, to $180.8 million for the three months ended June 30, 2019, compared to $178.9 million for the three months ended June 30, 2018, primarily due to higher average bill rates in travel, local, and education healthcare staffing, partially offset by lower overall volume. Our bill rates benefited from a higher mix of premium rate business in the second quarter of 2019, primarily associated with a large electronic medical records project, and to a lesser extent, a labor disruption at one of our clients.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Contribution income from Nurse and Allied Staffing decreased $0.9 million or 5.1%, to $16.1 million for the three months ended June 30, 2019, compared to $17.0 million for the three months ended June 30, 2018, primarily due to a lower bill-pay spread in the three months ended June 30, 2019. As a percentage of segment revenue, contribution income margin was 8.9% for the three months ended June 30, 2019, compared to 9.5% for the three months ended June 30, 2018.</w:t>
      </w:r>
    </w:p>
    <w:p>
      <w:pPr>
        <w:spacing w:after="0" w:line="18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average number of Nurse and Allied Staffing FTEs on contract during the three months ended June 30, 2019 decreased 1.8% from the three months ended June 30, 2018. The average Nurse and Allied Staffing revenue per FTE per day increased 2.9%, reflecting higher average bill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Revenue from Physician Staffing decreased $3.3 million, or 15.5%, to $18.0 million for the three months ended June 30, 2019, compared to $21.3 million for the three months ended June 30, 2018, primarily due to a lower number of days filled, partially offset by higher bill rates primarily due to mix.</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Contribution income from Physician Staffing decreased $0.9 million, or 63.3% to $0.5 million for the three months ended June 30, 2019, compared to $1.4 million for the three months ended June 30, 2018. As a percentage of segment revenue, contribution income was 2.8% for the three months ended June 30, 2019, compared to 6.5% for the three months ended June 30, 2018, driven by lower revenue, partially offset by lower selling, general and administrative expenses.</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584" w:right="259" w:bottom="1440" w:gutter="0" w:footer="0" w:header="0"/>
          <w:type w:val="continuous"/>
        </w:sectPr>
      </w:pPr>
    </w:p>
    <w:bookmarkStart w:id="34" w:name="page35"/>
    <w:bookmarkEnd w:id="34"/>
    <w:p>
      <w:pPr>
        <w:ind w:right="280"/>
        <w:spacing w:after="0" w:line="277" w:lineRule="auto"/>
        <w:rPr>
          <w:sz w:val="20"/>
          <w:szCs w:val="20"/>
          <w:color w:val="auto"/>
        </w:rPr>
      </w:pPr>
      <w:r>
        <w:rPr>
          <w:rFonts w:ascii="Arial" w:cs="Arial" w:eastAsia="Arial" w:hAnsi="Arial"/>
          <w:sz w:val="18"/>
          <w:szCs w:val="18"/>
          <w:color w:val="auto"/>
        </w:rPr>
        <w:t>Total days filled for Physician Staffing for the three months ended June 30, 2019 were 10,754 as compared with 13,751 in the prior year. Revenue per day filled was $1,676 as compared with $1,551 in the prior year, due to a shift in the mix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Revenue from Search decreased $0.4 million, or 8.4%, to $3.9 million for the three months ended June 30, 2019, compared to $4.3 million for the three months ended June 30, 2018, due to a decline in physician searches, partly offset by an increase in executive searches.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Segment contribution loss from Search for the three months ended June 30, 2019 was $0.2 million, compared to income for the three months ended June 30, 2018 of $0.3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Corporate overhead includes unallocated executive leadership and other centralized corporate functional support costs such as finance, IT, legal, human resources, and marketing, as well as public company expenses and corporate-wide projects (initiatives). Corporate overhead increased to $11.4 million for the three months ended June 30, 2019, from $10.8 million for the three months ended June 30, 2018, primarily due to higher professional fees, including consulting and legal fees, partly offset by the impact of our cost savings initiatives. The higher consulting fees are related to the project to replace our applicant tracking system for our travel nurse business. As a percentage of consolidated revenue, corporate overhead was 5.6% for the three months ended June 30, 2019 and 5.3% for the three months ended June 30, 2018.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Six Months Ended June 30, 2019 compared to the Six Months Ended June 30, 2018</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from Nurse and Allied Staffing decreased $7.1 million, or 2.0%, to $356.4 million for the six months ended June 30, 2019, compared to $363.5 million for the six months ended June 30, 2018, primarily due to lower volume partly offset by higher average bill rates. Volume declines in travel nurse and local staffing were partially offset by increases in travel allied and education healthcare staffing. Our bill rates benefited from a higher mix of premium rate business in the second quarter of 2019.</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Contribution income from Nurse and Allied Staffing decreased $3.2 million or 9.4%, to $30.4 million for the six months ended June 30, 2019, compared to $33.6 million for the six months ended June 30, 2018, primarily due to a lower bill-pay spread in the six months ended June 30, 2019. As a percentage of segment revenue, contribution income margin was 8.5% for the six months ended June 30, 2019, compared to 9.2% for the six months ended June 30, 2018.</w:t>
      </w:r>
    </w:p>
    <w:p>
      <w:pPr>
        <w:spacing w:after="0" w:line="14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average number of Nurse and Allied Staffing FTEs on contract during the six months ended June 30, 2019 decreased 4.0% from the six months ended June 30, 2018. The average Nurse and Allied Staffing revenue per FTE per day increased 2.2%, reflecting higher average bill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Revenue from Physician Staffing decreased $8.7 million, or 20.3%, to $34.2 million for the six months ended June 30, 2019, compared to $42.9 million for the six months ended June 30, 2018, primarily due to a lower number of days filled, partially offset by higher bill rates due to mix.</w:t>
      </w:r>
    </w:p>
    <w:p>
      <w:pPr>
        <w:spacing w:after="0" w:line="14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Contribution income from Physician Staffing decreased $2.0 million, or 68.3% to $0.9 million for the six months ended June 30, 2019, compared to $2.9 million for the six months ended June 30, 2018. As a percentage of segment revenue, contribution income was 2.7% for the six months ended June 30, 2019, compared to 6.7% for the six months ended June 30, 2018, driven by lower revenue, partially offset by lower selling, general and administrative expenses.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days filled for Physician Staffing for the six months ended June 30, 2019 were 21,034 as compared with 28,001 in the prior year. Revenue per day filled was $1,625 as compared with $1,532 in the prior year, due to a shift in the mix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from Search decreased $1.1 million, or 13.1%, to $7.3 million for the six months ended June 30, 2019, compared to $8.4 million for the six months ended June 30, 2018, due to a decline in physician searches, partly offset by an increase in executive searches.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Segment contribution loss from Search for the six months ended June 30, 2019 was $0.6 million, compared to income for the six months ended June 30, 2018 of $0.7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 Corporate overhead increased to $23.8 million for the six months ended June 30, 2019, from $21.5 million for the six months ended June 30, 2018, primarily due to higher consulting and other professional service fees, partly offset by the impact of our cost savings initiatives. The higher consulting fees are related to the project to replace our applicant tracking system for our travel nurse business. As a percentage of consolidated revenue, corporate overhead was 6.0% for the six months ended June 30, 2019 and 5.2% for the six months ended June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At June 30, 2019, we had $24.8 million in cash and cash equivalents and $71.4 million of principal balance on our Term Loan outstanding. Working capital decreased by $16.4 million to $93.1 million as of June 30, 2019, compared to $109.5 million as of December 31, 2018. As of June 30, 2019, our days' sales outstanding (DSO), net of amounts owed to subcontractors, was 51 days representing an 11 day improvement from December 31, 2018.</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made $12.5 million in optional debt prepayments during the first half of 2019 and, as a result, no further debt payments are required through December 31, 2020. As of June 30, 2019, we were in compliance with the covenants contained in our Credit Agreement, which consist of leverage, fixed charge coverage, and asset coverage ratios. Based on the terms of the Credit Agreement, the fixed charge coverage ratio does not permit us to reflect the impact of debt prepayments made during 2019. As of June 30, 2019, we believe our financial results, based upon our projections as well as the further cost actions we can take, will be sufficient to maintain compliance with the financial covenants and meet our obligations for the next twelve months. In the event actual results differ significantly from current projections, we believe we would be able to either amend our Credit Agreement in conjunction with making additional prepayments, repay our existing senior term loan with other sources of liquidity, or refinance our senior debt entirely.</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cash provided by operating activities was $25.1 million in the six months ended June 30, 2019, compared to $17.9 million in the six months ended June 30, 2018, primarily due to increased collections and the timing of payments.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investing activities was $1.7 million in the six months ended June 30, 2019, compared to $2.3 million in the six months ended June 30, 2018. Net cash used in both periods was for capital expenditures and acquisition-related settlements. Capital expenditures in the six months ended June 30, 2019 were primarily related to the project to replace our applicant tracking system for our travel nurse business.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used in financing activities during the six months ended June 30, 2019 was $14.7 million, compared to $8.6 million during the six months ended June 30, 2018. During the six months ended June 30, 2019, we used cash to make optional debt prepayments on our Term Loan of $12.5 million, paid $0.6 million in debt issuance costs in connection with the Second Amendment to our Amended and Restated Credit Facility, and paid $1.6 million for other financing activities. During the six</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6" w:name="page37"/>
    <w:bookmarkEnd w:id="36"/>
    <w:p>
      <w:pPr>
        <w:ind w:right="200"/>
        <w:spacing w:after="0" w:line="277" w:lineRule="auto"/>
        <w:rPr>
          <w:sz w:val="20"/>
          <w:szCs w:val="20"/>
          <w:color w:val="auto"/>
        </w:rPr>
      </w:pPr>
      <w:r>
        <w:rPr>
          <w:rFonts w:ascii="Arial" w:cs="Arial" w:eastAsia="Arial" w:hAnsi="Arial"/>
          <w:sz w:val="18"/>
          <w:szCs w:val="18"/>
          <w:color w:val="auto"/>
        </w:rPr>
        <w:t>months ended June 30, 2018, we used cash to repurchase and retire $4.7 million in shares of Common Stock, repay $2.5 million on our Term Loan, and pay $1.4 million for other financing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29, 2019, we entered into a Second Amendment to our Amended and Restated Credit Agreement. During the first and second quarters of 2019, we made optional debt prepayments of $7.5 million and $5.0 million, respectively, on the term loan portion of our facility. As more fully described in Note 8 - Debt to our condensed consolidated financial statements, as of June 30, 2019, our Amended and Restated Credit Agreement, as amended, provides us with a $146.4 million committed facility, including a term loan and a $75.0 million revolving credit facility (Amended Revolving Credit Facility) (together with the Amended Term Loan, the Amended Credit Facilities).</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June 30, 2019, the Applicable Margin, as defined in the Amended and Restated Credit Agreement, was 3.00% for Eurodollar Loans and LIBOR Index Rate Loans and 2.00% for Base Rate Loans. As of June 30, 2019, we had $71.4 million principal balance on the Amended Term Loan and $20.6 million in letters of credit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12 -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Remainder of</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100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9"/>
          </w:tcPr>
          <w:p>
            <w:pPr>
              <w:ind w:left="12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16,091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our Amended and Restated Credit Agreement,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 As of June 30, 2019, we are in compliance with the covenants contained in the Amended and Restated Credit Agreement.</w:t>
      </w:r>
    </w:p>
    <w:p>
      <w:pPr>
        <w:jc w:val="both"/>
        <w:ind w:left="660" w:right="160" w:hanging="652"/>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Interest on debt represents payments due through maturity for our Term Loan, calculated using the July 1, 2019 applicable LIBOR and margin rate totaling 5.4% on approximately 36% of the Term Loan balance, and a fixed interest rate of 5.6% on the other approximately 64% of the Term Loan balance, taking into account the interest rate swap. See Note 9 - Derivative to our condensed consolidated financial statements.</w:t>
      </w:r>
    </w:p>
    <w:p>
      <w:pPr>
        <w:spacing w:after="0" w:line="2" w:lineRule="exact"/>
        <w:rPr>
          <w:rFonts w:ascii="Arial" w:cs="Arial" w:eastAsia="Arial" w:hAnsi="Arial"/>
          <w:sz w:val="16"/>
          <w:szCs w:val="16"/>
          <w:color w:val="auto"/>
        </w:rPr>
      </w:pPr>
    </w:p>
    <w:p>
      <w:pPr>
        <w:ind w:left="660" w:right="12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to the sellers related to the Mediscan acquisition, including accretion. See Note 4 - Acquisitions to our condensed consolidated financial statements. We have included the payments in the table based on our best estimates of the amounts and dates when the contingencies may be resolved.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14 - Contingencies to our condensed consolidated financial statements.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addition to the above disclosed contractual obligations, we have accrued uncertain tax positions, pursuant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of $6.2 million at June 30, 2019. Based on the uncertainties associated with the settlement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these items, we are unable to make reasonably reliable estimates of the period of potential settlements, if any, with the taxing authorities.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Annual Report on Form 10-K for the year ended December 31, 2018, filed with the SEC, other than the adoption of ASU No. 2014-09,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discussed in Note 2 - Summary of Significant Accounting Policies and Note 10 - Leases to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17 - Recent Accounting Pronouncements to our condensed consolidated financial statements.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We are exposed to the risk of fluctuation in interest rates relating to our outstanding senior secured term loan entered into on August 1, 2017 with a variable interest rate. As a result, we entered into an interest rate swap agreement which initially fixed the interest rate on 50% of the amortizing balance of our term debt, exclusive of the credit spread on the debt. We have determined that the interest rate swap qualifies as a cash flow hedge in accordance with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See Note 9 - Derivative to our condensed consolidated financial statements. Excluding the impact of our interest rate swap agreements, a 1% change in interest rates on variable rate debt would have resulted in interest expense fluctuating approximately $0.8 million and $0.5 million for the three months ended June 30, 2019 and June 30, 2018, respectively. Considering the effect of our interest rate swap agreement in a 1% change in interest rates on our variable rate debt would have resulted in interest expense fluctuating approximately $0.3 million for the three months ended June 30,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2018.</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On January 1,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 We implemented internal controls and we are utilizing a new lease accounting information system to enable the preparation of financial information as part of the adoption. There were no significant changes to our internal control over financial reporting due to the adoption of the new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its profitability. Adverse developments in existing litigation claims or legal proceedings involving the Company or new claims could require it to establish or increase litigation reserves or enter into unfavorable settlements or satisfy judgments for monetary damages for amounts in excess of current reserves, which could adversely affect its financial results. In the second quarter of 2019, the Company recorded $1.6 million in legal settlement charges related to the resolution of a medical malpractice lawsuit, as well as a 2019 California wage and hour class action settlement agreement which remains subject to court approval. The Company believes the outcome of any outstanding loss contingencies as of June 30, 2019 will not have a material adverse effect on its business, financial condition, results of operations or cash flows.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below Risk Factor should be considered along with our Risk Factors as previously disclosed in our Form 10-K for the year ended December 31, 2018.</w:t>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interest rates under our Amended and Restated Credit Agreement and related interest rate swap may be impacted by the phase-out of the London Interbank Offered Rate (“LIBOR”).</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LIBOR is the basic rate of interest used in lending between banks on the London interbank market and is widely used as a reference for setting the interest rates on loans globally. We generally use LIBOR as a reference rate to calculate interest under both our Amended and Restated Credit Agreement and our hedging agreement. In 2017, the United Kingdom's Financial Conduct Authority, which regulates LIBOR, announced that it intends to phase out LIBOR by the end of 2021. It is unclear if LIBOR will cease to exist at that time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Whether or not SOFR, or another alternative reference rate, attains market traction as a LIBOR replacement tool remains in question. If LIBOR ceases to exist, we will need to agree upon a replacement reference rate with the banks under our Amended and Restated Credit Agreement and related hedging agreement, and amend the agreements accordingly. The new rates may not be as favorable to us as those in effect prior to any LIBOR phase-out.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7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Certification pursuant to Rule 13a-14(a) and Rule 15d-14 (a) by Kevin C. Clark, President, Chief Executive Officer, Director</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(Principal Executive Officer)</w:t>
              </w:r>
            </w:hyperlink>
          </w:p>
        </w:tc>
        <w:tc>
          <w:tcPr>
            <w:tcW w:w="6900" w:type="dxa"/>
            <w:vAlign w:val="bottom"/>
            <w:tcBorders>
              <w:top w:val="single" w:sz="8" w:color="0000FF"/>
            </w:tcBorders>
            <w:gridSpan w:val="3"/>
          </w:tcPr>
          <w:p>
            <w:pPr>
              <w:spacing w:after="0"/>
              <w:rPr>
                <w:sz w:val="17"/>
                <w:szCs w:val="17"/>
                <w:color w:val="auto"/>
              </w:rPr>
            </w:pPr>
          </w:p>
        </w:tc>
        <w:tc>
          <w:tcPr>
            <w:tcW w:w="780" w:type="dxa"/>
            <w:vAlign w:val="bottom"/>
            <w:gridSpan w:val="3"/>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pursuant to Rule 13a-14(a) and Rule 15d-14 (a) by William J. Burns, EVP &amp; Chief Financial Officer (Principal</w:t>
              </w:r>
            </w:hyperlink>
          </w:p>
        </w:tc>
        <w:tc>
          <w:tcPr>
            <w:tcW w:w="8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9"/>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Accounting and Financial Officer)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pursuant to 18 U.S.C. Section 1350 by Kevin C. Clark, President, Chief Executive Officer, Director (Principal Executive</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44">
              <w:r>
                <w:rPr>
                  <w:rFonts w:ascii="Arial" w:cs="Arial" w:eastAsia="Arial" w:hAnsi="Arial"/>
                  <w:sz w:val="18"/>
                  <w:szCs w:val="18"/>
                  <w:color w:val="0000FF"/>
                  <w:w w:val="94"/>
                </w:rPr>
                <w:t>Officer)</w:t>
              </w:r>
            </w:hyperlink>
          </w:p>
        </w:tc>
        <w:tc>
          <w:tcPr>
            <w:tcW w:w="9060" w:type="dxa"/>
            <w:vAlign w:val="bottom"/>
            <w:tcBorders>
              <w:top w:val="single" w:sz="8" w:color="0000FF"/>
            </w:tcBorders>
            <w:gridSpan w:val="7"/>
          </w:tcPr>
          <w:p>
            <w:pPr>
              <w:spacing w:after="0"/>
              <w:rPr>
                <w:sz w:val="17"/>
                <w:szCs w:val="17"/>
                <w:color w:val="auto"/>
              </w:rPr>
            </w:pPr>
          </w:p>
        </w:tc>
        <w:tc>
          <w:tcPr>
            <w:tcW w:w="140" w:type="dxa"/>
            <w:vAlign w:val="bottom"/>
          </w:tcPr>
          <w:p>
            <w:pPr>
              <w:spacing w:after="0"/>
              <w:rPr>
                <w:sz w:val="17"/>
                <w:szCs w:val="17"/>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Certification pursuant to 18 U.S.C. Section 1350 by William J. Burns, EVP &amp; Chief Financial Officer (Principal Accounting and</w:t>
              </w:r>
            </w:hyperlink>
          </w:p>
        </w:tc>
        <w:tc>
          <w:tcPr>
            <w:tcW w:w="50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0000FF"/>
            </w:tcBorders>
            <w:gridSpan w:val="2"/>
          </w:tcPr>
          <w:p>
            <w:pPr>
              <w:spacing w:after="0" w:line="196" w:lineRule="exact"/>
              <w:rPr>
                <w:rFonts w:ascii="Arial" w:cs="Arial" w:eastAsia="Arial" w:hAnsi="Arial"/>
                <w:sz w:val="18"/>
                <w:szCs w:val="18"/>
                <w:color w:val="0000FF"/>
                <w:w w:val="94"/>
              </w:rPr>
            </w:pPr>
            <w:hyperlink w:anchor="page45">
              <w:r>
                <w:rPr>
                  <w:rFonts w:ascii="Arial" w:cs="Arial" w:eastAsia="Arial" w:hAnsi="Arial"/>
                  <w:sz w:val="18"/>
                  <w:szCs w:val="18"/>
                  <w:color w:val="0000FF"/>
                  <w:w w:val="94"/>
                </w:rPr>
                <w:t>Financial Officer)</w:t>
              </w:r>
            </w:hyperlink>
          </w:p>
        </w:tc>
        <w:tc>
          <w:tcPr>
            <w:tcW w:w="8480" w:type="dxa"/>
            <w:vAlign w:val="bottom"/>
            <w:gridSpan w:val="7"/>
          </w:tcPr>
          <w:p>
            <w:pPr>
              <w:spacing w:after="0"/>
              <w:rPr>
                <w:sz w:val="17"/>
                <w:szCs w:val="17"/>
                <w:color w:val="auto"/>
              </w:rPr>
            </w:pPr>
          </w:p>
        </w:tc>
      </w:tr>
      <w:tr>
        <w:trPr>
          <w:trHeight w:val="41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Furnished herewith</w:t>
            </w:r>
          </w:p>
        </w:tc>
      </w:tr>
      <w:tr>
        <w:trPr>
          <w:trHeight w:val="918"/>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6"/>
          </w:tcPr>
          <w:p>
            <w:pPr>
              <w:jc w:val="right"/>
              <w:ind w:right="48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Chief Financial Officer (Principal</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580"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2019</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June 30, 2019, (the "Periodic Report"), I, Kevin C. Clark, President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35"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2019</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June 30, 2019, (the "Periodic Report"), I, William J. Burns,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2"/>
    </w:lvl>
  </w:abstractNum>
  <w:abstractNum w:abstractNumId="9">
    <w:nsid w:val="109CF92E"/>
    <w:multiLevelType w:val="hybridMultilevel"/>
    <w:lvl w:ilvl="0">
      <w:lvlJc w:val="left"/>
      <w:lvlText w:val="%1."/>
      <w:numFmt w:val="decimal"/>
      <w:start w:val="13"/>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5"/>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2019-12-28T09:05:27Z</dcterms:created>
  <dcterms:modified xsi:type="dcterms:W3CDTF">2019-12-28T09:05:27Z</dcterms:modified>
</cp:coreProperties>
</file>