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jpeg" ContentType="image/jpeg"/>
  <Override PartName="/word/media/image3.jpeg" ContentType="image/jpe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10-K</w:t>
      </w:r>
    </w:p>
    <w:p>
      <w:pPr>
        <w:pStyle w:val="TextBody"/>
        <w:bidi w:val="0"/>
        <w:spacing w:lineRule="auto" w:line="288" w:before="0" w:after="0"/>
        <w:jc w:val="both"/>
        <w:rPr>
          <w:color w:val="000000"/>
        </w:rPr>
      </w:pPr>
      <w:r>
        <w:rPr>
          <w:color w:val="000000"/>
        </w:rPr>
        <w:t> </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0"/>
        </w:rPr>
        <w:t xml:space="preserve">For the Fiscal Year Ended </w:t>
      </w:r>
      <w:r>
        <w:rPr>
          <w:rFonts w:ascii="Times New Roman;sans-serif" w:hAnsi="Times New Roman;sans-serif"/>
          <w:b w:val="false"/>
          <w:color w:val="000000"/>
          <w:sz w:val="20"/>
        </w:rPr>
        <w:t>December 31, 2024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0"/>
        </w:rPr>
        <w:t>For the transition period from</w:t>
      </w:r>
      <w:r>
        <w:rPr>
          <w:color w:val="000000"/>
        </w:rPr>
        <w:t xml:space="preserve"> </w:t>
      </w:r>
      <w:r>
        <w:rPr>
          <w:rFonts w:ascii="Times New Roman;sans-serif" w:hAnsi="Times New Roman;sans-serif"/>
          <w:b w:val="false"/>
          <w:color w:val="000000"/>
          <w:sz w:val="20"/>
        </w:rPr>
        <w:t xml:space="preserve">__________ </w:t>
      </w:r>
      <w:r>
        <w:rPr>
          <w:rFonts w:ascii="Times New Roman;sans-serif" w:hAnsi="Times New Roman;sans-serif"/>
          <w:b/>
          <w:color w:val="000000"/>
          <w:sz w:val="20"/>
        </w:rPr>
        <w:t>to</w:t>
      </w:r>
      <w:r>
        <w:rPr>
          <w:color w:val="000000"/>
        </w:rPr>
        <w:t xml:space="preserve"> </w:t>
      </w:r>
      <w:r>
        <w:rPr>
          <w:rFonts w:ascii="Times New Roman;sans-serif" w:hAnsi="Times New Roman;sans-serif"/>
          <w:b w:val="false"/>
          <w:color w:val="000000"/>
          <w:sz w:val="20"/>
        </w:rPr>
        <w:t>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0-33169</w:t>
      </w:r>
    </w:p>
    <w:p>
      <w:pPr>
        <w:pStyle w:val="TextBody"/>
        <w:bidi w:val="0"/>
        <w:spacing w:before="220" w:after="283"/>
        <w:jc w:val="center"/>
        <w:rPr/>
      </w:pPr>
      <w:r>
        <w:rPr/>
        <w:drawing>
          <wp:inline distT="0" distB="0" distL="0" distR="0">
            <wp:extent cx="27432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42950"/>
                    </a:xfrm>
                    <a:prstGeom prst="rect">
                      <a:avLst/>
                    </a:prstGeom>
                  </pic:spPr>
                </pic:pic>
              </a:graphicData>
            </a:graphic>
          </wp:inline>
        </w:drawing>
      </w:r>
    </w:p>
    <w:p>
      <w:pPr>
        <w:pStyle w:val="TextBody"/>
        <w:bidi w:val="0"/>
        <w:spacing w:before="220" w:after="283"/>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Cross Country Healthcare,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both"/>
        <w:rPr>
          <w:color w:val="000000"/>
        </w:rPr>
      </w:pPr>
      <w:r>
        <w:rPr>
          <w:color w:val="000000"/>
        </w:rPr>
        <w:t> </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13-4066229</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6551 Park of Commerce Boulevard, N.W.</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Boca Raton, Florida 33487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(561) 998-2232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p>
      <w:pPr>
        <w:pStyle w:val="TextBody"/>
        <w:bidi w:val="0"/>
        <w:spacing w:lineRule="auto" w:line="288" w:before="0" w:after="0"/>
        <w:jc w:val="both"/>
        <w:rPr>
          <w:color w:val="000000"/>
        </w:rPr>
      </w:pPr>
      <w:r>
        <w:rPr>
          <w:color w:val="000000"/>
        </w:rPr>
        <w:t> </w:t>
      </w:r>
    </w:p>
    <w:tbl>
      <w:tblPr>
        <w:tblW w:w="8999" w:type="dxa"/>
        <w:jc w:val="left"/>
        <w:tblInd w:w="0" w:type="dxa"/>
        <w:tblLayout w:type="fixed"/>
        <w:tblCellMar>
          <w:top w:w="28" w:type="dxa"/>
          <w:left w:w="28" w:type="dxa"/>
          <w:bottom w:w="28" w:type="dxa"/>
          <w:right w:w="28" w:type="dxa"/>
        </w:tblCellMar>
      </w:tblPr>
      <w:tblGrid>
        <w:gridCol w:w="1339"/>
        <w:gridCol w:w="1176"/>
        <w:gridCol w:w="1190"/>
        <w:gridCol w:w="489"/>
        <w:gridCol w:w="489"/>
        <w:gridCol w:w="491"/>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CCRN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color w:val="000000"/>
        </w:rPr>
        <w:t xml:space="preserve">☐ </w:t>
      </w:r>
      <w:r>
        <w:rPr>
          <w:rFonts w:ascii="Times New Roman;sans-serif" w:hAnsi="Times New Roman;sans-serif"/>
          <w:b w:val="false"/>
          <w:color w:val="000000"/>
          <w:sz w:val="20"/>
        </w:rPr>
        <w:t>Accelerated filer </w:t>
      </w:r>
      <w:r>
        <w:rPr>
          <w:color w:val="000000"/>
        </w:rPr>
        <w:t xml:space="preserve">☑ </w:t>
      </w:r>
      <w:r>
        <w:rPr>
          <w:rFonts w:ascii="Times New Roman;sans-serif" w:hAnsi="Times New Roman;sans-serif"/>
          <w:b w:val="false"/>
          <w:color w:val="000000"/>
          <w:sz w:val="20"/>
        </w:rPr>
        <w:t>Non-accelerated filer </w:t>
      </w:r>
      <w:r>
        <w:rPr>
          <w:color w:val="000000"/>
        </w:rPr>
        <w:t xml:space="preserve">☐ </w:t>
      </w:r>
      <w:r>
        <w:rPr>
          <w:rFonts w:ascii="Times New Roman;sans-serif" w:hAnsi="Times New Roman;sans-serif"/>
          <w:b w:val="false"/>
          <w:color w:val="000000"/>
          <w:sz w:val="20"/>
        </w:rPr>
        <w:t xml:space="preserve">Smaller reporting company </w:t>
      </w:r>
      <w:r>
        <w:rPr>
          <w:color w:val="000000"/>
        </w:rPr>
        <w:t xml:space="preserve">☐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securities are registered pursuant to Section 12(b) of the Act, indicate by check mark whether the financial statements </w:t>
      </w:r>
    </w:p>
    <w:p>
      <w:pPr>
        <w:pStyle w:val="TextBody"/>
        <w:bidi w:val="0"/>
        <w:spacing w:lineRule="auto" w:line="288" w:before="0" w:after="0"/>
        <w:jc w:val="left"/>
        <w:rPr/>
      </w:pPr>
      <w:r>
        <w:rPr>
          <w:rFonts w:ascii="Times New Roman;sans-serif" w:hAnsi="Times New Roman;sans-serif"/>
          <w:b w:val="false"/>
          <w:color w:val="000000"/>
          <w:sz w:val="20"/>
        </w:rPr>
        <w:t xml:space="preserve">of the registrant included in the filing reflect the correction of an error to previously issued financial statements. </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Indicate by check mark whether the Registrant is a shell company (as defined by Rule 12b-2 of the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The aggregate market value of the voting stock held by non-affiliates of the Registrant, based on the closing price of Common Stock on June 28, 2024 </w:t>
      </w:r>
      <w:r>
        <w:rPr>
          <w:rFonts w:ascii="Times New Roman;sans-serif" w:hAnsi="Times New Roman;sans-serif"/>
          <w:b w:val="false"/>
          <w:color w:val="000000"/>
          <w:sz w:val="20"/>
          <w:shd w:fill="FFFFFF" w:val="clear"/>
        </w:rPr>
        <w:t>of $13.84 as reported</w:t>
      </w:r>
      <w:r>
        <w:rPr>
          <w:color w:val="000000"/>
        </w:rPr>
        <w:t xml:space="preserve"> </w:t>
      </w:r>
      <w:r>
        <w:rPr>
          <w:rFonts w:ascii="Times New Roman;sans-serif" w:hAnsi="Times New Roman;sans-serif"/>
          <w:b w:val="false"/>
          <w:color w:val="000000"/>
          <w:sz w:val="20"/>
        </w:rPr>
        <w:t>on the Nasdaq Global Select Market, wa</w:t>
      </w:r>
      <w:r>
        <w:rPr>
          <w:rFonts w:ascii="Times New Roman;sans-serif" w:hAnsi="Times New Roman;sans-serif"/>
          <w:b w:val="false"/>
          <w:color w:val="000000"/>
          <w:sz w:val="20"/>
          <w:shd w:fill="FFFFFF" w:val="clear"/>
        </w:rPr>
        <w:t>s $428,130,754</w:t>
      </w:r>
      <w:r>
        <w:rPr>
          <w:rFonts w:ascii="Times New Roman;sans-serif" w:hAnsi="Times New Roman;sans-serif"/>
          <w:b/>
          <w:color w:val="000000"/>
          <w:sz w:val="20"/>
          <w:shd w:fill="FFFFFF" w:val="clear"/>
        </w:rPr>
        <w:t xml:space="preserve">. </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his calculation does not reflect a determination that persons are affiliated for any other purpose.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As of February 18, 2025</w:t>
      </w:r>
      <w:r>
        <w:rPr>
          <w:rFonts w:ascii="Times New Roman;sans-serif" w:hAnsi="Times New Roman;sans-serif"/>
          <w:b w:val="false"/>
          <w:color w:val="000000"/>
          <w:sz w:val="20"/>
          <w:shd w:fill="FFFFFF" w:val="clear"/>
        </w:rPr>
        <w:t>, 32,812,580 s</w:t>
      </w:r>
      <w:r>
        <w:rPr>
          <w:rFonts w:ascii="Times New Roman;sans-serif" w:hAnsi="Times New Roman;sans-serif"/>
          <w:b w:val="false"/>
          <w:color w:val="000000"/>
          <w:sz w:val="20"/>
        </w:rPr>
        <w:t>hares of Common Stock, $0.0001 par value per share, were outstanding.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for the 2025 Annual Meeting of Stockholders, which statement will be filed pursuant to Regulation 14A not later than 120 days after the end of the fiscal year covered by this report, are incorporated by reference into Part III hereof.</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
        <w:gridCol w:w="286"/>
        <w:gridCol w:w="288"/>
        <w:gridCol w:w="2916"/>
        <w:gridCol w:w="2900"/>
        <w:gridCol w:w="2916"/>
        <w:gridCol w:w="167"/>
        <w:gridCol w:w="167"/>
        <w:gridCol w:w="239"/>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13">
              <w:r>
                <w:rPr>
                  <w:rStyle w:val="InternetLink"/>
                  <w:rFonts w:ascii="Times New Roman;sans-serif" w:hAnsi="Times New Roman;sans-serif"/>
                  <w:b/>
                  <w:color w:val="000000"/>
                  <w:sz w:val="20"/>
                  <w:u w:val="single"/>
                </w:rPr>
                <w:t>PART I</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16">
              <w:r>
                <w:rPr>
                  <w:rStyle w:val="InternetLink"/>
                  <w:rFonts w:ascii="Times New Roman;sans-serif" w:hAnsi="Times New Roman;sans-serif"/>
                  <w:b w:val="false"/>
                  <w:color w:val="000000"/>
                  <w:sz w:val="20"/>
                  <w:u w:val="single"/>
                </w:rPr>
                <w:t>Item 1.</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16">
              <w:r>
                <w:rPr>
                  <w:rStyle w:val="InternetLink"/>
                  <w:rFonts w:ascii="Times New Roman;sans-serif" w:hAnsi="Times New Roman;sans-serif"/>
                  <w:b w:val="false"/>
                  <w:color w:val="000000"/>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16">
              <w:r>
                <w:rPr>
                  <w:rStyle w:val="InternetLink"/>
                  <w:rFonts w:ascii="Times New Roman;sans-serif" w:hAnsi="Times New Roman;sans-serif"/>
                  <w:b w:val="false"/>
                  <w:color w:val="000000"/>
                  <w:sz w:val="20"/>
                  <w:u w:val="single"/>
                </w:rPr>
                <w:t>1</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19">
              <w:r>
                <w:rPr>
                  <w:rStyle w:val="InternetLink"/>
                  <w:rFonts w:ascii="Times New Roman;sans-serif" w:hAnsi="Times New Roman;sans-serif"/>
                  <w:b w:val="false"/>
                  <w:color w:val="000000"/>
                  <w:sz w:val="20"/>
                  <w:u w:val="single"/>
                </w:rPr>
                <w:t>Item 1A.</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19">
              <w:r>
                <w:rPr>
                  <w:rStyle w:val="InternetLink"/>
                  <w:rFonts w:ascii="Times New Roman;sans-serif" w:hAnsi="Times New Roman;sans-serif"/>
                  <w:b w:val="false"/>
                  <w:color w:val="000000"/>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19">
              <w:r>
                <w:rPr>
                  <w:rStyle w:val="InternetLink"/>
                  <w:rFonts w:ascii="Times New Roman;sans-serif" w:hAnsi="Times New Roman;sans-serif"/>
                  <w:b w:val="false"/>
                  <w:color w:val="000000"/>
                  <w:sz w:val="20"/>
                  <w:u w:val="single"/>
                </w:rPr>
                <w:t>11</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22">
              <w:r>
                <w:rPr>
                  <w:rStyle w:val="InternetLink"/>
                  <w:rFonts w:ascii="Times New Roman;sans-serif" w:hAnsi="Times New Roman;sans-serif"/>
                  <w:b w:val="false"/>
                  <w:color w:val="000000"/>
                  <w:sz w:val="20"/>
                  <w:u w:val="single"/>
                </w:rPr>
                <w:t>Item 1B.</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22">
              <w:r>
                <w:rPr>
                  <w:rStyle w:val="InternetLink"/>
                  <w:rFonts w:ascii="Times New Roman;sans-serif" w:hAnsi="Times New Roman;sans-serif"/>
                  <w:b w:val="false"/>
                  <w:color w:val="000000"/>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22">
              <w:r>
                <w:rPr>
                  <w:rStyle w:val="InternetLink"/>
                  <w:rFonts w:ascii="Times New Roman;sans-serif" w:hAnsi="Times New Roman;sans-serif"/>
                  <w:b w:val="false"/>
                  <w:color w:val="000000"/>
                  <w:sz w:val="20"/>
                  <w:u w:val="single"/>
                </w:rPr>
                <w:t>22</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25">
              <w:r>
                <w:rPr>
                  <w:rStyle w:val="InternetLink"/>
                  <w:rFonts w:ascii="Times New Roman;sans-serif" w:hAnsi="Times New Roman;sans-serif"/>
                  <w:b w:val="false"/>
                  <w:color w:val="000000"/>
                  <w:sz w:val="20"/>
                  <w:u w:val="single"/>
                </w:rPr>
                <w:t>Item 1C.</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25">
              <w:r>
                <w:rPr>
                  <w:rStyle w:val="InternetLink"/>
                  <w:rFonts w:ascii="Times New Roman;sans-serif" w:hAnsi="Times New Roman;sans-serif"/>
                  <w:b w:val="false"/>
                  <w:color w:val="000000"/>
                  <w:sz w:val="20"/>
                  <w:u w:val="single"/>
                </w:rPr>
                <w:t>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25">
              <w:r>
                <w:rPr>
                  <w:rStyle w:val="InternetLink"/>
                  <w:rFonts w:ascii="Times New Roman;sans-serif" w:hAnsi="Times New Roman;sans-serif"/>
                  <w:b w:val="false"/>
                  <w:color w:val="000000"/>
                  <w:sz w:val="20"/>
                  <w:u w:val="single"/>
                </w:rPr>
                <w:t>22</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28">
              <w:r>
                <w:rPr>
                  <w:rStyle w:val="InternetLink"/>
                  <w:rFonts w:ascii="Times New Roman;sans-serif" w:hAnsi="Times New Roman;sans-serif"/>
                  <w:b w:val="false"/>
                  <w:color w:val="000000"/>
                  <w:sz w:val="20"/>
                  <w:u w:val="single"/>
                </w:rPr>
                <w:t>Item 2.</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28">
              <w:r>
                <w:rPr>
                  <w:rStyle w:val="InternetLink"/>
                  <w:rFonts w:ascii="Times New Roman;sans-serif" w:hAnsi="Times New Roman;sans-serif"/>
                  <w:b w:val="false"/>
                  <w:color w:val="000000"/>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28">
              <w:r>
                <w:rPr>
                  <w:rStyle w:val="InternetLink"/>
                  <w:rFonts w:ascii="Times New Roman;sans-serif" w:hAnsi="Times New Roman;sans-serif"/>
                  <w:b w:val="false"/>
                  <w:color w:val="000000"/>
                  <w:sz w:val="20"/>
                  <w:u w:val="single"/>
                </w:rPr>
                <w:t>24</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31">
              <w:r>
                <w:rPr>
                  <w:rStyle w:val="InternetLink"/>
                  <w:rFonts w:ascii="Times New Roman;sans-serif" w:hAnsi="Times New Roman;sans-serif"/>
                  <w:b w:val="false"/>
                  <w:color w:val="000000"/>
                  <w:sz w:val="20"/>
                  <w:u w:val="single"/>
                </w:rPr>
                <w:t>Item 3.</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31">
              <w:r>
                <w:rPr>
                  <w:rStyle w:val="InternetLink"/>
                  <w:rFonts w:ascii="Times New Roman;sans-serif" w:hAnsi="Times New Roman;sans-serif"/>
                  <w:b w:val="false"/>
                  <w:color w:val="000000"/>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31">
              <w:r>
                <w:rPr>
                  <w:rStyle w:val="InternetLink"/>
                  <w:rFonts w:ascii="Times New Roman;sans-serif" w:hAnsi="Times New Roman;sans-serif"/>
                  <w:b w:val="false"/>
                  <w:color w:val="000000"/>
                  <w:sz w:val="20"/>
                  <w:u w:val="single"/>
                </w:rPr>
                <w:t>24</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34">
              <w:r>
                <w:rPr>
                  <w:rStyle w:val="InternetLink"/>
                  <w:rFonts w:ascii="Times New Roman;sans-serif" w:hAnsi="Times New Roman;sans-serif"/>
                  <w:b w:val="false"/>
                  <w:color w:val="000000"/>
                  <w:sz w:val="20"/>
                  <w:u w:val="single"/>
                </w:rPr>
                <w:t>Item 4.</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34">
              <w:r>
                <w:rPr>
                  <w:rStyle w:val="InternetLink"/>
                  <w:rFonts w:ascii="Times New Roman;sans-serif" w:hAnsi="Times New Roman;sans-serif"/>
                  <w:b w:val="false"/>
                  <w:color w:val="000000"/>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34">
              <w:r>
                <w:rPr>
                  <w:rStyle w:val="InternetLink"/>
                  <w:rFonts w:ascii="Times New Roman;sans-serif" w:hAnsi="Times New Roman;sans-serif"/>
                  <w:b w:val="false"/>
                  <w:color w:val="000000"/>
                  <w:sz w:val="20"/>
                  <w:u w:val="single"/>
                </w:rPr>
                <w:t>24</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13">
              <w:r>
                <w:rPr>
                  <w:rStyle w:val="InternetLink"/>
                  <w:rFonts w:ascii="Times New Roman;sans-serif" w:hAnsi="Times New Roman;sans-serif"/>
                  <w:b/>
                  <w:color w:val="000080"/>
                  <w:sz w:val="20"/>
                  <w:u w:val="single"/>
                </w:rPr>
                <w:t>PART I</w:t>
              </w:r>
            </w:hyperlink>
            <w:r>
              <w:rPr>
                <w:rFonts w:ascii="Times New Roman;sans-serif" w:hAnsi="Times New Roman;sans-serif"/>
                <w:b/>
                <w:color w:val="000000"/>
                <w:sz w:val="20"/>
                <w:u w:val="single"/>
              </w:rPr>
              <w:t>I</w:t>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40">
              <w:r>
                <w:rPr>
                  <w:rStyle w:val="InternetLink"/>
                  <w:rFonts w:ascii="Times New Roman;sans-serif" w:hAnsi="Times New Roman;sans-serif"/>
                  <w:b w:val="false"/>
                  <w:color w:val="000000"/>
                  <w:sz w:val="20"/>
                  <w:u w:val="single"/>
                </w:rPr>
                <w:t>Item 5.</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40">
              <w:r>
                <w:rPr>
                  <w:rStyle w:val="InternetLink"/>
                  <w:rFonts w:ascii="Times New Roman;sans-serif" w:hAnsi="Times New Roman;sans-serif"/>
                  <w:b w:val="false"/>
                  <w:color w:val="000000"/>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40">
              <w:r>
                <w:rPr>
                  <w:rStyle w:val="InternetLink"/>
                  <w:rFonts w:ascii="Times New Roman;sans-serif" w:hAnsi="Times New Roman;sans-serif"/>
                  <w:b w:val="false"/>
                  <w:color w:val="000000"/>
                  <w:sz w:val="20"/>
                  <w:u w:val="single"/>
                </w:rPr>
                <w:t>24</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43">
              <w:r>
                <w:rPr>
                  <w:rStyle w:val="InternetLink"/>
                  <w:rFonts w:ascii="Times New Roman;sans-serif" w:hAnsi="Times New Roman;sans-serif"/>
                  <w:b w:val="false"/>
                  <w:color w:val="000000"/>
                  <w:sz w:val="20"/>
                  <w:u w:val="single"/>
                </w:rPr>
                <w:t>Item 6.</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hyperlink w:anchor="i1512345de9b14dec85a37b71819be290_43">
              <w:r>
                <w:rPr>
                  <w:rStyle w:val="InternetLink"/>
                  <w:rFonts w:ascii="Times New Roman;sans-serif" w:hAnsi="Times New Roman;sans-serif"/>
                  <w:b w:val="false"/>
                  <w:color w:val="000000"/>
                  <w:sz w:val="20"/>
                  <w:u w:val="single"/>
                </w:rPr>
                <w:t>Reserved</w:t>
              </w:r>
            </w:hyperlink>
            <w:r>
              <w:rPr>
                <w:rFonts w:ascii="Times New Roman;sans-serif" w:hAnsi="Times New Roman;sans-serif"/>
                <w:b w:val="false"/>
                <w:color w:val="000000"/>
                <w:sz w:val="20"/>
              </w:rPr>
              <w:t>]</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43">
              <w:r>
                <w:rPr>
                  <w:rStyle w:val="InternetLink"/>
                  <w:rFonts w:ascii="Times New Roman;sans-serif" w:hAnsi="Times New Roman;sans-serif"/>
                  <w:b w:val="false"/>
                  <w:color w:val="000000"/>
                  <w:sz w:val="20"/>
                  <w:u w:val="single"/>
                </w:rPr>
                <w:t>26</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46">
              <w:r>
                <w:rPr>
                  <w:rStyle w:val="InternetLink"/>
                  <w:rFonts w:ascii="Times New Roman;sans-serif" w:hAnsi="Times New Roman;sans-serif"/>
                  <w:b w:val="false"/>
                  <w:color w:val="000000"/>
                  <w:sz w:val="20"/>
                  <w:u w:val="single"/>
                </w:rPr>
                <w:t>Item 7.</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46">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46">
              <w:r>
                <w:rPr>
                  <w:rStyle w:val="InternetLink"/>
                  <w:rFonts w:ascii="Times New Roman;sans-serif" w:hAnsi="Times New Roman;sans-serif"/>
                  <w:b w:val="false"/>
                  <w:color w:val="000000"/>
                  <w:sz w:val="20"/>
                  <w:u w:val="single"/>
                </w:rPr>
                <w:t>26</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49">
              <w:r>
                <w:rPr>
                  <w:rStyle w:val="InternetLink"/>
                  <w:rFonts w:ascii="Times New Roman;sans-serif" w:hAnsi="Times New Roman;sans-serif"/>
                  <w:b w:val="false"/>
                  <w:color w:val="000000"/>
                  <w:sz w:val="20"/>
                  <w:u w:val="single"/>
                </w:rPr>
                <w:t>Item 7A.</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49">
              <w:r>
                <w:rPr>
                  <w:rStyle w:val="InternetLink"/>
                  <w:rFonts w:ascii="Times New Roman;sans-serif" w:hAnsi="Times New Roman;sans-serif"/>
                  <w:b w:val="false"/>
                  <w:color w:val="000000"/>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49">
              <w:r>
                <w:rPr>
                  <w:rStyle w:val="InternetLink"/>
                  <w:rFonts w:ascii="Times New Roman;sans-serif" w:hAnsi="Times New Roman;sans-serif"/>
                  <w:b w:val="false"/>
                  <w:color w:val="000000"/>
                  <w:sz w:val="20"/>
                  <w:u w:val="single"/>
                </w:rPr>
                <w:t>37</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52">
              <w:r>
                <w:rPr>
                  <w:rStyle w:val="InternetLink"/>
                  <w:rFonts w:ascii="Times New Roman;sans-serif" w:hAnsi="Times New Roman;sans-serif"/>
                  <w:b w:val="false"/>
                  <w:color w:val="000000"/>
                  <w:sz w:val="20"/>
                  <w:u w:val="single"/>
                </w:rPr>
                <w:t>Item 8.</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52">
              <w:r>
                <w:rPr>
                  <w:rStyle w:val="InternetLink"/>
                  <w:rFonts w:ascii="Times New Roman;sans-serif" w:hAnsi="Times New Roman;sans-serif"/>
                  <w:b w:val="false"/>
                  <w:color w:val="000000"/>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52">
              <w:r>
                <w:rPr>
                  <w:rStyle w:val="InternetLink"/>
                  <w:rFonts w:ascii="Times New Roman;sans-serif" w:hAnsi="Times New Roman;sans-serif"/>
                  <w:b w:val="false"/>
                  <w:color w:val="000000"/>
                  <w:sz w:val="20"/>
                  <w:u w:val="single"/>
                </w:rPr>
                <w:t>38</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55">
              <w:r>
                <w:rPr>
                  <w:rStyle w:val="InternetLink"/>
                  <w:rFonts w:ascii="Times New Roman;sans-serif" w:hAnsi="Times New Roman;sans-serif"/>
                  <w:b w:val="false"/>
                  <w:color w:val="000000"/>
                  <w:sz w:val="20"/>
                  <w:u w:val="single"/>
                </w:rPr>
                <w:t>Item 9.</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55">
              <w:r>
                <w:rPr>
                  <w:rStyle w:val="InternetLink"/>
                  <w:rFonts w:ascii="Times New Roman;sans-serif" w:hAnsi="Times New Roman;sans-serif"/>
                  <w:b w:val="false"/>
                  <w:color w:val="000000"/>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55">
              <w:r>
                <w:rPr>
                  <w:rStyle w:val="InternetLink"/>
                  <w:rFonts w:ascii="Times New Roman;sans-serif" w:hAnsi="Times New Roman;sans-serif"/>
                  <w:b w:val="false"/>
                  <w:color w:val="000000"/>
                  <w:sz w:val="20"/>
                  <w:u w:val="single"/>
                </w:rPr>
                <w:t>38</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58">
              <w:r>
                <w:rPr>
                  <w:rStyle w:val="InternetLink"/>
                  <w:rFonts w:ascii="Times New Roman;sans-serif" w:hAnsi="Times New Roman;sans-serif"/>
                  <w:b w:val="false"/>
                  <w:color w:val="000000"/>
                  <w:sz w:val="20"/>
                  <w:u w:val="single"/>
                </w:rPr>
                <w:t>Item 9A.</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58">
              <w:r>
                <w:rPr>
                  <w:rStyle w:val="InternetLink"/>
                  <w:rFonts w:ascii="Times New Roman;sans-serif" w:hAnsi="Times New Roman;sans-serif"/>
                  <w:b w:val="false"/>
                  <w:color w:val="000000"/>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58">
              <w:r>
                <w:rPr>
                  <w:rStyle w:val="InternetLink"/>
                  <w:rFonts w:ascii="Times New Roman;sans-serif" w:hAnsi="Times New Roman;sans-serif"/>
                  <w:b w:val="false"/>
                  <w:color w:val="000000"/>
                  <w:sz w:val="20"/>
                  <w:u w:val="single"/>
                </w:rPr>
                <w:t>38</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67">
              <w:r>
                <w:rPr>
                  <w:rStyle w:val="InternetLink"/>
                  <w:rFonts w:ascii="Times New Roman;sans-serif" w:hAnsi="Times New Roman;sans-serif"/>
                  <w:b w:val="false"/>
                  <w:color w:val="000000"/>
                  <w:sz w:val="20"/>
                  <w:u w:val="single"/>
                </w:rPr>
                <w:t>Item 9B.</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Information</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61">
              <w:r>
                <w:rPr>
                  <w:rStyle w:val="InternetLink"/>
                  <w:rFonts w:ascii="Times New Roman;sans-serif" w:hAnsi="Times New Roman;sans-serif"/>
                  <w:b w:val="false"/>
                  <w:color w:val="000000"/>
                  <w:sz w:val="20"/>
                  <w:u w:val="single"/>
                </w:rPr>
                <w:t>39</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64">
              <w:r>
                <w:rPr>
                  <w:rStyle w:val="InternetLink"/>
                  <w:rFonts w:ascii="Times New Roman;sans-serif" w:hAnsi="Times New Roman;sans-serif"/>
                  <w:b w:val="false"/>
                  <w:color w:val="000000"/>
                  <w:sz w:val="20"/>
                  <w:u w:val="single"/>
                </w:rPr>
                <w:t>Item 9C.</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Disclosure Regarding Foreign Jurisdictions that Prevent Inspections</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64">
              <w:r>
                <w:rPr>
                  <w:rStyle w:val="InternetLink"/>
                  <w:rFonts w:ascii="Times New Roman;sans-serif" w:hAnsi="Times New Roman;sans-serif"/>
                  <w:b w:val="false"/>
                  <w:color w:val="000000"/>
                  <w:sz w:val="20"/>
                  <w:u w:val="single"/>
                </w:rPr>
                <w:t>39</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67">
              <w:r>
                <w:rPr>
                  <w:rStyle w:val="InternetLink"/>
                  <w:rFonts w:ascii="Times New Roman;sans-serif" w:hAnsi="Times New Roman;sans-serif"/>
                  <w:b/>
                  <w:color w:val="000000"/>
                  <w:sz w:val="20"/>
                  <w:u w:val="single"/>
                </w:rPr>
                <w:t>PART III</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70">
              <w:r>
                <w:rPr>
                  <w:rStyle w:val="InternetLink"/>
                  <w:rFonts w:ascii="Times New Roman;sans-serif" w:hAnsi="Times New Roman;sans-serif"/>
                  <w:b w:val="false"/>
                  <w:color w:val="000000"/>
                  <w:sz w:val="20"/>
                  <w:u w:val="single"/>
                </w:rPr>
                <w:t>Item 10.</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70">
              <w:r>
                <w:rPr>
                  <w:rStyle w:val="InternetLink"/>
                  <w:rFonts w:ascii="Times New Roman;sans-serif" w:hAnsi="Times New Roman;sans-serif"/>
                  <w:b w:val="false"/>
                  <w:color w:val="000000"/>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70">
              <w:r>
                <w:rPr>
                  <w:rStyle w:val="InternetLink"/>
                  <w:rFonts w:ascii="Times New Roman;sans-serif" w:hAnsi="Times New Roman;sans-serif"/>
                  <w:b w:val="false"/>
                  <w:color w:val="000000"/>
                  <w:sz w:val="20"/>
                  <w:u w:val="single"/>
                </w:rPr>
                <w:t>40</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73">
              <w:r>
                <w:rPr>
                  <w:rStyle w:val="InternetLink"/>
                  <w:rFonts w:ascii="Times New Roman;sans-serif" w:hAnsi="Times New Roman;sans-serif"/>
                  <w:b w:val="false"/>
                  <w:color w:val="000000"/>
                  <w:sz w:val="20"/>
                  <w:u w:val="single"/>
                </w:rPr>
                <w:t>Item 11.</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73">
              <w:r>
                <w:rPr>
                  <w:rStyle w:val="InternetLink"/>
                  <w:rFonts w:ascii="Times New Roman;sans-serif" w:hAnsi="Times New Roman;sans-serif"/>
                  <w:b w:val="false"/>
                  <w:color w:val="000000"/>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73">
              <w:r>
                <w:rPr>
                  <w:rStyle w:val="InternetLink"/>
                  <w:rFonts w:ascii="Times New Roman;sans-serif" w:hAnsi="Times New Roman;sans-serif"/>
                  <w:b w:val="false"/>
                  <w:color w:val="000000"/>
                  <w:sz w:val="20"/>
                  <w:u w:val="single"/>
                </w:rPr>
                <w:t>40</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76">
              <w:r>
                <w:rPr>
                  <w:rStyle w:val="InternetLink"/>
                  <w:rFonts w:ascii="Times New Roman;sans-serif" w:hAnsi="Times New Roman;sans-serif"/>
                  <w:b w:val="false"/>
                  <w:color w:val="000000"/>
                  <w:sz w:val="20"/>
                  <w:u w:val="single"/>
                </w:rPr>
                <w:t>Item 12.</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76">
              <w:r>
                <w:rPr>
                  <w:rStyle w:val="InternetLink"/>
                  <w:rFonts w:ascii="Times New Roman;sans-serif" w:hAnsi="Times New Roman;sans-serif"/>
                  <w:b w:val="false"/>
                  <w:color w:val="000000"/>
                  <w:sz w:val="20"/>
                  <w:u w:val="single"/>
                </w:rPr>
                <w:t>Security Ownership of Certain Beneficial Owners and Management and Related Stockholders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76">
              <w:r>
                <w:rPr>
                  <w:rStyle w:val="InternetLink"/>
                  <w:rFonts w:ascii="Times New Roman;sans-serif" w:hAnsi="Times New Roman;sans-serif"/>
                  <w:b w:val="false"/>
                  <w:color w:val="000000"/>
                  <w:sz w:val="20"/>
                  <w:u w:val="single"/>
                </w:rPr>
                <w:t>40</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79">
              <w:r>
                <w:rPr>
                  <w:rStyle w:val="InternetLink"/>
                  <w:rFonts w:ascii="Times New Roman;sans-serif" w:hAnsi="Times New Roman;sans-serif"/>
                  <w:b w:val="false"/>
                  <w:color w:val="000000"/>
                  <w:sz w:val="20"/>
                  <w:u w:val="single"/>
                </w:rPr>
                <w:t>Item 13.</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79">
              <w:r>
                <w:rPr>
                  <w:rStyle w:val="InternetLink"/>
                  <w:rFonts w:ascii="Times New Roman;sans-serif" w:hAnsi="Times New Roman;sans-serif"/>
                  <w:b w:val="false"/>
                  <w:color w:val="000000"/>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79">
              <w:r>
                <w:rPr>
                  <w:rStyle w:val="InternetLink"/>
                  <w:rFonts w:ascii="Times New Roman;sans-serif" w:hAnsi="Times New Roman;sans-serif"/>
                  <w:b w:val="false"/>
                  <w:color w:val="000000"/>
                  <w:sz w:val="20"/>
                  <w:u w:val="single"/>
                </w:rPr>
                <w:t>41</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82">
              <w:r>
                <w:rPr>
                  <w:rStyle w:val="InternetLink"/>
                  <w:rFonts w:ascii="Times New Roman;sans-serif" w:hAnsi="Times New Roman;sans-serif"/>
                  <w:b w:val="false"/>
                  <w:color w:val="000000"/>
                  <w:sz w:val="20"/>
                  <w:u w:val="single"/>
                </w:rPr>
                <w:t>Item 14.</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82">
              <w:r>
                <w:rPr>
                  <w:rStyle w:val="InternetLink"/>
                  <w:rFonts w:ascii="Times New Roman;sans-serif" w:hAnsi="Times New Roman;sans-serif"/>
                  <w:b w:val="false"/>
                  <w:color w:val="000000"/>
                  <w:sz w:val="20"/>
                  <w:u w:val="single"/>
                </w:rPr>
                <w:t>Principal Accountant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82">
              <w:r>
                <w:rPr>
                  <w:rStyle w:val="InternetLink"/>
                  <w:rFonts w:ascii="Times New Roman;sans-serif" w:hAnsi="Times New Roman;sans-serif"/>
                  <w:b w:val="false"/>
                  <w:color w:val="000000"/>
                  <w:sz w:val="20"/>
                  <w:u w:val="single"/>
                </w:rPr>
                <w:t>41</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85">
              <w:r>
                <w:rPr>
                  <w:rStyle w:val="InternetLink"/>
                  <w:rFonts w:ascii="Times New Roman;sans-serif" w:hAnsi="Times New Roman;sans-serif"/>
                  <w:b/>
                  <w:color w:val="000000"/>
                  <w:sz w:val="20"/>
                  <w:u w:val="single"/>
                </w:rPr>
                <w:t>PART IV</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88">
              <w:r>
                <w:rPr>
                  <w:rStyle w:val="InternetLink"/>
                  <w:rFonts w:ascii="Times New Roman;sans-serif" w:hAnsi="Times New Roman;sans-serif"/>
                  <w:b w:val="false"/>
                  <w:color w:val="000000"/>
                  <w:sz w:val="20"/>
                  <w:u w:val="single"/>
                </w:rPr>
                <w:t>Item 15.</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88">
              <w:r>
                <w:rPr>
                  <w:rStyle w:val="InternetLink"/>
                  <w:rFonts w:ascii="Times New Roman;sans-serif" w:hAnsi="Times New Roman;sans-serif"/>
                  <w:b w:val="false"/>
                  <w:color w:val="000000"/>
                  <w:sz w:val="20"/>
                  <w:u w:val="single"/>
                </w:rPr>
                <w:t>Exhibits,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88">
              <w:r>
                <w:rPr>
                  <w:rStyle w:val="InternetLink"/>
                  <w:rFonts w:ascii="Times New Roman;sans-serif" w:hAnsi="Times New Roman;sans-serif"/>
                  <w:b w:val="false"/>
                  <w:color w:val="000000"/>
                  <w:sz w:val="20"/>
                  <w:u w:val="single"/>
                </w:rPr>
                <w:t>42</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16.</w:t>
            </w:r>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94">
              <w:r>
                <w:rPr>
                  <w:rStyle w:val="InternetLink"/>
                  <w:rFonts w:ascii="Times New Roman;sans-serif" w:hAnsi="Times New Roman;sans-serif"/>
                  <w:b w:val="false"/>
                  <w:color w:val="000000"/>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94">
              <w:r>
                <w:rPr>
                  <w:rStyle w:val="InternetLink"/>
                  <w:rFonts w:ascii="Times New Roman;sans-serif" w:hAnsi="Times New Roman;sans-serif"/>
                  <w:b w:val="false"/>
                  <w:color w:val="000000"/>
                  <w:sz w:val="20"/>
                  <w:u w:val="single"/>
                </w:rPr>
                <w:t>47</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97">
              <w:r>
                <w:rPr>
                  <w:rStyle w:val="InternetLink"/>
                  <w:rFonts w:ascii="Times New Roman;sans-serif" w:hAnsi="Times New Roman;sans-serif"/>
                  <w:b/>
                  <w:color w:val="000000"/>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12345de9b14dec85a37b71819be290_97">
              <w:r>
                <w:rPr>
                  <w:rStyle w:val="InternetLink"/>
                  <w:rFonts w:ascii="Times New Roman;sans-serif" w:hAnsi="Times New Roman;sans-serif"/>
                  <w:b w:val="false"/>
                  <w:color w:val="000000"/>
                  <w:sz w:val="20"/>
                  <w:u w:val="single"/>
                </w:rPr>
                <w:t>47</w:t>
              </w:r>
            </w:hyperlink>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references to “we,” “us,” “our,” "the Company," or “Cross Country” in this Annual Report on Form 10-K means Cross Country Healthcare, Inc., and its consolidated subsidiaries.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Website addresses referenced in this Annual Report on Form 10-K are provided for convenience only, and the content on the referenced websites does not constitute a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historical information, this Annual Report on Form 10-K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Factors that might cause such differences include, but are not limited to, those discussed in the section titled “Item 1A - Risk Factors,” and the other documents that we file from time to time with the Securities and Exchange Commission (SEC).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 of Our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Cross Country Healthcare, Inc. (Nasdaq: CCRN) is a market-leading, tech-enabled workforce solutions and advisory firm with 38 years of industry experience and insight. We help customers tackle complex labor-related challenges and achieve high-quality outcomes, while reducing complexity and improving visibility through data-driven insights.</w:t>
      </w:r>
      <w:r>
        <w:rPr>
          <w:color w:val="444444"/>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Leveraging national and in-market staffing teams, we place highly qualified healthcare professionals in virtually every specialty on travel and per diem assignments, local short-term contracts, and permanent positions. We also place teachers, substitute teachers, and other education specialties at educational facilities, healthcare leaders within nursing, allied, physician, and human resources at healthcare organizations, and non-healthcare providers to participants in Programs of All-Inclusive Care for the Elderly (PACE) programs. Our diverse customer base includes both public and private acute care and non-acute care hospitals, outpatient clinics, ambulatory care facilities, single and multi-specialty physician practices, rehabilitation facilities, PACE programs, urgent care centers, local and national healthcare systems, managed care providers, public and charter schools, correctional facilities, government facilities, pharmacies, and many other healthcare providers including those in underserved communities. By utilizing the solutions that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believe that our national footprint provides a unique value proposition, as we are able to engage with a broader pool of talent and offer customers a more consultative approach relying on our understanding of the local and regional markets that they serve.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offer services to our customers through our two reportable segments as described below:</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(1)    </w:t>
      </w:r>
      <w:r>
        <w:rPr>
          <w:rFonts w:ascii="Times New Roman;sans-serif" w:hAnsi="Times New Roman;sans-serif"/>
          <w:b/>
          <w:color w:val="000000"/>
          <w:sz w:val="20"/>
          <w:shd w:fill="FFFFFF" w:val="clear"/>
        </w:rPr>
        <w:t xml:space="preserve">Nursing and Allied Staffing. </w:t>
      </w:r>
      <w:r>
        <w:rPr>
          <w:rFonts w:ascii="Times New Roman;sans-serif" w:hAnsi="Times New Roman;sans-serif"/>
          <w:b w:val="false"/>
          <w:color w:val="000000"/>
          <w:sz w:val="20"/>
        </w:rPr>
        <w:t>The Nurse and Allied Staffing segment provides traditional staffing, recruiting, and value-added total talent solutions, including: (i) temporary and permanent placement of travel and local nurse and allied professionals, and healthcare leaders within nursing, allied, human resources, and finance; (ii) vendor neutral programs and managed service programs (MSPs); (iii) education healthcare services; (iv) in-home care services; and (v) outsourcing services. We also serve as a direct-hire talent acquisition partner to healthcare organizations and academic institutions throughout the nation, providing a full suite of prescriptive talent management solutions, including flexible talent delivery models such as executive search services for healthcare professionals, as well as contingent search and recruitment process outsourcing (RPO) services. We also offer our Software as a Service (SaaS)-based, proprietary, vendor management technology, Intellify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to facilities to manage all or a portion of their agency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 majority of our revenue is generated from staffing registered nurses and allied professionals on travel contract assignments of varying lengths (typically,</w:t>
      </w:r>
      <w:r>
        <w:rPr>
          <w:color w:val="000000"/>
          <w:shd w:fill="FFFFFF" w:val="clear"/>
        </w:rPr>
        <w:t xml:space="preserve"> </w:t>
      </w:r>
      <w:r>
        <w:rPr>
          <w:rFonts w:ascii="Times New Roman;sans-serif" w:hAnsi="Times New Roman;sans-serif"/>
          <w:b w:val="false"/>
          <w:color w:val="000000"/>
          <w:sz w:val="20"/>
          <w:shd w:fill="FFFFFF" w:val="clear"/>
        </w:rPr>
        <w:t>13 weeks) a</w:t>
      </w:r>
      <w:r>
        <w:rPr>
          <w:rFonts w:ascii="Times New Roman;sans-serif" w:hAnsi="Times New Roman;sans-serif"/>
          <w:b w:val="false"/>
          <w:color w:val="000000"/>
          <w:sz w:val="20"/>
        </w:rPr>
        <w:t>t hospitals and health systems. We staff registered nurses, licensed practical nurses, certified nurse assistants, advanced practitioners, pharmacists, and more than 100 specialties of allied professionals on local per diem and short-term assignments in a variety of clinical and non-clinical settings. We also provide clinical and non-clinical professionals on long-term assignments to customers such as public and private acute care and non-acute care hospitals, government facilities, public and charter schools, academic medical centers, outpatient clinics, ambulatory care facilities, physician practice groups, local and national healthcare plans, managed care providers, PACE programs, correctional facilities, and many other healthcare providers. We also receive administrative fees from subcontractors at our MSP clients or from those subcontractors who use our Intellify</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technology solution to staff hospital facilities directly.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(2)</w:t>
      </w:r>
      <w:r>
        <w:rPr>
          <w:color w:val="000000"/>
          <w:shd w:fill="FFFFFF" w:val="clear"/>
        </w:rPr>
        <w:t>    </w:t>
      </w:r>
      <w:r>
        <w:rPr>
          <w:rFonts w:ascii="Times New Roman;sans-serif" w:hAnsi="Times New Roman;sans-serif"/>
          <w:b/>
          <w:color w:val="000000"/>
          <w:sz w:val="20"/>
          <w:shd w:fill="FFFFFF" w:val="clear"/>
        </w:rPr>
        <w:t xml:space="preserve">Physician Staffing. </w:t>
      </w:r>
      <w:r>
        <w:rPr>
          <w:rFonts w:ascii="Times New Roman;sans-serif" w:hAnsi="Times New Roman;sans-serif"/>
          <w:b w:val="false"/>
          <w:color w:val="000000"/>
          <w:sz w:val="20"/>
        </w:rPr>
        <w:t>Our</w:t>
      </w:r>
      <w:r>
        <w:rPr>
          <w:color w:val="000000"/>
        </w:rPr>
        <w:t xml:space="preserve"> </w:t>
      </w:r>
      <w:r>
        <w:rPr>
          <w:rFonts w:ascii="Times New Roman;sans-serif" w:hAnsi="Times New Roman;sans-serif"/>
          <w:b w:val="false"/>
          <w:color w:val="000000"/>
          <w:sz w:val="20"/>
        </w:rPr>
        <w:t xml:space="preserve">Physician Staffing segment provides licensed practitioners across a broad array of specialties, as well as certified registered nurse anesthetists (CRNAs), nurse practitioners (NPs), and physician assistants (PAs) on temporary assignments throughout the United States (U.S.). The diverse list of customers we serve includes healthcare facilities, such as acute and non-acute care facilities, medical group practices, government facilities, and managed care organizations. We recruit these professionals nationally and place them on assignments varying in length from several days up to one year.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Nurse and Allied Staffing and Physician Staffing revenue and contribution income is set forth in Note 17 - Segment Data to the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healthcare staffing</w:t>
      </w:r>
      <w:r>
        <w:rPr>
          <w:color w:val="000000"/>
        </w:rPr>
        <w:t xml:space="preserve"> </w:t>
      </w:r>
      <w:r>
        <w:rPr>
          <w:rFonts w:ascii="Times New Roman;sans-serif" w:hAnsi="Times New Roman;sans-serif"/>
          <w:b w:val="false"/>
          <w:color w:val="000000"/>
          <w:sz w:val="20"/>
        </w:rPr>
        <w:t>industry continues to evolve, with both healthcare providers and professionals demanding speed and placing heavier reliance on technology for fulfillment and delivery activities. Recognizing this trend, we are continuing on a path of digital transformation and innovation across our business with investments in expanding our technology capabilities both on the customer facing and candidate engagement fronts. We have executed multiple initiatives to enhance our position as a leading, consultative, and strategic partner in the healthcare industry. Some key focus areas include personalizing the candidate experience, delivering a superior customer experience, infusing technology-enablement to drive efficiencies and increased productivity, and continuing our commitment to clinical excellence. As part of our 2024 IT strategy, we continued to invest in technologies for both internal and externally facing systems. In 2023, we released our Internal Resource Pool (IRP) and per diem modules on Intellify</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We expect these initiatives to drive growth through better operational execution, enhanced productivity, and a world-class customer and candidate experience.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Areas of investment also include recruitment and candidate nurturing tools, market analytics, mobile applications and self-serve capabilities, programmatic advertising, social media, and other technology. These investments enhance our recruiting capabilities and allow us to quickly respond to demand across a wide range of specialties.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One of our goals is to grow stockholder value by continuing to deepen our relationships with current customers and healthcare professionals, expanding the number and types of new customers we serve, growing the supply and types of specialties of our healthcare professionals, improving our operating leverage through growth and cost containment, and strengthening and broadening our market presence. This requires our continued focus on: (i) providing workforce solutions offerings to new customers; (ii) expanding the services we provide to current customers, including usage of Intellify</w:t>
      </w:r>
      <w:r>
        <w:rPr>
          <w:rFonts w:ascii="Times New Roman;sans-serif" w:hAnsi="Times New Roman;sans-serif"/>
          <w:b w:val="false"/>
          <w:color w:val="000000"/>
          <w:sz w:val="13"/>
        </w:rPr>
        <w:t>®</w:t>
      </w:r>
      <w:r>
        <w:rPr>
          <w:rFonts w:ascii="Times New Roman;sans-serif" w:hAnsi="Times New Roman;sans-serif"/>
          <w:b w:val="false"/>
          <w:color w:val="000000"/>
          <w:sz w:val="20"/>
        </w:rPr>
        <w:t>; (iii) further diversifying our customer base; (iv) accessing more candidates; and (v) continuing to modernize technologies and processes to optimize our relationships with healthcare professionals and customers.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To successfully execute our business strategy, we rely on experienced and innovative executive and operational teams. Our executive team has extensive experience in staffing, workforce solutions, technology services, and healthcare industries. We also foster a culture of performance, talented leadership, and collegiality that promotes the achievement of both Company and personal goals. </w:t>
      </w:r>
      <w:r>
        <w:rPr>
          <w:rFonts w:ascii="Times New Roman;sans-serif" w:hAnsi="Times New Roman;sans-serif"/>
          <w:b w:val="false"/>
          <w:color w:val="000000"/>
          <w:sz w:val="20"/>
          <w:shd w:fill="FFFFFF" w:val="clear"/>
        </w:rPr>
        <w:t>With more than 20 healthcare clinicians on our corporate staff, our Clinical Quality Council continues to serve as an advisory committee to our entire organization and customers. In 2022, the Company’s Co-Founder &amp; Chairman was named to the Staffing Industry Analysts’ Staffing 100 List of the most notable leaders in the industry, and the Company’s Chief Executive Officer (CEO) was named to the list in 2023 and 2024. One of our executives was included on Staffing Industry Analysts’ 2024 and 2022 Global Power 150 - Women in Staffing List that recognizes the 100 most influential women in the Americas and 50 additional women internationally, and another executive was included in 2023. Another executive has been recognized as a 2024 and 2023 Diversity, Equity, and Inclusion Influencer by Staffing Industry Analysts, and one of the 10 Most Influential HR Executives to Watch in 2022 by CIO Views magazine. Our Chairman of the Board of Directors was also nominated as a top staffing leader to watch in 2023 for World Staffing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previously disclosed, on December 3, 2024, the Company entered into an Agreement and Plan of Merger (Merger Agreement) with Aya Holdings II Inc., a Delaware corporation (Parent), Spark Merger Sub One Inc., a Delaware corporation and a wholly owned subsidiary of Parent (Merger Sub), and, solely for purposes of Section 11.14 thereto, Aya Healthcare, Inc. (Aya Healthcare), pursuant to which Merger Sub will merge with and into the Company, with the Company surviving as a wholly owned subsidiary of Parent (Aya Merger). On February 20, 2025, the Company and Aya Healthcare each received a request for additional information (Second Request) from the U.S. Federal Trade Commission (FTC) in connection with the FTC’s review of the transactions contemplated by the Merger Agreement. Issuance of the Second Request extends the waiting period under the Hart-Scott-Rodino Antitrust Improvements Act of 1976 until 30 days after both the Company and Aya Healthcare substantially comply with the Second Request, unless the waiting period is extended voluntarily by the parties or terminated earlier by the FTC. The Company expects that the Aya Merger will close in the second half of 2025, subject to the satisfaction or waiver of the other customary closing conditions specified in the Merger Agreement. The Aya Merger was approved by the Company's stockholders at a special meeting held on February 28, 2025. </w:t>
      </w:r>
      <w:r>
        <w:rPr>
          <w:rFonts w:ascii="Times New Roman;sans-serif" w:hAnsi="Times New Roman;sans-serif"/>
          <w:b w:val="false"/>
          <w:color w:val="000000"/>
          <w:sz w:val="20"/>
          <w:shd w:fill="FFFFFF" w:val="clear"/>
        </w:rPr>
        <w:t>Upon completion of the transaction, it is expected that the Company will become a private company and its common stock will no longer trade on Nasdaq.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and Uncertainties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Post-pandemic, there is a need to continue to innovate, improve processes, and expand services to meet the needs of our employees, customers and their patients. </w:t>
      </w:r>
      <w:r>
        <w:rPr>
          <w:rFonts w:ascii="Times New Roman;sans-serif" w:hAnsi="Times New Roman;sans-serif"/>
          <w:b w:val="false"/>
          <w:color w:val="000000"/>
          <w:sz w:val="20"/>
        </w:rPr>
        <w:t xml:space="preserve">During 2024, bill and pay rates adjusted as the impact of the pandemic continued to decline. While we believe that the talent shortage will likely persist into 2025, hospitals are continuing to balance their need for temporary talent with cost containment measures.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is highly competitive for both clients and candidates, especially within travel nurse and allied, and is growing closer to an inflection point. Our future results of operations and liquidity could be materially adversely affected by macroeconomic factors contributing to delays in payments from customers and inflationary pressure, uncertain or reduced demand, and the impact of any initiatives or programs that we may undertake to address financial and operational challenges faced by our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customers continue to right-size their needs and travel bill rates continue to stabilize across core specialties, we will continue to manage the business for long-term success and strategically position ourselves for future growth opportunities in the market. Regardless of how rates evolve, we are committed to continuing to grow our base of clinicians on assignment and our market share while maintaining the quality that we are known for.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Our Business Model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recruitment and retention of a sufficient number of qualified healthcare professionals to work temporary assignments on our behalf is critical to the success of our business. Healthcare professionals choose temporary assignments for a variety of reasons that include seeking flexible work opportunities, seeking higher compensation, exploring diverse practice settings, building skills and experience by working at prestigious healthcare facilities, working through life and career transitions, and as a means of access into a permanent staff position all while practicing in the most appreciated and highly altruistic trade.</w:t>
      </w:r>
    </w:p>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shd w:fill="FFFFFF" w:val="clear"/>
        </w:rPr>
        <w:t>(1)Our Healthcare Professionals</w:t>
      </w:r>
      <w:r>
        <w:rPr>
          <w:rFonts w:ascii="Times New Roman;sans-serif" w:hAnsi="Times New Roman;sans-serif"/>
          <w:b/>
          <w:i/>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Nurse and Allied Staffing. </w:t>
      </w:r>
      <w:r>
        <w:rPr>
          <w:rFonts w:ascii="Times New Roman;sans-serif" w:hAnsi="Times New Roman;sans-serif"/>
          <w:b w:val="false"/>
          <w:color w:val="000000"/>
          <w:sz w:val="20"/>
        </w:rPr>
        <w:t xml:space="preserve">Our Company is well positioned to attract candidates, as clinical professionals routinely seek a wide range of diverse assignments in attractive locations, with competitive compensation and benefit packages, scheduling options, as well as a high level of service. We believe nurses and allied professionals are confident that we will be able to offer them new assignments as they complete their current assignment. Each of our nurse and allied healthcare professionals is employed by us and is typically paid an hourly wage and receive other benefits they are entitled to receive during the assignment period. Competitive benefits for our employees generally include professional liability and workers compensation insurance, a 401(k) plan, health insurance, reimbursed travel, per diem allowances, and housing.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Recruiters are an essential element of our Nurse and Allied Staffing business and are responsible for establishing and maintaining key relationships with candidates for the duration of their assignments. Leveraging our database of clinicians, recruiters match the supply of qualified candidates with the demand for open orders from customers. While word-of-mouth and referrals, especially from current and former healthcare professionals we have placed, continue as our leading channel of access to candidates, we also market our brands through strategic sourcing initiatives including programmatic strategic sourcing and extensive utilization of social media and mobile applications, which have become an increasingly important component of our recruitment efforts. In addition to maintaining engaging and intuitive websites to allow potential applicants to obtain information about the Company and assignment opportunities,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further enhanced Cross Country Marketplace, our proprietary mobile on-demand staffing platform, as a one-stop, self-service portal to support candidates throughout their experience with Cross Country. Our self-service candidate portal, known as Xperience</w:t>
      </w:r>
      <w:r>
        <w:rPr>
          <w:rFonts w:ascii="Times New Roman;sans-serif" w:hAnsi="Times New Roman;sans-serif"/>
          <w:b w:val="false"/>
          <w:color w:val="000000"/>
          <w:sz w:val="13"/>
        </w:rPr>
        <w:t>TM</w:t>
      </w:r>
      <w:r>
        <w:rPr>
          <w:rFonts w:ascii="Times New Roman;sans-serif" w:hAnsi="Times New Roman;sans-serif"/>
          <w:b w:val="false"/>
          <w:color w:val="000000"/>
          <w:sz w:val="20"/>
        </w:rPr>
        <w:t>, provides our travel and allied healthcare professionals with real-time matching to open positions.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Physician Staffing. </w:t>
      </w:r>
      <w:r>
        <w:rPr>
          <w:rFonts w:ascii="Times New Roman;sans-serif" w:hAnsi="Times New Roman;sans-serif"/>
          <w:b w:val="false"/>
          <w:color w:val="000000"/>
          <w:sz w:val="20"/>
        </w:rPr>
        <w:t>Cross Country Locums recruits and contracts with physicians and advanced practice professionals to provide medical services for its healthcare customers. We offer a wide variety of assignments, competitive fees, medical malpractice insurance, and a high level of service. Physicians or advanced practice professionals are independent contractors (unless prohibited by applicable law) and enter into agreements with Cross Country Locums to provide medical services at a particular healthcare facility or physician practice group based on terms and conditions specified by that customer, for assignments ranging from a few days up to a year.</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(2)</w:t>
      </w:r>
      <w:r>
        <w:rPr>
          <w:rFonts w:ascii="Times New Roman;sans-serif" w:hAnsi="Times New Roman;sans-serif"/>
          <w:b/>
          <w:color w:val="000000"/>
          <w:sz w:val="20"/>
          <w:shd w:fill="FFFFFF" w:val="clear"/>
        </w:rPr>
        <w:t>Sales and Marketing</w:t>
      </w:r>
      <w:r>
        <w:rPr>
          <w:rFonts w:ascii="Times New Roman;sans-serif" w:hAnsi="Times New Roman;sans-serif"/>
          <w:b/>
          <w:i/>
          <w:color w:val="000000"/>
          <w:sz w:val="20"/>
          <w:shd w:fill="FFFFFF" w:val="clear"/>
        </w:rPr>
        <w:t xml:space="preserve">. </w:t>
      </w:r>
      <w:r>
        <w:rPr>
          <w:rFonts w:ascii="Times New Roman;sans-serif" w:hAnsi="Times New Roman;sans-serif"/>
          <w:b w:val="false"/>
          <w:color w:val="000000"/>
          <w:sz w:val="20"/>
        </w:rPr>
        <w:t>We take an enterprise sales approach by marketing our full capabilities across the continuum of care to hospitals, healthcare facilities, schools, PACE programs, and other organizations across the U.S. addressing total talent management needs. We provide flexible workforce solutions to the healthcare, education, and PACE markets customizing delivery of diversified offerings to meet the specific needs of each customer.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delivery brands include Cross Country Nurses</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Cross Country Allied</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Cross Country Medical Staffing Network</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Cross Country Search</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Cross Country Locums</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Cross Country Workforce Solutions Group</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Cross Country Education</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Intellify</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Talent Solutions, and Data Aggregation Services (DAS). Our recru</w:t>
      </w:r>
      <w:r>
        <w:rPr>
          <w:rFonts w:ascii="Times New Roman;sans-serif" w:hAnsi="Times New Roman;sans-serif"/>
          <w:b w:val="false"/>
          <w:color w:val="000000"/>
          <w:sz w:val="20"/>
        </w:rPr>
        <w:t>iters leverage the Company’s extensive databases of clinicians and healthcare professionals, as well as their expertise in their given specialties, to qualify and place healthcare candidates.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(3)</w:t>
      </w:r>
      <w:r>
        <w:rPr>
          <w:rFonts w:ascii="Times New Roman;sans-serif" w:hAnsi="Times New Roman;sans-serif"/>
          <w:b/>
          <w:color w:val="000000"/>
          <w:sz w:val="20"/>
          <w:shd w:fill="FFFFFF" w:val="clear"/>
        </w:rPr>
        <w:t>Credentialing and Quality Management.</w:t>
      </w:r>
      <w:r>
        <w:rPr>
          <w:color w:val="000000"/>
          <w:shd w:fill="FFFFFF" w:val="clear"/>
        </w:rPr>
        <w:t xml:space="preserve"> </w:t>
      </w:r>
      <w:r>
        <w:rPr>
          <w:rFonts w:ascii="Times New Roman;sans-serif" w:hAnsi="Times New Roman;sans-serif"/>
          <w:b w:val="false"/>
          <w:color w:val="000000"/>
          <w:sz w:val="20"/>
        </w:rPr>
        <w:t>We screen all of our healthcare employees prior to placement through our credentialing departments. Our credentialing processes are designed to ensure that professionals have the requisite skill sets required by our customers, as well as the aptitude to meet the day-to-day requirements and challenges they would typically encounter on assignments where they are placed. The credentialing of our nurse and allied healthcare professionals is designed to ensure quality of care and align with the guidelines of The Joint Commission, a national accrediting body.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w:t>
      </w:r>
      <w:r>
        <w:rPr>
          <w:rFonts w:ascii="Times New Roman;sans-serif" w:hAnsi="Times New Roman;sans-serif"/>
          <w:b/>
          <w:color w:val="000000"/>
          <w:sz w:val="20"/>
          <w:shd w:fill="FFFFFF" w:val="clear"/>
        </w:rPr>
        <w:t>Billing and Payment for Services.</w:t>
      </w:r>
      <w:r>
        <w:rPr>
          <w:color w:val="000000"/>
        </w:rPr>
        <w:t xml:space="preserve"> </w:t>
      </w:r>
      <w:r>
        <w:rPr>
          <w:rFonts w:ascii="Times New Roman;sans-serif" w:hAnsi="Times New Roman;sans-serif"/>
          <w:b w:val="false"/>
          <w:color w:val="000000"/>
          <w:sz w:val="20"/>
        </w:rPr>
        <w:t xml:space="preserve">Our shared service center processes hours worked by field employees in various time and attendance systems, which in turn generate billable transactions to our customers. Hours worked by independent contractor physicians are reported to our Cross Country Locums office. Billing for other services such as RPO, Search, or Project Management vary depending on the contract, but typically are invoiced upon the success of achieving agreed upon milestones or completion of specific deliverables, such as the placement of a candidate. On occasion, we are able to bill for the reimbursement of certain expenses incurred, such as candidate marketing costs, or set-up fees incurred for certain projects, such as travel costs for internal staff.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(5)</w:t>
      </w:r>
      <w:r>
        <w:rPr>
          <w:rFonts w:ascii="Times New Roman;sans-serif" w:hAnsi="Times New Roman;sans-serif"/>
          <w:b/>
          <w:color w:val="000000"/>
          <w:sz w:val="20"/>
          <w:shd w:fill="FFFFFF" w:val="clear"/>
        </w:rPr>
        <w:t xml:space="preserve">Operations.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ur businesses are operated through a relatively centralized model, servicing all assignment needs of our healthcare professionals, physicians, and customer facilities, as well as support activities, such as coordinating housing, payroll processing, benefits administration, billing and collections, travel reimbursement processing, customer service, and risk management. These activities are performed by a predominantly remote work team, in addition to a few corporate offices.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(6)</w:t>
      </w:r>
      <w:r>
        <w:rPr>
          <w:rFonts w:ascii="Times New Roman;sans-serif" w:hAnsi="Times New Roman;sans-serif"/>
          <w:b/>
          <w:color w:val="000000"/>
          <w:sz w:val="20"/>
          <w:shd w:fill="FFFFFF" w:val="clear"/>
        </w:rPr>
        <w:t xml:space="preserve">Information Systems. </w:t>
      </w:r>
      <w:r>
        <w:rPr>
          <w:rFonts w:ascii="Times New Roman;sans-serif" w:hAnsi="Times New Roman;sans-serif"/>
          <w:b w:val="false"/>
          <w:color w:val="000000"/>
          <w:sz w:val="20"/>
        </w:rPr>
        <w:t>Various information systems are utilized to run customer relationship management, recruitment, and placement functions based on our different brands. Some of these sophisticated applications are proprietary and are hosted in Tier 1 hosting facilities while other systems are SaaS-based and hosted by vendor partners. Our systems maintain detailed information about customer-required skill sets and status, which assists us in enabling fulfillment and assignment renewals. Our databases contain an extensive pool of existing and potential customers and all related recruitment and sales activity. Our financial and human resource systems are housed on enterprise resource planning software suites that manage certain aspects of accounts payable, accounts receivable, general ledger, billing, and human capital management. We manage our information systems with internal team members located both in the U.S. and in India. Cybersecurity remains a central focus point across our organization, including dedicated resources, iterative training for all employees, and third parties engaged to assist in monitoring and managing systems and devices, detecting cyber threats, and preventing breaches.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(7)</w:t>
      </w:r>
      <w:r>
        <w:rPr>
          <w:rFonts w:ascii="Times New Roman;sans-serif" w:hAnsi="Times New Roman;sans-serif"/>
          <w:b/>
          <w:color w:val="000000"/>
          <w:sz w:val="20"/>
          <w:shd w:fill="FFFFFF" w:val="clear"/>
        </w:rPr>
        <w:t>Risk Management, Insurance, and Benefits.</w:t>
      </w:r>
      <w:r>
        <w:rPr>
          <w:color w:val="000000"/>
          <w:shd w:fill="FFFFFF" w:val="clear"/>
        </w:rPr>
        <w:t xml:space="preserve">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 xml:space="preserve">ur risk management program is designed to ensure prompt notification of incidents, educational training to our employees, loss analysis, and timely reporting procedures to reduce our risk of exposure. We continuously review facts and incidents associated with professional liability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 claims in order to identify trends and reduce our risk of loss in the future where possible. We consider assessments provided by our customers, and we work with clinicians and experts from our insurance carriers to determine employment eligibility and potential exposure.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workers’ compensation insurance coverage, professional liability coverage, and healthcare benefits for our eligible employed professionals. We record estimates of the ultimate cost of, and reserves for, workers’ compensation and professional liability benefits based on actuarial models prepared or reviewed by an independent actuary using our loss history as well as industry statistics, and include reserves for estimated claims incurred but not reported. On a quarterly basis, we estimate the healthcare claims that have occurred but have not been reported based on our historical claim submission patterns. The ultimate cost of workers’ compensation, professional liability, and health insurance claims will depend on actual amounts incurred to settle those claims and may differ from the amounts reserved for such claims.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maintains a number of insurance policies including general liability, workers’ compensation, fidelity, employment practices liability, fiduciary, directors and officers, cyber, property, and professional liability policies. These policies provide coverage for certain liabilities that may arise from our operations, subject to the policy’s terms, conditions, limits of liability, and deductibles. Any of the above policies may not be adequate for our needs, or we may not maintain all such policies in the future.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increasingly called upon by our customers to provide creative and innovative talent sourcing strategies across a continuum of care. Over the past several years, our workforce solutions have evolved into a total talent management approach as our customers focus on maintaining high-quality patient outcomes, while improving their total labor management to address complex financial, compliance, and other challenges within the healthcare industry. As part of this total talent management approach, we consider the following: (i) solving the immediate and future needs of our customers; (ii) enhancing our network of healthcare professionals by improving their experience; (iii) expanding service offerings to reduce sensitivity to economic cycles; (iv) expanding our expertise with various healthcare solutions in various geographic areas of the U.S.; (v) continuing to diversify our customer base to enhance long-term business prospects; and (vi) enhancing and expanding technology to deliver efficient and automated services to customer facilities. Our workforce solutions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MSP.</w:t>
      </w:r>
      <w:r>
        <w:rPr>
          <w:color w:val="000000"/>
        </w:rPr>
        <w:t xml:space="preserve"> </w:t>
      </w:r>
      <w:r>
        <w:rPr>
          <w:rFonts w:ascii="Times New Roman;sans-serif" w:hAnsi="Times New Roman;sans-serif"/>
          <w:b w:val="false"/>
          <w:color w:val="000000"/>
          <w:sz w:val="20"/>
        </w:rPr>
        <w:t xml:space="preserve">As healthcare providers continue to adopt centralized, outsourced models for managing contingent labor for both clinical and non-clinical needs, we offer an MSP in which we manage all or a portion of the customer’s staffing needs. This includes both the placement of our own healthcare professionals and the utilization of other staffing agencies. The benefits to our MSP customers include cost optimization, increased certainty of supply, visibility into labor needs and usage, and market insight from our industry expertise on a broad range of topics. We have </w:t>
      </w:r>
      <w:r>
        <w:rPr>
          <w:rFonts w:ascii="Times New Roman;sans-serif" w:hAnsi="Times New Roman;sans-serif"/>
          <w:b w:val="false"/>
          <w:color w:val="000000"/>
          <w:sz w:val="20"/>
          <w:shd w:fill="FFFFFF" w:val="clear"/>
        </w:rPr>
        <w:t>converted close to 100% of our</w:t>
      </w:r>
      <w:r>
        <w:rPr>
          <w:color w:val="000000"/>
        </w:rPr>
        <w:t xml:space="preserve"> </w:t>
      </w:r>
      <w:r>
        <w:rPr>
          <w:rFonts w:ascii="Times New Roman;sans-serif" w:hAnsi="Times New Roman;sans-serif"/>
          <w:b w:val="false"/>
          <w:color w:val="000000"/>
          <w:sz w:val="20"/>
        </w:rPr>
        <w:t>MSPs onto Intellify</w:t>
      </w:r>
      <w:r>
        <w:rPr>
          <w:rFonts w:ascii="Times New Roman;sans-serif" w:hAnsi="Times New Roman;sans-serif"/>
          <w:b w:val="false"/>
          <w:color w:val="000000"/>
          <w:sz w:val="13"/>
        </w:rPr>
        <w:t>®</w:t>
      </w:r>
      <w:r>
        <w:rPr>
          <w:rFonts w:ascii="Times New Roman;sans-serif" w:hAnsi="Times New Roman;sans-serif"/>
          <w:b w:val="false"/>
          <w:color w:val="000000"/>
          <w:sz w:val="20"/>
        </w:rPr>
        <w:t>, our SaaS-based, proprietary, vendor-neutral platform that provides analytics and real-time insights, with industry-leading dashboards and reporting.</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shd w:fill="FFFFFF" w:val="clear"/>
        </w:rPr>
        <w:t>Vendor Neutral Program.</w:t>
      </w:r>
      <w:r>
        <w:rPr>
          <w:color w:val="000000"/>
          <w:shd w:fill="FFFFFF" w:val="clear"/>
        </w:rPr>
        <w:t xml:space="preserve"> </w:t>
      </w:r>
      <w:r>
        <w:rPr>
          <w:rFonts w:ascii="Times New Roman;sans-serif" w:hAnsi="Times New Roman;sans-serif"/>
          <w:b w:val="false"/>
          <w:color w:val="000000"/>
          <w:sz w:val="20"/>
        </w:rPr>
        <w:t>We also provide a vendor management system through our Intellify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which may also include the placement of our professionals or a menu of various other services. The benefits of our vendor neutral solution include control over the staffing program and suppliers, cost optimization, and visibility into labor needs and usage.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color w:val="000000"/>
          <w:sz w:val="20"/>
          <w:shd w:fill="FFFFFF" w:val="clear"/>
        </w:rPr>
        <w:t>In-Home Care Services.</w:t>
      </w:r>
      <w:r>
        <w:rPr>
          <w:color w:val="000000"/>
          <w:shd w:fill="FFFFFF" w:val="clear"/>
        </w:rPr>
        <w:t xml:space="preserve"> </w:t>
      </w:r>
      <w:r>
        <w:rPr>
          <w:rFonts w:ascii="Times New Roman;sans-serif" w:hAnsi="Times New Roman;sans-serif"/>
          <w:b w:val="false"/>
          <w:color w:val="000000"/>
          <w:sz w:val="20"/>
          <w:shd w:fill="FFFFFF" w:val="clear"/>
        </w:rPr>
        <w:t>Our Workforce Solutions Group division is a premier provider in clinical and non-clinical staffing for home health and senior care facilities, including Federally Qualified Health Centers (FQHCs), Community Health Centers (CHCs), and PACE centers, allowing aging populations to remain in their homes as long as clinically advisable. We are a full-service partner, with market expertise and a breadth of services, including contingent staffing, consulting, human capital, management solutions, recruitment process outsourcing, vendor management, and direct hiring.</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color w:val="000000"/>
          <w:sz w:val="20"/>
          <w:shd w:fill="FFFFFF" w:val="clear"/>
        </w:rPr>
        <w:t>Education Healthcare Services.</w:t>
      </w:r>
      <w:r>
        <w:rPr>
          <w:color w:val="000000"/>
          <w:shd w:fill="FFFFFF" w:val="clear"/>
        </w:rPr>
        <w:t xml:space="preserve"> </w:t>
      </w:r>
      <w:r>
        <w:rPr>
          <w:rFonts w:ascii="Times New Roman;sans-serif" w:hAnsi="Times New Roman;sans-serif"/>
          <w:b w:val="false"/>
          <w:color w:val="000000"/>
          <w:sz w:val="20"/>
          <w:shd w:fill="FFFFFF" w:val="clear"/>
        </w:rPr>
        <w:t>Through Cross Country Education, we focus our knowledge and resources on engaging with and understanding educational organizations, industry trends, and leadership challenges. We provide a wide range of services to our educational partners to meet their individual needs, including special education providers, substitute teachers, behavioral aides, speech language pathologists, and occupational therapists, among others. We also fulfill HR-related tasks, alleviating human resource and administrative paperwork so school administrators can focus on student success.</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RPO Services.</w:t>
      </w:r>
      <w:r>
        <w:rPr>
          <w:color w:val="000000"/>
        </w:rPr>
        <w:t xml:space="preserve"> </w:t>
      </w:r>
      <w:r>
        <w:rPr>
          <w:rFonts w:ascii="Times New Roman;sans-serif" w:hAnsi="Times New Roman;sans-serif"/>
          <w:b w:val="false"/>
          <w:color w:val="000000"/>
          <w:sz w:val="20"/>
        </w:rPr>
        <w:t>Through our RPO services, we offer targeted recruitment solutions designed to increase core staff while reducing dependency on contract labor. Our RPO program provides support to replace or complement a customer’s existing internal recruitment functions for permanent hiring needs and is delivered to healthcare organizations throughout the country and serves to provide creative, cost and operationally efficient hiring support and labor optimization, which leads to improvements in quality of care.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shd w:fill="FFFFFF" w:val="clear"/>
        </w:rPr>
        <w:t>Project Management.</w:t>
      </w:r>
      <w:r>
        <w:rPr>
          <w:color w:val="000000"/>
          <w:shd w:fill="FFFFFF" w:val="clear"/>
        </w:rPr>
        <w:t xml:space="preserve"> </w:t>
      </w:r>
      <w:r>
        <w:rPr>
          <w:rFonts w:ascii="Times New Roman;sans-serif" w:hAnsi="Times New Roman;sans-serif"/>
          <w:b w:val="false"/>
          <w:color w:val="000000"/>
          <w:sz w:val="20"/>
          <w:shd w:fill="FFFFFF" w:val="clear"/>
        </w:rPr>
        <w:t xml:space="preserve">Periodically, our customers have urgent needs that fall outside the scope of an MSP arrangement and require a more focused effort to place staff within a very short window. </w:t>
      </w:r>
      <w:r>
        <w:rPr>
          <w:rFonts w:ascii="Times New Roman;sans-serif" w:hAnsi="Times New Roman;sans-serif"/>
          <w:b w:val="false"/>
          <w:color w:val="000000"/>
          <w:sz w:val="20"/>
        </w:rPr>
        <w:t>For example, as healthcare systems continue to upgrade their electronic medical records or encounter a labor disruption, we can provide comprehensive project management, deployment of a full staffing plan, and ultimately an organized volume of quality healthcare professionals during the process so that customers may continue to deliver quality care.</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shd w:fill="FFFFFF" w:val="clear"/>
        </w:rPr>
        <w:t>Executive and Contingent Search.</w:t>
      </w:r>
      <w:r>
        <w:rPr>
          <w:color w:val="000000"/>
          <w:shd w:fill="FFFFFF" w:val="clear"/>
        </w:rPr>
        <w:t xml:space="preserve"> </w:t>
      </w:r>
      <w:r>
        <w:rPr>
          <w:rFonts w:ascii="Times New Roman;sans-serif" w:hAnsi="Times New Roman;sans-serif"/>
          <w:b w:val="false"/>
          <w:color w:val="000000"/>
          <w:sz w:val="20"/>
          <w:shd w:fill="FFFFFF" w:val="clear"/>
        </w:rPr>
        <w:t>Si</w:t>
      </w:r>
      <w:r>
        <w:rPr>
          <w:rFonts w:ascii="Times New Roman;sans-serif" w:hAnsi="Times New Roman;sans-serif"/>
          <w:b w:val="false"/>
          <w:color w:val="000000"/>
          <w:sz w:val="20"/>
        </w:rPr>
        <w:t>milar to RPO, we seek to identify and place candidates in full-time roles, across clinical, executive, or administrative functions. These services are offered for specific roles and are contracted on a contingent basis, which has a success fee once placement has occurred.</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shd w:fill="FFFFFF" w:val="clear"/>
        </w:rPr>
        <w:t>Other Services.</w:t>
      </w:r>
      <w:r>
        <w:rPr>
          <w:color w:val="000000"/>
          <w:shd w:fill="FFFFFF" w:val="clear"/>
        </w:rPr>
        <w:t xml:space="preserve"> </w:t>
      </w:r>
      <w:r>
        <w:rPr>
          <w:rFonts w:ascii="Times New Roman;sans-serif" w:hAnsi="Times New Roman;sans-serif"/>
          <w:b w:val="false"/>
          <w:color w:val="000000"/>
          <w:sz w:val="20"/>
        </w:rPr>
        <w:t>We offer other value-added services such as IRP Consulting &amp; Development, Optimal Workforce Solutions (OWS), and DAS. These services seek to augment our customer’s capabilities with managing, supplementing, and outsourcing aspects of their internal processes of managing their workforce. DAS provides healthcare systems with bill rate transparency and can be embedded within Intellify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 offered on a stand-alone basis.</w:t>
      </w:r>
    </w:p>
    <w:p>
      <w:pPr>
        <w:pStyle w:val="TextBody"/>
        <w:bidi w:val="0"/>
        <w:spacing w:before="0" w:after="0"/>
        <w:jc w:val="left"/>
        <w:rPr/>
      </w:pPr>
      <w:r>
        <w:rPr/>
      </w:r>
    </w:p>
    <w:p>
      <w:pPr>
        <w:pStyle w:val="TextBody"/>
        <w:bidi w:val="0"/>
        <w:spacing w:lineRule="auto" w:line="268" w:before="0" w:after="16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Geographic Markets and Customer Base</w:t>
      </w:r>
    </w:p>
    <w:p>
      <w:pPr>
        <w:pStyle w:val="TextBody"/>
        <w:bidi w:val="0"/>
        <w:spacing w:lineRule="auto" w:line="288" w:before="0" w:after="0"/>
        <w:jc w:val="left"/>
        <w:rPr/>
      </w:pPr>
      <w:r>
        <w:rPr>
          <w:rFonts w:ascii="Times New Roman;sans-serif" w:hAnsi="Times New Roman;sans-serif"/>
          <w:b w:val="false"/>
          <w:color w:val="000000"/>
          <w:sz w:val="20"/>
        </w:rPr>
        <w:t>In 2024, 2023, and 2022, our revenue was generated primarily in the U.S., and all of our long-lived assets were located in the U.S. and India. We provide our staffing services and workforce solutions in</w:t>
      </w:r>
      <w:r>
        <w:rPr>
          <w:color w:val="000000"/>
          <w:shd w:fill="FFFFFF" w:val="clear"/>
        </w:rPr>
        <w:t xml:space="preserve"> </w:t>
      </w:r>
      <w:r>
        <w:rPr>
          <w:rFonts w:ascii="Times New Roman;sans-serif" w:hAnsi="Times New Roman;sans-serif"/>
          <w:b w:val="false"/>
          <w:color w:val="000000"/>
          <w:sz w:val="20"/>
          <w:shd w:fill="FFFFFF" w:val="clear"/>
        </w:rPr>
        <w:t>all 50 sta</w:t>
      </w:r>
      <w:r>
        <w:rPr>
          <w:rFonts w:ascii="Times New Roman;sans-serif" w:hAnsi="Times New Roman;sans-serif"/>
          <w:b w:val="false"/>
          <w:color w:val="000000"/>
          <w:sz w:val="20"/>
        </w:rPr>
        <w:t>tes. During 2024, the largest percentage of our revenue was concentrated in</w:t>
      </w:r>
      <w:r>
        <w:rPr>
          <w:color w:val="000000"/>
          <w:shd w:fill="FFFFFF" w:val="clear"/>
        </w:rPr>
        <w:t xml:space="preserve"> </w:t>
      </w:r>
      <w:r>
        <w:rPr>
          <w:rFonts w:ascii="Times New Roman;sans-serif" w:hAnsi="Times New Roman;sans-serif"/>
          <w:b w:val="false"/>
          <w:color w:val="000000"/>
          <w:sz w:val="20"/>
          <w:shd w:fill="FFFFFF" w:val="clear"/>
        </w:rPr>
        <w:t>California, New York, and Florida. W</w:t>
      </w:r>
      <w:r>
        <w:rPr>
          <w:rFonts w:ascii="Times New Roman;sans-serif" w:hAnsi="Times New Roman;sans-serif"/>
          <w:b w:val="false"/>
          <w:color w:val="000000"/>
          <w:sz w:val="20"/>
        </w:rPr>
        <w:t xml:space="preserve">e provide services to public and private acute care and non-acute care hospitals, outpatient clinics, ambulatory care facilities, single and multi-specialty physician practices, rehabilitation facilities, PACE programs, urgent care centers, public and charter schools, correctional facilities, government facilities, retailers, and many other healthcare providers. For the years ended </w:t>
      </w:r>
      <w:r>
        <w:rPr>
          <w:rFonts w:ascii="Times New Roman;sans-serif" w:hAnsi="Times New Roman;sans-serif"/>
          <w:b w:val="false"/>
          <w:color w:val="000000"/>
          <w:sz w:val="20"/>
          <w:shd w:fill="FFFFFF" w:val="clear"/>
        </w:rPr>
        <w:t>December 31, 2024, 2023</w:t>
      </w:r>
      <w:r>
        <w:rPr>
          <w:rFonts w:ascii="Times New Roman;sans-serif" w:hAnsi="Times New Roman;sans-serif"/>
          <w:b w:val="false"/>
          <w:color w:val="000000"/>
          <w:sz w:val="20"/>
        </w:rPr>
        <w:t>, and 2022,</w:t>
      </w:r>
      <w:r>
        <w:rPr>
          <w:color w:val="000000"/>
          <w:shd w:fill="FFFFFF" w:val="clear"/>
        </w:rPr>
        <w:t xml:space="preserve"> </w:t>
      </w:r>
      <w:r>
        <w:rPr>
          <w:rFonts w:ascii="Times New Roman;sans-serif" w:hAnsi="Times New Roman;sans-serif"/>
          <w:b w:val="false"/>
          <w:color w:val="000000"/>
          <w:sz w:val="20"/>
          <w:shd w:fill="FFFFFF" w:val="clear"/>
        </w:rPr>
        <w:t xml:space="preserve">no customer </w:t>
      </w:r>
      <w:r>
        <w:rPr>
          <w:rFonts w:ascii="Times New Roman;sans-serif" w:hAnsi="Times New Roman;sans-serif"/>
          <w:b w:val="false"/>
          <w:color w:val="000000"/>
          <w:sz w:val="20"/>
        </w:rPr>
        <w:t>accounted for more th</w:t>
      </w:r>
      <w:r>
        <w:rPr>
          <w:rFonts w:ascii="Times New Roman;sans-serif" w:hAnsi="Times New Roman;sans-serif"/>
          <w:b w:val="false"/>
          <w:color w:val="000000"/>
          <w:sz w:val="20"/>
          <w:shd w:fill="FFFFFF" w:val="clear"/>
        </w:rPr>
        <w:t xml:space="preserve">an 10% of </w:t>
      </w:r>
      <w:r>
        <w:rPr>
          <w:rFonts w:ascii="Times New Roman;sans-serif" w:hAnsi="Times New Roman;sans-serif"/>
          <w:b w:val="false"/>
          <w:color w:val="000000"/>
          <w:sz w:val="20"/>
        </w:rPr>
        <w:t>our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Industry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shd w:fill="FFFFFF" w:val="clear"/>
        </w:rPr>
        <w:t>We compete in the U.S. temporary healthcare staffing and workforce solutions markets. Staffing Industry Analysts</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September 2024 report estimates the 2024 healthcare staffing markets had an aggregate market size of $45 billion, of which $19.6 billion was travel nursing, $5.4 billion was per diem nursing, $11.1 billion was allied health, and $8.9 billion was locum tenens and advanced practitioners. The demand for our services is impacted by many factors, of which we believe the most significant are the following:</w:t>
      </w:r>
    </w:p>
    <w:p>
      <w:pPr>
        <w:pStyle w:val="TextBody"/>
        <w:bidi w:val="0"/>
        <w:spacing w:before="0" w:after="0"/>
        <w:ind w:left="0" w:right="0" w:firstLine="450"/>
        <w:jc w:val="left"/>
        <w:rPr/>
      </w:pPr>
      <w:r>
        <w:rPr/>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Supply and Demand Drivers</w:t>
      </w:r>
    </w:p>
    <w:p>
      <w:pPr>
        <w:pStyle w:val="TextBody"/>
        <w:bidi w:val="0"/>
        <w:spacing w:lineRule="auto" w:line="288" w:before="0" w:after="0"/>
        <w:jc w:val="left"/>
        <w:rPr/>
      </w:pPr>
      <w:r>
        <w:rPr>
          <w:rFonts w:ascii="Times New Roman;sans-serif" w:hAnsi="Times New Roman;sans-serif"/>
          <w:b/>
          <w:color w:val="000000"/>
          <w:sz w:val="20"/>
          <w:shd w:fill="FFFFFF" w:val="clear"/>
        </w:rPr>
        <w:t>Healthcare Backdrop.</w:t>
      </w:r>
      <w:r>
        <w:rPr>
          <w:color w:val="000000"/>
        </w:rPr>
        <w:t xml:space="preserve"> </w:t>
      </w:r>
      <w:r>
        <w:rPr>
          <w:rFonts w:ascii="Times New Roman;sans-serif" w:hAnsi="Times New Roman;sans-serif"/>
          <w:b w:val="false"/>
          <w:color w:val="000000"/>
          <w:sz w:val="20"/>
        </w:rPr>
        <w:t>According to the Staffing Industry Analysts’ “US Staffing Industry Pulse Survey Report” (November 2024), travel nurse staffing was down 21% year-over-year. Median revenue growth was greatest in locum tenens, up 3%. Staffing Industry Analysts’ “US Staffing Industry Forecast: September 2024 Update” (September 11, 2024) forecasts moderate continued expansion in the locum tenens segment, in part as bill rates keep edging up, with a moderate decline in the allied healthcare segment and the per diem nurse segment in 2024, followed by a modest expansion in both segments in 2025. The travel nurse segment is forecasted to normalize back down to pre-pandemic levels in terms of both volume and bill rates. According to the most recent Bureau of Labor Statistics 10-year projections (August 29, 2024), overall, employment is expected to grow 0.4% annually, with the healthcare and social assistance sector having the largest growth in excess of 1.0% annually. Within healthcare, healthcare support occupations and healthcare practitioners and technical occupations are projected to be among the fastest growing of all occupational groups, growing 15.2% and 8.6%, respectively, from 2023 to 2033. Employment growth in the healthcare and social assistance sector is expected to be driven by the aging population and a higher prevalence of chronic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Supply of Nurses.</w:t>
      </w:r>
      <w:r>
        <w:rPr>
          <w:color w:val="000000"/>
        </w:rPr>
        <w:t xml:space="preserve"> </w:t>
      </w:r>
      <w:r>
        <w:rPr>
          <w:rFonts w:ascii="Times New Roman;sans-serif" w:hAnsi="Times New Roman;sans-serif"/>
          <w:b w:val="false"/>
          <w:color w:val="000000"/>
          <w:sz w:val="20"/>
        </w:rPr>
        <w:t xml:space="preserve">According to the Bureau of Labor Statistics’ Occupational Outlook Handbook (August 29, 2024), employment of registered nurses is projected to grow 6%, or 197,200, from 2023 to 2033, faster than the average for all occupations. The registered nurse workforce is expected to grow from 3.3 million in 2023 to 3.5 million in 2033. The Bureau of Labor Statistics also projects the need for an additional 194,500 new registered nurses each year, on average, through 2033, factoring in nurse retirements and workforce exits.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Physician Shortage.</w:t>
      </w:r>
      <w:r>
        <w:rPr>
          <w:color w:val="000000"/>
          <w:shd w:fill="FFFFFF" w:val="clear"/>
        </w:rPr>
        <w:t xml:space="preserve"> </w:t>
      </w:r>
      <w:r>
        <w:rPr>
          <w:rFonts w:ascii="Times New Roman;sans-serif" w:hAnsi="Times New Roman;sans-serif"/>
          <w:b w:val="false"/>
          <w:color w:val="000000"/>
          <w:sz w:val="20"/>
        </w:rPr>
        <w:t>According to the Bureau of Labor Statistics’ Occupational Outlook Handbook (August 29, 2024), employment of physicians and surgeons is projected to grow 4% from 2023 to 2033, about as fast as the average for all occupations. About 23,600 openings for physicians and surgeons are projected each year, on average, over the decade</w:t>
      </w:r>
      <w:r>
        <w:rPr>
          <w:rFonts w:ascii="Times New Roman;sans-serif" w:hAnsi="Times New Roman;sans-serif"/>
          <w:b w:val="false"/>
          <w:color w:val="000000"/>
          <w:sz w:val="20"/>
          <w:shd w:fill="FFFFFF" w:val="clear"/>
        </w:rPr>
        <w:t>. According to the Association of American Medical Colleges</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(AAMC) “Addressing the Physician Workforce Shortage” (March 2024), the United States faces a projected physician shortage of up to 86,000 by 2036. Population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growth and aging, exacerbated by older physicians who will be retiring soon, serve as the primary drivers of increasing demand for physician services.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shd w:fill="FFFFFF" w:val="clear"/>
        </w:rPr>
        <w:t xml:space="preserve">Increased Need for Healthcare and Special Education Services in Schools. </w:t>
      </w:r>
      <w:r>
        <w:rPr>
          <w:rFonts w:ascii="Times New Roman;sans-serif" w:hAnsi="Times New Roman;sans-serif"/>
          <w:b w:val="false"/>
          <w:color w:val="000000"/>
          <w:sz w:val="20"/>
          <w:shd w:fill="FFFFFF" w:val="clear"/>
        </w:rPr>
        <w:t>According to the U.S. Department of Education, National Center for Education Statistic Report titled “The Condition of Education” (May 30, 2024),</w:t>
      </w:r>
      <w:r>
        <w:rPr>
          <w:color w:val="222222"/>
          <w:shd w:fill="FFFFFF" w:val="clear"/>
        </w:rPr>
        <w:t xml:space="preserve"> </w:t>
      </w:r>
      <w:r>
        <w:rPr>
          <w:rFonts w:ascii="Times New Roman;sans-serif" w:hAnsi="Times New Roman;sans-serif"/>
          <w:b w:val="false"/>
          <w:color w:val="222222"/>
          <w:sz w:val="20"/>
          <w:shd w:fill="FFFFFF" w:val="clear"/>
        </w:rPr>
        <w:t>during 2022 to 2023, the number of students ages three to twenty-one who received special education services under the Individuals with Disabilities Education Act (IDEA) was 7.5 million, or 15% of all public school students.</w:t>
      </w:r>
      <w:r>
        <w:rPr>
          <w:color w:val="000000"/>
          <w:shd w:fill="FFFFFF" w:val="clear"/>
        </w:rPr>
        <w:t xml:space="preserve"> </w:t>
      </w:r>
      <w:r>
        <w:rPr>
          <w:rFonts w:ascii="Times New Roman;sans-serif" w:hAnsi="Times New Roman;sans-serif"/>
          <w:b w:val="false"/>
          <w:color w:val="000000"/>
          <w:sz w:val="20"/>
          <w:shd w:fill="FFFFFF" w:val="clear"/>
        </w:rPr>
        <w:t>IDEA requires that these children and young adults receive care from speech language pathologists, physical therapists, occupational therapists, nurses, and other healthcare professionals while at school.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Macro Drivers of Demand.</w:t>
      </w:r>
      <w:r>
        <w:rPr>
          <w:color w:val="000000"/>
          <w:shd w:fill="FFFFFF" w:val="clear"/>
        </w:rPr>
        <w:t xml:space="preserve"> </w:t>
      </w:r>
      <w:r>
        <w:rPr>
          <w:rFonts w:ascii="Times New Roman;sans-serif" w:hAnsi="Times New Roman;sans-serif"/>
          <w:b w:val="false"/>
          <w:color w:val="000000"/>
          <w:sz w:val="20"/>
          <w:shd w:fill="FFFFFF" w:val="clear"/>
        </w:rPr>
        <w:t>The aging U.S. population is creating many challenges regarding elderly healthcare. By 2030, one out of every five U.S. citizens will be of retirement age. Every baby boomer will be 65 or older and the oldest close to 85. The U.S. Department of Health and Human Services estimates that a person turning 65 today has a 70% chance of requiring long-term care services at some point. As the massive baby boomer generation ages, demand for nursing facilities will continue to climb. According to a survey by the American Health Care Association and National Center for Assisted Living, 87% of nursing homes deal with moderate to high staffing shortages, and 61% limit new admissions due to workforce issues.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an alternative to address these challenges, PACE, a Medicare/Medicaid at-home care program, was created for older adults and people over age 55 living with disabilities. This program provides community-based care and services to people who otherwise would need nursing home levels of care. An Aging in Place study showed that 70% of respondents preferred to age at home. The focus of every PACE organization is to help individuals live in the community for as long as possible. To meet this goal, these organizations focus on preventive care. According to the National PACE Association (NPA), seniors over the age of 65 represent 83% of its members, and 17% of its members are between the ages of 55 and 64. Although all people enrolled in this program are eligible for nursing home care, less than 5% live in nursing homes. On average, states pay PACE programs 12% less than the cost of caring for a comparable population through other Medicaid services, including nursing homes.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 2025, the Senator Elizabeth Dole 21st Century Veterans Healthcare and Benefits Improvement Act became law, introducing significant enhancements to healthcare services for U.S. veterans. A central component of the legislation is the expansion of access to PACE. The act guarantees that veterans who qualify for healthcare benefits through the U.S. Department of Veterans Affairs and require home and community-based services, including long-term care services and support, can receive these services at home through PACE. Additionally, the initiative aims to expand PACE facilities and services, addressing gaps in care, improving the quality of tailored healthcare for veterans, and reducing avoidable hospitalizations.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Competition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one of the largest providers of workforce solutions and healthcare staffing in the U.S., Cross Country operates on a national, regional, and local basis in a highly competitive industry for both healthcare customers and healthcare professionals. In general, we compete against other national companies, as well as numerous smaller, regional, and local companies.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competitive factors in attracting, retaining, and expanding business with healthcare customers nationally include: (i) understanding the customer’s environment; (ii) offering a comprehensive suite of services to assist in assessing personnel needs; (iii) partnering with customers to design various customizable alternative solutions; (iv) timely filling of customers’ needs; (v) price; (vi) customer service; (vii) quality assurance and screening capabilities; (viii) risk management policies; (ix) insurance coverage; and (x) general industry reputation.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Through our breadth of and expertise in value-added workforce solutions and tech-enabled services, we have the ability to meet a national shift towards a more integrated delivery of healthcare, which allows us to assist hospitals and health systems turning to</w:t>
      </w:r>
      <w:r>
        <w:rPr>
          <w:color w:val="000000"/>
        </w:rPr>
        <w:t xml:space="preserve"> </w:t>
      </w:r>
      <w:r>
        <w:rPr>
          <w:rFonts w:ascii="Times New Roman;sans-serif" w:hAnsi="Times New Roman;sans-serif"/>
          <w:b w:val="false"/>
          <w:color w:val="000000"/>
          <w:sz w:val="20"/>
        </w:rPr>
        <w:t>lower-cost, more accessible alternatives, such as outpatient or ambulatory care centers. In today’s environment, healthcare systems are seeking alternatives to lower costs, with a trend towards vendor neutral and tech-enabled platforms. Our new technology solutions, such as Intellify</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help our customers better manage their spend. By offering travel, per diem, and permanent placement for a variety of healthcare professionals, we are able to present many different types of personnel to hospitals and health systems at their main campuses and their ambulatory and outpatient facilities.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competitive factors in attracting qualified healthcare professionals for temporary employment include: (i) a large national pool of desirable assignments; (ii) pay and benefits; (iii) speed of placements; (iv) customer service; (v) quality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accommodations; and (vi) overall industry reputation. We focus on retaining healthcare professionals by providing high-quality customer service, long-term benefits (to employees), and medical malpractice insurance.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From a candidate attraction standpoint, we have an extensive customer base with hospitals, healthcare facilities, and other healthcare providers throughout the U.S. As a result, we have a diverse portfolio of assignments for healthcare professionals to choose from. Healthcare professionals apply with us through our differentiated nursing, locum tenens, and allied healthcare recruitment brands. We believe our access to such a large and diverse group of healthcare professionals makes us more attractive to healthcare institutions and facilities seeking healthcare staffing and workforce solutions in the current marketplace. Our applicant tracking system for our travel nurse and allied professionals business provides a world-class candidate experience. Our self-service candidate portal, Xperience</w:t>
      </w:r>
      <w:r>
        <w:rPr>
          <w:rFonts w:ascii="Times New Roman;sans-serif" w:hAnsi="Times New Roman;sans-serif"/>
          <w:b w:val="false"/>
          <w:color w:val="000000"/>
          <w:sz w:val="13"/>
        </w:rPr>
        <w:t>TM</w:t>
      </w:r>
      <w:r>
        <w:rPr>
          <w:rFonts w:ascii="Times New Roman;sans-serif" w:hAnsi="Times New Roman;sans-serif"/>
          <w:b w:val="false"/>
          <w:color w:val="000000"/>
          <w:sz w:val="20"/>
        </w:rPr>
        <w:t>, provides travel and allied professionals with real-time matching to open positions.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Staffing Industry Analysts recognized us as a leading healthcare staffing firm in the U.S., with 3.5% market share in 2023. We rank as one of the largest firms in travel nurse staffing, per diem nurse staffing, allied healthcare staffing, and locum tenens. Some of our traditional competitors in the workforce solutions, healthcare staffing, and search businesses include: Aya Healthcare, Medical Solutions, AMN Healthcare Services, CHG Healthcare Services, Amergis, Jackson Healthcare, Ingenovis Health, Hallmark Healthcare Staffing, RightSourcing, American Healthcare Services Association, Favorite Staffing, GHR Healthcare, SimpliFi, and HealthTrust Workforce Solutions (HCA). The market continues to evolve with new competitors entering the industry as barriers to entry are fairly low, especially for other non-clinical staffing companies.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Seasonality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healthcare professionals on assignment with us is subject to seasonal fluctuations which may impact quarterly revenue and earnings. Hospital patient census and staffing needs of hospital and healthcare facilities may fluctuate, for example, during flu season. This seasonality of revenue and earnings may vary due to a variety of factors and the results of any one quarter are not necessarily indicative of the results to be expected for any other quarter or for any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staffing businesses brands are certified by The Joint Commission under its Health Care Staffing Services Certification Program. The Joint Commission is the recognized global leader for healthcare accreditation. Certification promotes a culture of excellence across the organization and is recognized nationwide as a symbol of quality that reflects an organization’s commitment to meeting certain performance standards. Cross Country is</w:t>
      </w:r>
      <w:r>
        <w:rPr>
          <w:color w:val="000000"/>
          <w:shd w:fill="FFFFFF" w:val="clear"/>
        </w:rPr>
        <w:t xml:space="preserve"> </w:t>
      </w:r>
      <w:r>
        <w:rPr>
          <w:rFonts w:ascii="Times New Roman;sans-serif" w:hAnsi="Times New Roman;sans-serif"/>
          <w:b w:val="false"/>
          <w:color w:val="000000"/>
          <w:sz w:val="20"/>
          <w:shd w:fill="FFFFFF" w:val="clear"/>
        </w:rPr>
        <w:t>the first publicly traded staffing firm to obtain The Joint Commission Certification, which it still holds with a Letter of Distinction. In 2024, the Company was once again certified by The Joint Commission with no deficiencies.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Regulations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regulations by numerous governmental authorities in the jurisdictions in which we operate throughout the U.S. Complex federal and state laws and regulations govern, among other things, the licensure of professionals, the payment of our employees (e.g., wage and hour laws, employment taxes, and income tax withholdings), state licensing and reporting requirements, privacy, and our general operations, which may be amended from time to time. Future federal and state legislation or interpretations thereof may require us to change our business practices. Compliance with all of these applicable rules and regulations requires a significant amount of resources. We endeavor to be in compliance with all such rules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Corporate Social Responsibility (CSR)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(Board) regularly meets with management to discuss CSR-related topics.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CSR Overview - 2024 Highlights:</w:t>
      </w:r>
    </w:p>
    <w:p>
      <w:pPr>
        <w:pStyle w:val="TextBody"/>
        <w:bidi w:val="0"/>
        <w:spacing w:before="0" w:after="0"/>
        <w:jc w:val="left"/>
        <w:rPr/>
      </w:pPr>
      <w:r>
        <w:rPr/>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We remain steadfast in our commitment to accelerate employability and access to career growth, continue to be a preferred employer, partner with our customers, and drive positive social impacts.</w:t>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 xml:space="preserve">Our approach is informed by topics assessed as critical to the business by internal and external stakeholders such as, but not limited to, strong corporate governance, risk oversight and management, business ethics, talent attraction and retention, career development, training and education, safety, health and wellness, technology innovation, and access to quality healthcare.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Our Board has full responsibility for risk oversight, which occurs at the full Board level and at committees assigned critical risks. The CEO and executive leadership are responsible for alignment of CSR commitments and business strategy. Senior management outlines programs and assigns resources to support CSR commitments and mitigate risk. Executive leadership reports to and consults with both the Board and Board committees regularly to assess CSR risks and program performance.</w:t>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We aim to accelerate employability and continue to be a preferred employer for candidates by connecting them to positions that are meaningful and conducive to career growth through our Xperience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technology. We continue to support healthcare professionals’ needs through a 24/7 hotline, specialized teams, and education and training tuition discount opportunities.</w:t>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We are committed to supporting our communities through several charities.</w:t>
      </w:r>
      <w:r>
        <w:rPr>
          <w:color w:val="000000"/>
          <w:shd w:fill="FFFFFF" w:val="clear"/>
        </w:rPr>
        <w:t xml:space="preserve"> </w:t>
      </w:r>
      <w:r>
        <w:rPr>
          <w:rFonts w:ascii="Times New Roman;sans-serif" w:hAnsi="Times New Roman;sans-serif"/>
          <w:b w:val="false"/>
          <w:color w:val="000000"/>
          <w:sz w:val="20"/>
          <w:shd w:fill="FFFFFF" w:val="clear"/>
        </w:rPr>
        <w:t>We remain a loyal supporter of the American Red Cross, Leukemia and Lymphoma Society, American Heart Association, Random Acts of Flowers, Alzheimer’s Association, American Rivers, and Mission 22, among others.</w:t>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 xml:space="preserve">In 2024, Employee Resource Groups have offered insights and support to their members and promoted meaningful advances, such as the addition of parental support resource benefits.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shd w:fill="FFFFFF" w:val="clear"/>
        </w:rPr>
        <w:t>Awards</w:t>
      </w:r>
      <w:r>
        <w:rPr>
          <w:rFonts w:ascii="Times New Roman;sans-serif" w:hAnsi="Times New Roman;sans-serif"/>
          <w:b w:val="false"/>
          <w:color w:val="000000"/>
          <w:sz w:val="20"/>
          <w:shd w:fill="FFFFFF" w:val="clear"/>
        </w:rPr>
        <w:t>. Cross Country Healthcare was named to ClearlyRated’s 2023 Inaugural Best Staffing Firms for Women and has been Certified™ by Great Place to Work</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for four consecutive years. We have recently been recognized with a Best Company Culture Award™ and Best Company for Diversity Award™, among others, from Comparably, and were named in the 2024 Best Companies to Work For on U.S. News &amp; World Report’s list. Cross Country has received Newsweek Magazine's Most Loved Workplace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certification in 2023 and 2024, along with the Most Loved Workplaces for Wellness 2024. The Newsweek award is supported by research from Best Practice Institute (BPI).</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shd w:fill="FFFFFF" w:val="clear"/>
        </w:rPr>
        <w:t>Corporate Governance</w:t>
      </w:r>
      <w:r>
        <w:rPr>
          <w:rFonts w:ascii="Times New Roman;sans-serif" w:hAnsi="Times New Roman;sans-serif"/>
          <w:b w:val="false"/>
          <w:color w:val="000000"/>
          <w:sz w:val="20"/>
          <w:shd w:fill="FFFFFF" w:val="clear"/>
        </w:rPr>
        <w:t>. We believe a framework that supports integrity and high ethical standards is key to the long-term success of our business. This framework is the foundation of trust with employees, customers and vendors and is of the utmost importance in all that we do. The Board oversees the Company’s enterprise risk management function to help ensure that communication among the Board, its committees and management on risk, strategic, ESG, cybersecurity, and other matters is open, continuous, and robust.</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Human Capital Management</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we had approximately 1,400 corporate employees. During 2024, we employed an average of 8,205 full-time equivalent field employees in Nurse and Allied Staffing, which does not include our Physician Staffing independent contractors.</w:t>
      </w:r>
    </w:p>
    <w:p>
      <w:pPr>
        <w:pStyle w:val="TextBody"/>
        <w:bidi w:val="0"/>
        <w:spacing w:before="0" w:after="6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objective is to provide a clean, safe, and healthy workplace for our employees and to help preserve the environment of the communities we serve by monitoring and mitigating any undesired effect of our business activities on the environment. We’ve embraced an ongoing effort aimed at reducing our use of finite resources, including our paper shredding and recycling programs.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goal is to provide work conditions that enable employees to thrive in an environment that is healthy and reduces hazards and health and safety issues, as well as raising awareness on health and safety risks related to our business activities. We believe this drives employee retention and performance, thus allowing us to retain a healthy productive team. </w:t>
      </w:r>
      <w:r>
        <w:rPr>
          <w:rFonts w:ascii="Times New Roman;sans-serif" w:hAnsi="Times New Roman;sans-serif"/>
          <w:b w:val="false"/>
          <w:color w:val="000000"/>
          <w:sz w:val="20"/>
          <w:shd w:fill="FFFFFF" w:val="clear"/>
        </w:rPr>
        <w:t>As part of our health and safety program, we partner with employees to help them maintain both their physical and mental welfare by providing education on health topics, facilitating complementary health screenings, and offering resources that include a confidential support line. Our culture is infused with a growth mindset that encourages employee internal progression and retention through an array of learning and coaching resources.</w:t>
      </w:r>
      <w:r>
        <w:rPr>
          <w:color w:val="000000"/>
        </w:rPr>
        <w:t xml:space="preserve"> </w:t>
      </w:r>
      <w:r>
        <w:rPr>
          <w:rFonts w:ascii="Times New Roman;sans-serif" w:hAnsi="Times New Roman;sans-serif"/>
          <w:b w:val="false"/>
          <w:color w:val="000000"/>
          <w:sz w:val="20"/>
          <w:shd w:fill="FFFFFF" w:val="clear"/>
        </w:rPr>
        <w:t>Employees are held to the ethics standards set forth in our Code of Ethics policy, which also applies to vendors and suppliers. We aim to foster a sound, respectful, fair, and inclusive workplace and condemn all forms of unlawful and inappropriate conduct, such as violence, discrimination, intimidation, harassment, and any behavior that creates a hostile or coercive work environment. In 2024, Cross Country Healthcare was awarded Newsweek Magazine</w:t>
      </w:r>
      <w:r>
        <w:rPr>
          <w:color w:val="000000"/>
        </w:rPr>
        <w:t>’</w:t>
      </w:r>
      <w:r>
        <w:rPr>
          <w:rFonts w:ascii="Times New Roman;sans-serif" w:hAnsi="Times New Roman;sans-serif"/>
          <w:b w:val="false"/>
          <w:color w:val="000000"/>
          <w:sz w:val="20"/>
          <w:shd w:fill="FFFFFF" w:val="clear"/>
        </w:rPr>
        <w:t>s Most Loved Workplace</w:t>
      </w:r>
      <w:r>
        <w:rPr>
          <w:rFonts w:ascii="Times New Roman;sans-serif" w:hAnsi="Times New Roman;sans-serif"/>
          <w:b w:val="false"/>
          <w:color w:val="000000"/>
          <w:sz w:val="13"/>
        </w:rPr>
        <w:t>®</w:t>
      </w:r>
      <w:r>
        <w:rPr>
          <w:color w:val="000000"/>
          <w:shd w:fill="FFFFFF" w:val="clear"/>
        </w:rPr>
        <w:t xml:space="preserve"> </w:t>
      </w:r>
      <w:r>
        <w:rPr>
          <w:rFonts w:ascii="Times New Roman;sans-serif" w:hAnsi="Times New Roman;sans-serif"/>
          <w:b w:val="false"/>
          <w:color w:val="000000"/>
          <w:sz w:val="20"/>
          <w:shd w:fill="FFFFFF" w:val="clear"/>
        </w:rPr>
        <w:t>certification for a second year and named in the Best Companies to Work for - South 2024-2025 List by U.S. News &amp; World Report.</w:t>
      </w:r>
    </w:p>
    <w:p>
      <w:pPr>
        <w:pStyle w:val="TextBody"/>
        <w:bidi w:val="0"/>
        <w:spacing w:before="0" w:after="0"/>
        <w:jc w:val="left"/>
        <w:rPr/>
      </w:pPr>
      <w:r>
        <w:rPr/>
      </w:r>
    </w:p>
    <w:p>
      <w:pPr>
        <w:pStyle w:val="TextBody"/>
        <w:bidi w:val="0"/>
        <w:spacing w:lineRule="auto" w:line="27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be successful in our marketplace directly depends on attracting and retaining talented and skilled employees, and keeping those individuals fully engaged in our business. Through our adoption of a Human Rights and Labor Rights Policy guided by the International Labour Organization Declaration on Fundamental Principles, our goal is to help increase the enjoyment of human rights within the communities in which we operate. This policy sets forth our intolerance of discrimination and harassment, our employees’ freedom of association, and the importance we place on the safety and health of our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Compensation and Benefits.</w:t>
      </w:r>
      <w:r>
        <w:rPr>
          <w:color w:val="000000"/>
        </w:rPr>
        <w:t xml:space="preserve"> </w:t>
      </w:r>
      <w:r>
        <w:rPr>
          <w:rFonts w:ascii="Times New Roman;sans-serif" w:hAnsi="Times New Roman;sans-serif"/>
          <w:b w:val="false"/>
          <w:color w:val="000000"/>
          <w:sz w:val="20"/>
          <w:shd w:fill="FFFFFF" w:val="clear"/>
        </w:rPr>
        <w:t>We are committed to rewarding, supporting, and developing the associates who make it possible to deliver on our strategy. To that end, we offer a comprehensive total rewards program aimed at the varying health, home-life, and financial needs of our diverse corporate associates. Our total corporate rewards package includes market-competitive pay, healthcare benefits, retirement savings plans, paid time off and family leave, various discount programs, and tuition assistance.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shd w:fill="FFFFFF" w:val="clear"/>
        </w:rPr>
        <w:t xml:space="preserve">Health and Wellness. </w:t>
      </w:r>
      <w:r>
        <w:rPr>
          <w:rFonts w:ascii="Times New Roman;sans-serif" w:hAnsi="Times New Roman;sans-serif"/>
          <w:b w:val="false"/>
          <w:color w:val="000000"/>
          <w:sz w:val="20"/>
        </w:rPr>
        <w:t>We are committed to the physical and mental health and well-being of our employees. Among other things, we are primarily a remote workforce. We also provide free biometric healthcare screenings, a 24/7 hotline for healthcare workers who are experiencing emotional stress, and incentives to employees who achieve specific fitness goals through our “Burnalong” wellness challenge. Our wellness activity calendar features weekly and monthly events and educational sessions to help employees reach and maintain their health and wellness goals. Monthly well-being newsletters focus on physical, mental, and financial wellness topics of interest. We also mark one or more health observances every month, such as heart health, high blood pressure awareness, men’s health, children’s dental health, and more, which provide additional resources for employees to educate themselves and their families. We believe the health and well-being of our employees has a direct impact on the quality of the services they deliver, and we continue to support them through providing the Compassion Fund for corporate employees suffering financial hardships, offering a paid volunteer day off for corporate employees to serve our communities, providing a psychologist and group therapy as needed, and providing a SaaS-based platform to all of our employees, and up to four family members, for free so they can stay connected through a universe of classes (e.g., yoga, language, psychology, and many others).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Talent Development</w:t>
      </w:r>
      <w:r>
        <w:rPr>
          <w:rFonts w:ascii="Times New Roman;sans-serif" w:hAnsi="Times New Roman;sans-serif"/>
          <w:b/>
          <w:color w:val="000000"/>
          <w:sz w:val="20"/>
        </w:rPr>
        <w:t xml:space="preserve">. </w:t>
      </w:r>
      <w:r>
        <w:rPr>
          <w:rFonts w:ascii="Times New Roman;sans-serif" w:hAnsi="Times New Roman;sans-serif"/>
          <w:b w:val="false"/>
          <w:color w:val="000000"/>
          <w:sz w:val="20"/>
        </w:rPr>
        <w:t>Our mission regarding talent management and development is to support organizational results and success by employing strategies to attract, engage, develop, and retain employees, and to partner with our leaders to nurture and grow leadership talent. These investments include providing clear insight into employee performance, creating career paths, promoting from within whenever possible, maintaining open communication, and offering professional development opportunities. We employ Dayforce, a human resources system which features a fully interactive learning management module, where employees can access professional development resources, such as skills training courses. We offer Career Pathing, a system that allows employees to create a path to help guide their career development and growth within the Company. We partner with Strayer University, Excelsior University, and Capella University to provide our employees with access to flexible degree programs at a discounted cost. In 2023, we launched an enterprise mentorship program and a new career pathing program called Cross Country University. Through our annual Innovation Challenge, employees voice original ideas to improve our operations with the chance to win a monetary award. We have also embraced the Nursing Now pledge by reinforcing investment in the workforce, continuing to promote nurses to management roles, and providing guidance and support on best nursing practices through our dedicated clinical team. Nursing Now is a global campaign aimed at improving health by raising the status and profile of nursing.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Community and Social Impact.</w:t>
      </w:r>
      <w:r>
        <w:rPr>
          <w:color w:val="000000"/>
        </w:rPr>
        <w:t xml:space="preserve"> </w:t>
      </w:r>
      <w:r>
        <w:rPr>
          <w:rFonts w:ascii="Times New Roman;sans-serif" w:hAnsi="Times New Roman;sans-serif"/>
          <w:b w:val="false"/>
          <w:color w:val="000000"/>
          <w:sz w:val="20"/>
        </w:rPr>
        <w:t>We participate in numerous events with a variety of non-profit organizations. Our mission to deliver quality patient care extends to our community and we are committed to action that fosters positive impact in our community and around the U.S. Our human resources department develops and implements programs to help our employees realize their potential through volunteering and supporting our communities. Employees are able to take paid time off to perform volunteer activities, and are able to donate to certain charities directly from their pay, either as a one-time or ongoing donation.</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Additional Information</w:t>
      </w:r>
    </w:p>
    <w:p>
      <w:pPr>
        <w:pStyle w:val="TextBody"/>
        <w:bidi w:val="0"/>
        <w:spacing w:lineRule="auto" w:line="288" w:before="0" w:after="0"/>
        <w:jc w:val="left"/>
        <w:rPr/>
      </w:pPr>
      <w:r>
        <w:rPr>
          <w:rFonts w:ascii="Times New Roman;sans-serif" w:hAnsi="Times New Roman;sans-serif"/>
          <w:b w:val="false"/>
          <w:color w:val="000000"/>
          <w:sz w:val="20"/>
        </w:rPr>
        <w:t xml:space="preserve">Financial reports and filings with the SEC, including this Annual Report on Form 10-K, are available free of charge as soon as reasonably practicable after filing such material with, or furnishing it to, the SEC, on or through our corporate website at www.crosscountry.com. References to websites contained in this Annual Report on Form 10-K are intended to be inactive textual references only. The information found on our website is not part of this Annual Report on Form 10-K or any other report we file with or furnish to the SEC. The SEC also maintains a website at </w:t>
      </w:r>
      <w:r>
        <w:rPr>
          <w:rFonts w:ascii="Times New Roman;sans-serif" w:hAnsi="Times New Roman;sans-serif"/>
          <w:b w:val="false"/>
          <w:color w:val="0563C1"/>
          <w:sz w:val="20"/>
        </w:rPr>
        <w:t>www.sec.gov</w:t>
      </w:r>
      <w:r>
        <w:rPr>
          <w:color w:val="000000"/>
        </w:rPr>
        <w:t xml:space="preserve"> </w:t>
      </w:r>
      <w:r>
        <w:rPr>
          <w:rFonts w:ascii="Times New Roman;sans-serif" w:hAnsi="Times New Roman;sans-serif"/>
          <w:b w:val="false"/>
          <w:color w:val="000000"/>
          <w:sz w:val="20"/>
        </w:rPr>
        <w:t>that contains reports, proxy and information statements, and other information regarding issuers that file electronically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risk factors could materially and adversely affect our future operating results and could cause actual results to differ materially from those predicted in the forward-looking statements we make about our business. Our risks are identified primarily through dialogue with our leaders, including a formal Enterprise Risk assessment, industry trends, our experience, and consideration of the current external market and financial environment. These risk factors are considered in our overall strategy and execution of operations. Factors we currently consider immaterial and factors we currently do not know may also materially adversely affect our business or our consolidated results, financial condition, or cash flows.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Economic, and Industry Risks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operations and financial results may be affected by pandemics, epidemics, or other public health crises.</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a pandemic, epidemic, or other public health crisis, certain of our healthcare professionals may be exposed to disease, diagnosed with an illness and/or quarantined as a result of illness. Healthcare workers can become burned out from the emotional and physical stress of a prolonged pandemic, which may result in shortage of supply if core staff members leave their jobs. If, as a result of such risks, our healthcare professionals do not want to, or are not able to provide services, it could negatively impact our supply and ability to provide staffing services to our customers. In addition, census at healthcare facilities continues to vary for many reasons. All of these effects can result in reduced demand for our services or the cancellation of our healthcare professionals working at those facilities or under contract to provide services at those facilities in the future. These effects may also create specific demand in certain specialties and in specific regions of the country.</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financial impact to our healthcare customers from any pandemic, epidemic, outbreak of an infectious disease or other public health crisis may also impact their ability to pay for our services timely or altogether, including invoices for services provided prior to such an event that were in process. Such a failure to pay for our services timely or altogether would have an impact on our collections, resulting in a negative financial impact on our Company.</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Global economic conditions and the effect of economic pressures could lead to decreases in demand or pricing for our services, which would adversely affect the profitability of our business.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Uncertainties in global economic conditions that are beyond our control have in the past impacted our business and may in the future materially adversely affect our business, results of operations, financial condition, and stock price. These adverse economic conditions include economic downturns, inflation, recession, slow recovery or growth, new or increased tariffs and other taxes, changes to fiscal and monetary policy, higher interest rates, high unemployment, decreased consumer confidence in the economy, armed hostilities, foreign currency exchange rate fluctuations, conditions affecting the market for temporary staffing services, and other unexpected events, including public health crises.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decrease or stagnation in the general level of in-patient admissions, out-patient services, or government reimbursements at or to our customers’ facilities could lead to decreases in demand or pricing for our services. When a hospital’s admissions increase, temporary employees or other healthcare professionals are often added before full-time employees are hired. As admissions decrease, customers typically reduce their use of temporary employees or other healthcare professionals before undertaking layoffs of their permanent employees. In periods of economic downturn or high inflation, permanent healthcare staff generally work more hours, resulting in fewer vacancies and less demand for our services. Decreases in demand or pricing for our services may also affect our ability to provide attractive assignments to our healthcare professionals. Any substantial economic downturn, including significant inflationary pressures, could have a material adverse effect on our business, financial condition, or operating results.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may face challenges competing in the marketplace if we are unable to anticipate and quickly respond to changing marketplace conditions, such as alternative modes of healthcare delivery, reimbursement, and customer needs.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Patient delivery settings continue to evolve, including potential changes related to artificial intelligence (AI), giving rise to alternative modes of healthcare delivery, such as retail medicine, telemedicine, and home health. Our success is dependent upon our ability to develop innovative workforce solutions and quickly adapt to changing marketplace conditions and client needs, including making modifications to our technologies and evolving our technology platform, which may differentiate our services and abilities from those of our competitors. The markets in which we compete are highly competitive and our competitors may respond more quickly to new or emerging customer needs and marketplace conditions. Uncertainty regarding or changes to federal healthcare law and the willingness of our hospital, healthcare facilities and physician group customers to develop their own temporary staffing pools, replace core staff who have resigned or retired, or to increase the productivity of their permanent staff may, individually or in the aggregate, significantly affect demand for our temporary healthcare staffing services and may hamper our ability to attract, develop, and retain customers. In addition, if hospitals continue to consolidate in an effort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enhance their market positions, improve operational efficiency, hire permanent replacements to replace core staff, and create organizations capable of managing population health, demand for our services could decrease. The staffing industry has experienced a marked decline in revenue in the post-COVID era in light of shifting customer needs.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of new service lines and business models using advanced technology solutions, including but not limited to AI, requires us to be at the forefront of emerging trends in the healthcare industry. We may face challenges competing in the marketplace if we are unable to quickly adapt our business model and successfully implement innovative services and solutions to address these changes.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i/>
          <w:color w:val="000000"/>
          <w:sz w:val="20"/>
        </w:rPr>
        <w:t>Market disruptions or downturns may adversely affect our, or our customer’s, operating results and financial condition</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Economic conditions and volatility in the financial markets may have an adverse impact on the availability of credit to us and to our customers and businesses generally. Conditions in the credit markets and the economy generally could adversely impact our business and limit or prohibit us from refinancing our credit agreements on terms favorable to us or at all when they become due. To the extent that disruption in the financial markets occurs, it has the potential to materially affect our and our customers’ ability to tap into debt and/or equity markets to continue ongoing operations, have access to cash, and/or pay debts as they come due. Although we monitor our credit risks to specific customers that we believe may present credit concerns, default risk or lack of access to liquidity may result from events or circumstances that are difficult to detect or foresee and this could have a material negative impact to our financial results.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are subject to business and regulatory risks associated with international operations.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international operations in India where our Cross Country Infotech, Pvt Ltd. (Infotech) subsidiary is located. Infotech provides in-house information systems development and support services, as well as some back-office processing services. We have limited experience in supporting our services outside of North America. Operations in certain markets are subject to risks inherent in international business activities, including: (i) fluctuations in currency exchange rates; (ii) changes in regulations; (iii) varying economic and political conditions; (iv) overlapping or differing tax structures; (v) regulations (pertaining to, among other things, compensation and benefits, vacation, and the termination of employment); and (vi) privacy and security issues. Our inability to effectively manage our international operations, the security and/or privacy of the systems we use internationally, or our violation of any regulation could result in increased costs and adversely affect our results of operations.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Our financial results could be adversely impacted by the loss of key management or corporate employee turnover.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successful execution of our business strategy and our ability to build upon significant recent investments and acquisitions depends on the continued employment of key members of our management team and corporate employees. If we were to lose any key personnel, we may not be able to find an appropriate replacement on a timely basis and our results of operations could be negatively affected. Further, the loss of a significant number of employees or our inability to hire a sufficient number of qualified employees could have a material adverse effect on our business.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Our customers may terminate or not renew their contracts with us.</w:t>
      </w:r>
    </w:p>
    <w:p>
      <w:pPr>
        <w:pStyle w:val="TextBody"/>
        <w:bidi w:val="0"/>
        <w:spacing w:lineRule="auto" w:line="288" w:before="0" w:after="0"/>
        <w:jc w:val="left"/>
        <w:rPr/>
      </w:pPr>
      <w:r>
        <w:rPr>
          <w:rFonts w:ascii="Times New Roman;sans-serif" w:hAnsi="Times New Roman;sans-serif"/>
          <w:b w:val="false"/>
          <w:color w:val="000000"/>
          <w:sz w:val="20"/>
        </w:rPr>
        <w:t>Our arrangements with hospitals, healthcare facilities, physician group, PACE, and education customers are generally terminable by the customer upon 30 to 90 days’ notice.</w:t>
      </w:r>
      <w:r>
        <w:rPr>
          <w:color w:val="000000"/>
          <w:shd w:fill="FFFFFF" w:val="clear"/>
        </w:rPr>
        <w:t xml:space="preserve"> </w:t>
      </w:r>
      <w:r>
        <w:rPr>
          <w:rFonts w:ascii="Times New Roman;sans-serif" w:hAnsi="Times New Roman;sans-serif"/>
          <w:b w:val="false"/>
          <w:color w:val="000000"/>
          <w:sz w:val="20"/>
          <w:shd w:fill="FFFFFF" w:val="clear"/>
        </w:rPr>
        <w:t>These customers</w:t>
      </w:r>
      <w:r>
        <w:rPr>
          <w:color w:val="000000"/>
        </w:rPr>
        <w:t xml:space="preserve"> </w:t>
      </w:r>
      <w:r>
        <w:rPr>
          <w:rFonts w:ascii="Times New Roman;sans-serif" w:hAnsi="Times New Roman;sans-serif"/>
          <w:b w:val="false"/>
          <w:color w:val="000000"/>
          <w:sz w:val="20"/>
        </w:rPr>
        <w:t xml:space="preserve">are focused on cost-saving measures and, </w:t>
      </w:r>
      <w:r>
        <w:rPr>
          <w:rFonts w:ascii="Times New Roman;sans-serif" w:hAnsi="Times New Roman;sans-serif"/>
          <w:b w:val="false"/>
          <w:color w:val="000000"/>
          <w:sz w:val="20"/>
          <w:shd w:fill="FFFFFF" w:val="clear"/>
        </w:rPr>
        <w:t>more recently</w:t>
      </w:r>
      <w:r>
        <w:rPr>
          <w:rFonts w:ascii="Times New Roman;sans-serif" w:hAnsi="Times New Roman;sans-serif"/>
          <w:b w:val="false"/>
          <w:color w:val="000000"/>
          <w:sz w:val="20"/>
        </w:rPr>
        <w:t xml:space="preserve">, the number of </w:t>
      </w:r>
      <w:r>
        <w:rPr>
          <w:rFonts w:ascii="Times New Roman;sans-serif" w:hAnsi="Times New Roman;sans-serif"/>
          <w:b w:val="false"/>
          <w:color w:val="000000"/>
          <w:sz w:val="20"/>
          <w:shd w:fill="FFFFFF" w:val="clear"/>
        </w:rPr>
        <w:t xml:space="preserve">request for proposal </w:t>
      </w:r>
      <w:r>
        <w:rPr>
          <w:rFonts w:ascii="Times New Roman;sans-serif" w:hAnsi="Times New Roman;sans-serif"/>
          <w:b w:val="false"/>
          <w:color w:val="000000"/>
          <w:sz w:val="20"/>
        </w:rPr>
        <w:t>(RFPs) appears to have increased.</w:t>
      </w:r>
      <w:r>
        <w:rPr>
          <w:color w:val="000000"/>
        </w:rPr>
        <w:t xml:space="preserve"> </w:t>
      </w:r>
      <w:r>
        <w:rPr>
          <w:rFonts w:ascii="Times New Roman;sans-serif" w:hAnsi="Times New Roman;sans-serif"/>
          <w:b w:val="false"/>
          <w:color w:val="000000"/>
          <w:sz w:val="20"/>
        </w:rPr>
        <w:t>As a result, we may lose customers if our customers issue RFPs and choose to contract with one of our competitors instead of us. We may have fixed costs, such as housing costs, associated with terminated arrangements that we will be obligated to pay post-termination, thus negatively impacting our profitability. In addition, the loss of one or more of our large customers could materially and adversely affect our profitability.</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If our healthcare facility customers increase the use of intermediary organizations, it could impact our profitability and our ability to secure contracts with customers.</w:t>
      </w:r>
    </w:p>
    <w:p>
      <w:pPr>
        <w:pStyle w:val="TextBody"/>
        <w:bidi w:val="0"/>
        <w:spacing w:lineRule="auto" w:line="288" w:before="0" w:after="160"/>
        <w:jc w:val="left"/>
        <w:rPr/>
      </w:pPr>
      <w:r>
        <w:rPr>
          <w:rFonts w:ascii="Times New Roman;sans-serif" w:hAnsi="Times New Roman;sans-serif"/>
          <w:b w:val="false"/>
          <w:color w:val="000000"/>
          <w:sz w:val="20"/>
        </w:rPr>
        <w:t xml:space="preserve">We continue to see our customers use intermediary organizations and an increase in the use of side-by-side managed service providers. Intermediaries typically enter into contracts with hospitals or health systems and then subcontract with us and other agencies to provide staffing services, thus interfering to some extent in our relationship with our customers. Each of these intermediaries charges an administrative fee. In instances where we do not win new MSP opportunities or where other vendors win this MSP, a side-by-side MSP opportunity, or vendor management system </w:t>
      </w:r>
      <w:r>
        <w:rPr>
          <w:rFonts w:ascii="Times New Roman;sans-serif" w:hAnsi="Times New Roman;sans-serif"/>
          <w:b w:val="false"/>
          <w:color w:val="000000"/>
          <w:sz w:val="20"/>
          <w:shd w:fill="FFFFFF" w:val="clear"/>
        </w:rPr>
        <w:t>(VMS)</w:t>
      </w:r>
      <w:r>
        <w:rPr>
          <w:color w:val="000000"/>
        </w:rPr>
        <w:t xml:space="preserve"> </w:t>
      </w:r>
      <w:r>
        <w:rPr>
          <w:rFonts w:ascii="Times New Roman;sans-serif" w:hAnsi="Times New Roman;sans-serif"/>
          <w:b w:val="false"/>
          <w:color w:val="000000"/>
          <w:sz w:val="20"/>
        </w:rPr>
        <w:t xml:space="preserve">business with our current customers, the number of professionals we have on assignment at those customers and/or our spend under management could decrease. If we are unable to negotiate hourly rates with intermediaries for the services we provide to these customers which are sufficient to cover administrative fees charged by those intermediaries, it could impact our profitability. If hospitals fail to pay the intermediaries for our services or those intermediaries become insolvent or fail to pay us for our services, it could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bad debt expense and thus our overall profitability. We also provide comprehensive MSP and other workforce solutions directly to certain of our customers. While such contracts typically improve our market share at these facilities, they could result in less diversification of our customer base, increased liability, and reduced margins.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Our costs of providing services may rise faster than we are able to adjust our bill rates and pay rates and, as a result, our margins could decline and our profitability could be adversely impacted.</w:t>
      </w:r>
    </w:p>
    <w:p>
      <w:pPr>
        <w:pStyle w:val="TextBody"/>
        <w:bidi w:val="0"/>
        <w:spacing w:lineRule="auto" w:line="288" w:before="0" w:after="160"/>
        <w:jc w:val="left"/>
        <w:rPr/>
      </w:pPr>
      <w:r>
        <w:rPr>
          <w:rFonts w:ascii="Times New Roman;sans-serif" w:hAnsi="Times New Roman;sans-serif"/>
          <w:b w:val="false"/>
          <w:color w:val="000000"/>
          <w:sz w:val="20"/>
        </w:rPr>
        <w:t>Costs of providing our services and regulatory changes to required wages could change more quickly than we are able to renegotiate bill rates in our active customer contracts and pay rates with our</w:t>
      </w:r>
      <w:r>
        <w:rPr>
          <w:color w:val="000000"/>
          <w:shd w:fill="FFFFFF" w:val="clear"/>
        </w:rPr>
        <w:t xml:space="preserve"> </w:t>
      </w:r>
      <w:r>
        <w:rPr>
          <w:rFonts w:ascii="Times New Roman;sans-serif" w:hAnsi="Times New Roman;sans-serif"/>
          <w:b w:val="false"/>
          <w:color w:val="000000"/>
          <w:sz w:val="20"/>
          <w:shd w:fill="FFFFFF" w:val="clear"/>
        </w:rPr>
        <w:t xml:space="preserve">thousands </w:t>
      </w:r>
      <w:r>
        <w:rPr>
          <w:rFonts w:ascii="Times New Roman;sans-serif" w:hAnsi="Times New Roman;sans-serif"/>
          <w:b w:val="false"/>
          <w:color w:val="000000"/>
          <w:sz w:val="20"/>
        </w:rPr>
        <w:t>of healthcare professionals. For example, we offer housing subsidies to some of our healthcare professionals or directly provide housing to other healthcare professionals. The cost of subsidizing housing or renting apartments and furniture for these healthcare professionals may increase faster than we are able to renegotiate our rates with our customers, and this may have a negative impact on our profitability. In addition, an increase in other incremental costs beyond our control, such as insurance, could negatively affect our financial results. The costs related to obtaining and maintaining professional and general liability insurance, health insurance, and workers’ compensation insurance for healthcare providers has generally been increasing. This could have an adverse impact on our financial condition unless we are able to pass these costs through to our customers or renegotiate pay rates with our healthcare providers.</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Operational Risks</w:t>
      </w:r>
    </w:p>
    <w:p>
      <w:pPr>
        <w:pStyle w:val="TextBody"/>
        <w:bidi w:val="0"/>
        <w:spacing w:lineRule="auto" w:line="288" w:before="0" w:after="160"/>
        <w:jc w:val="left"/>
        <w:rPr/>
      </w:pPr>
      <w:r>
        <w:rPr>
          <w:rFonts w:ascii="Times New Roman;sans-serif" w:hAnsi="Times New Roman;sans-serif"/>
          <w:b/>
          <w:i/>
          <w:color w:val="000000"/>
          <w:sz w:val="20"/>
          <w:shd w:fill="FFFFFF" w:val="clear"/>
        </w:rPr>
        <w:t>We are depend</w:t>
      </w:r>
      <w:r>
        <w:rPr>
          <w:rFonts w:ascii="Times New Roman;sans-serif" w:hAnsi="Times New Roman;sans-serif"/>
          <w:b/>
          <w:i/>
          <w:color w:val="000000"/>
          <w:sz w:val="20"/>
        </w:rPr>
        <w:t>ent on the proper functioning of our information systems and applications hosted by our vendors, and our inability to implement new technology systems and infrastructure could cause disruptions to our ability to operate effectively.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the proper functioning of information systems used to operate our business, including those applications hosted by our vendors. Critical information systems used in daily operations identify and match staffing resources and customer assignments and perform billing and accounts receivable functions. Additionally, we rely on our information systems in managing our accounting and financial reporting. These systems are subject to certain risks, including technological obsolescence. We continue to evaluate the technology platforms of our businesses. If our proprietary systems of SaaS applications fail, are not successfully implemented, or are otherwise unable to function in a manner that properly supports our business operations, or if these systems require significant costs to repair, maintain, or further develop or update, we could experience business interruptions or delays that could materially and adversely affect our business and financial results.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information systems are protected through a secure hosting facility and additional backup remote processing capabilities also exist in the event our primary systems fail or are not accessible. However, our business is still vulnerable to fire, storm, flood, power loss, telecommunications failures, physical or software break-ins and other events which may prevent personnel from gaining access to systems necessary to perform their tasks in an automated fashion. In the event that critical information systems fail or are otherwise unavailable, these functions would have to be accomplished manually, which could impact our ability to, among other things, maintain billing and clinical records reliably, bill for services efficiently, and maintain our accounting and financial reporting accurately.</w:t>
      </w:r>
    </w:p>
    <w:p>
      <w:pPr>
        <w:pStyle w:val="TextBody"/>
        <w:bidi w:val="0"/>
        <w:spacing w:lineRule="auto" w:line="288" w:before="0" w:after="160"/>
        <w:jc w:val="left"/>
        <w:rPr/>
      </w:pPr>
      <w:r>
        <w:rPr>
          <w:rFonts w:ascii="Times New Roman;sans-serif" w:hAnsi="Times New Roman;sans-serif"/>
          <w:b/>
          <w:i/>
          <w:color w:val="000000"/>
          <w:sz w:val="20"/>
          <w:shd w:fill="FFFFFF" w:val="clear"/>
        </w:rPr>
        <w:t>Company and third-party computer, technology and communications hardware and software systems are vulnerable to damage, unauthor</w:t>
      </w:r>
      <w:r>
        <w:rPr>
          <w:rFonts w:ascii="Times New Roman;sans-serif" w:hAnsi="Times New Roman;sans-serif"/>
          <w:b/>
          <w:i/>
          <w:color w:val="000000"/>
          <w:sz w:val="20"/>
        </w:rPr>
        <w:t xml:space="preserve">ized access, and disruption that could expose the Company to material operational, financial, and reputational damage (including the unauthorized access to, or exposure of, personal and confidential information).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ability to manage its operations in both the U.S. and India through the use of key systems successfully is critical to its success and largely depends upon the efficient and uninterrupted operation of its computer, technology and communications systems, some of which are managed by third-party vendors. The Company’s primary systems (and, as a result, its operations) are vulnerable to damage or interruption from power outages, computer, technology and telecommunications failures, computer viruses, security breaches, catastrophic events, and errors in usage by the Company’s or its vendors’ employees and contractors. In addition, the Company’s systems contain personal and confidential information, including information of importance to the Company, and its employees, vendors, contractors, and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including attacks motivated by the desire for monetary gain, geopolitics, grievances against the business services industry in general or against the Company in particular, may disable or damage its systems or the systems of its vendors or customers, or allow unauthorized access to, or exposure of, personal or confidential information, including information about employees, vendors, candidates, contractors and customers. The Company’s security tools, controls and practices, including those relating to identity and access management, credential strength, and the security tools, controls and practices of its vendors and customers, may not prevent access, damage or disruption to Company or third-party systems or the unauthorized access to, or exposure of, personal or confidential information. There are many approaches through which such systems could be damaged or disrupted, or information exposed or accessed, including through system vulnerabilities, improperly obtaining and using user credentials, or the misuse of authorized user access.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damage or disruption to Company or third-party systems, or unauthorized access to, or exposure of, personal or confidential information, could harm the Company’s operations, reputation and brand, resulting in a loss of business or revenue. It could also subject the Company to government sanctions, litigation from candidates, contractors, customers, and employees, and legal liability under its contracts, resulting in increased costs or loss of revenue. The Company may also incur additional expenses, such as the cost of remediating incidents or improving security measures, the cost of identifying and retaining replacement vendors, increased costs of insurance, or ransomware payments.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threats continue to increase in frequency and sophistication, thereby increasing the difficulty of detecting and defending against them. Furthermore, the potential risk of security breaches and cyberattacks may increase as the Company introduces new service offerings. Any future events impacting the Company or its third-party vendors that damages or interrupts the Company's or its third-party vendors’ systems or exposes data or other confidential information could have a material adverse effect on our operations, reputation, and financial results.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Changes in data privacy and protection laws and regulations in respect of control of personal information (and the failure to comply with s</w:t>
      </w:r>
      <w:r>
        <w:rPr>
          <w:rFonts w:ascii="Times New Roman;sans-serif" w:hAnsi="Times New Roman;sans-serif"/>
          <w:b/>
          <w:i/>
          <w:color w:val="000000"/>
          <w:sz w:val="20"/>
        </w:rPr>
        <w:t>uch laws and regulations) could increase the Company’s costs or otherwise adversely impact its operations, financial results, and reputation.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collects, uses, and retains personal information from its customers, employees, employment candidates, and contractors, including, without limitation, full names, government-issued identification numbers, addresses, birthdates, and payroll-related information. The possession and use of personal information in conducting the Company’s business subjects it to a variety of complex and evolving laws and regulations regarding data privacy, which, in many cases, apply not only to third-party transfers, but also to transfers of information among the Company and its subsidiaries.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there has been a number of recently enacted state-level privacy regulations that assign specific rights to consumers, employees, and other data subjects, and imposes specific operational requirements for businesses that collect, process, and store personal information. Complying with these enhanced obligations, state-level privacy regulations (such as the California Consumer Privacy Act (CCPA) and the California Privacy Rights Act (CPRA)) and other current and future laws and regulations relating to data transfer, residency, privacy and protection have increased, and continue to increase the Company’s operating costs and require significant management time and attention. Simultaneously, any failure by the Company or its subsidiaries to comply with applicable laws could result in governmental enforcement actions, consumer actions, fines, and other penalties that could potentially have an adverse effect on the Company’s operations, financial results and reputation.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Social, ethica</w:t>
      </w:r>
      <w:r>
        <w:rPr>
          <w:rFonts w:ascii="Times New Roman;sans-serif" w:hAnsi="Times New Roman;sans-serif"/>
          <w:b/>
          <w:i/>
          <w:color w:val="000000"/>
          <w:sz w:val="20"/>
        </w:rPr>
        <w:t>l, and security issues relating to the use of AI may result in reputational harm and liability</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business operations and support activities are performed by a predominantly remote workforce. Should any of these employees utilize non-approved AI, this could result in reputational harm to the Company and have an adverse effect on its operations. In addition, we may incorporate traditional and generative AI solutions into our information systems and products which may become important in our operations over time. The ever-increasing use and evolution of technology, including AI, creates opportunities for the potential loss or misuse of personal data that we collected or used to run our business. There is also a risk that we may not have access to the technology and qualified AI personnel resources to adequately incorporate advancements into our AI initiatives. The rapid evolution of AI, including potential government regulations, will require significant resources to develop, test and maintain our platforms to help us implement AI responsibly. This may result in significantly increased business and security costs, administrative penalties, or costs related to defending legal claims.</w:t>
      </w:r>
    </w:p>
    <w:p>
      <w:pPr>
        <w:pStyle w:val="TextBody"/>
        <w:bidi w:val="0"/>
        <w:spacing w:before="0" w:after="0"/>
        <w:jc w:val="left"/>
        <w:rPr/>
      </w:pPr>
      <w:r>
        <w:rPr/>
      </w:r>
    </w:p>
    <w:p>
      <w:pPr>
        <w:pStyle w:val="TextBody"/>
        <w:bidi w:val="0"/>
        <w:spacing w:lineRule="auto" w:line="268" w:before="0" w:after="160"/>
        <w:jc w:val="left"/>
        <w:rPr/>
      </w:pPr>
      <w:r>
        <w:rPr>
          <w:rFonts w:ascii="Times New Roman;sans-serif" w:hAnsi="Times New Roman;sans-serif"/>
          <w:b/>
          <w:i/>
          <w:color w:val="000000"/>
          <w:sz w:val="20"/>
          <w:shd w:fill="FFFFFF" w:val="clear"/>
        </w:rPr>
        <w:t>We may be unab</w:t>
      </w:r>
      <w:r>
        <w:rPr>
          <w:rFonts w:ascii="Times New Roman;sans-serif" w:hAnsi="Times New Roman;sans-serif"/>
          <w:b/>
          <w:i/>
          <w:color w:val="000000"/>
          <w:sz w:val="20"/>
        </w:rPr>
        <w:t>le to recruit and retain enough quality professionals to meet our customers’ demands.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rely significantly on our ability to attract, develop, and retain professionals who possess the skills, experience and, as required, licensure necessary to meet the specified requirements of our customers. We compete for healthcare and other staffing personnel with other temporary staffing companies, as well as actual and potential customers such as healthcare facilities and physician groups, some of which seek to fill positions with either permanent or temporary employees. We rely on word-of-mouth referrals, as well as social and digital media, to attract qualified professionals. If our social and digital media strategy is not successful, our ability to attract qualified professionals could be negatively impacted.</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with a shortage of certain qualified professionals in many areas of the United States, competition for these professionals remains intense. Our ability to recruit and retain professionals depends on our ability to, among other things, offer assignments that are attractive to professionals and offer them competitive wages and benefits or payments, as applicable. Our competitors might increase hourly wages or the value of benefits to induce professionals to take assignments with them. If we do not raise wages or increase the value of benefits in response to such increases by our competitors, we could face difficulties attracting and retaining qualified professionals. If we raise wages or increase benefits in response to our competitors’ increases,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and our margins could decline. At this time, we still do not have enough nurses, allied professionals, and physicians to meet all of our customers’ demands for these staffing services. A shortage of healthcare professionals generally and the competition for their services may limit our ability to increase the number of healthcare professionals that we successfully recruit, decreasing our ability to grow our business.</w:t>
      </w:r>
    </w:p>
    <w:p>
      <w:pPr>
        <w:pStyle w:val="TextBody"/>
        <w:bidi w:val="0"/>
        <w:spacing w:lineRule="auto" w:line="288" w:before="0" w:after="160"/>
        <w:jc w:val="left"/>
        <w:rPr/>
      </w:pPr>
      <w:r>
        <w:rPr>
          <w:rFonts w:ascii="Times New Roman;sans-serif" w:hAnsi="Times New Roman;sans-serif"/>
          <w:b/>
          <w:i/>
          <w:color w:val="000000"/>
          <w:sz w:val="20"/>
          <w:shd w:fill="FFFFFF" w:val="clear"/>
        </w:rPr>
        <w:t>Our labor</w:t>
      </w:r>
      <w:r>
        <w:rPr>
          <w:color w:val="000000"/>
        </w:rPr>
        <w:t xml:space="preserve"> </w:t>
      </w:r>
      <w:r>
        <w:rPr>
          <w:rFonts w:ascii="Times New Roman;sans-serif" w:hAnsi="Times New Roman;sans-serif"/>
          <w:b/>
          <w:i/>
          <w:color w:val="000000"/>
          <w:sz w:val="20"/>
        </w:rPr>
        <w:t>costs could be adversely affected by a shortage of experienced healthcare professionals and labor union activity.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dependent on our ability to recruit and staff quality healthcare professionals. We compete with other staffing companies and technologies in recruiting and retaining qualified personnel. We may be required to enhance wages and benefits to our employees through mandatory minimum wage laws, which could negatively impact our profitability. Labor union activity is another factor that could adversely affect our labor costs or otherwise adversely impact us. To the extent a significant portion of our employee base unionizes, our labor costs could increase significantly.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If our labor costs increase, we may not be able to raise rates to offset these increased costs. Because a significant percentage of our revenues consists of fixed, prospective payments, our ability to pass along increased labor costs is constrained. In the event we are not entirely effective at recruiting and retaining qualified management, nurses, and other support personnel, or in controlling labor costs, this could have an adverse effect on our results of operations.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are dependent on third parties for the execution of certain critical functions.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outsourced certain critical applications or business processes to external providers, including, but not limited to, background screenings of our employees. We exercise care in the selection and oversight of these providers. However, the failure or inability of one or more of these critical suppliers to perform could cause significant disruptions and increased costs to our business. In addition, we rely on third-party timekeeping systems in certain circumstances to process payroll. To the extent that these payroll systems experience a disruption or delay in reporting time worked by our healthcare professionals, we may not be able to make payroll to our healthcare workers timely. This could result in significant dissatisfaction by our healthcare workers and damage to our reputation, in addition to violations of certain laws or regulations. We have a risk mitigation plan in place in the event this were to occur, but the inability to effectively implement this plan, or its failure, could cause an adverse impact to our business and our financials.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As the use of social media platforms expands, new risks and challenges may cause damage to our brand and reputation.</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 our industry, the use of social media platforms has increased due to the ability to access to a broad audience through social media websites and other internet communication. Any inappropriate or unauthorized use of certain social media vehicles by our employees, contractors, customers, or vendors could cause damage to our brand, or result in information leakage that could have legal implications, including the dissemination of personally identifiable information of customers or employees. In addition, inaccurate posts or comments on social media websites could damage our reputation or brand image.</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failure to protect our reputation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industry reputation is critical to our success. We also believe that maintaining and enhancing our reputation directly relates to our ability to hire and retain healthcare professionals. Any negative claims or publicity about us, including through social media, may adversely impact our ability to recruit, hire, and retain qualified healthcare professionals, and may also adversely affect relationships with our customers. In this regard, failure to comply with ethical, social, product, labor, health and safety, accounting, or environmental standards could jeopardize our reputation and potentially lead to various adverse effects on our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strength of our reputation may also depend on the success of our corporate social responsibility (CSR) and sustainability initiatives, which require company-wide coordination and alignment. Risks associated with these initiatives include any increased public focus, including by governmental and nongovernmental organizations, new laws and regulations, increased costs associated with sustainability efforts and/or compliance with laws and regulations, as well as increased pressure to expand our CSR and sustainability disclosures in these areas, make commitments, set targets or establish additional goals, and take actions to meet such targets and goals. In addition, organizations that provide information to investors on corporate governance and related matters have developed ratings processes for evaluating companies on their approach to CSR or environmental, social, and governance (ESG) matters. Such ratings are used by some investors to inform their investment and voting decisions. Unfavorable CSR or ESG ratings may lead to increased negative investor sentiment toward us, which could have a negative impact on the price of our securities and our access to and costs of 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foregoing could expose us to market, operational, and execution costs or risks. Any CSR or sustainability metrics that we currently or may in the future disclose, whether based on the standards we set for ourselves or those set by others, may influence our reputation and the value of our brands. There is also increased focus, including by investors, customers,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stakeholders, on CSR and other sustainability matters, including the use of energy and waste. Our reputation could be damaged if we do not, or are perceived to not, act responsibly with respect to sustainability matters, which could also have a material adverse effect on our business, results of operations, financial position, and cash flows.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Legal, Tax, and Regulatory Risks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The healthcare industry is highly regulated. Any material changes in the political, economic, or regulatory environment that affect the purchasing policies, practices, and operations of healthcare organizations, or that lead to consolidation in the healthcare industry, could reduce the funds available to purchase our services or otherwise require us to modify our offerings.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our services to hospitals and health systems which pay us directly. Accordingly, Medicare, Medicaid, and insurance reimbursement policy changes generally do not directly impact us. However, indirectly, our business, financial condition, and results of operations depend upon conditions affecting the healthcare industry generally, and hospitals and health systems particularly. The healthcare industry is highly regulated by federal and state authorities and is subject to changing political, economic, and regulatory influences. Factors such as changes in reimbursement policies for healthcare expenses, consolidation in the healthcare industry, regulation, litigation, and general economic conditions could affect the purchasing practices, operations and financial health of our customers, which could have a negative impact on our business. In addition, application and interpretation of laws sometimes change and those changes may spark regulatory inquiries or investigations as a result, for which we may not be insured and which could adversely affect our business and financial condition. Insurance companies and managed care organizations also seek to control costs by requiring healthcare providers, such as hospitals, to discount their services in exchange for exclusive or preferred participation in their benefit plans. While not affecting us directly, future federal and state legislation or evolving commercial reimbursement trends may further reduce or change conditions for our customers’ reimbursement. Such limitations on reimbursement could reduce our customers’ cash flows, hampering the prices we can charge customers, and reducing their ability to pay us. Reimbursement changes in government programs, particularly Medicare and Medicaid, can and do indirectly affect the demand and the prices paid for our services. The impact of any legislation to repeal, amend, or replace the Affordable Care Act could also adversely affect our business and financial condition.</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operate our business in a regulated industry and modifications, inaccurate interpretations, or violations of any applicable statutory or regulatory requirements may result in material costs or penalties, as well as litigation, and could reduce our revenue and earnings per share.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subject to many complex federal, state, local, and international laws and regulations related to, among other things, the licensure of professionals, medical malpractice claims and related indemnity claims, the payment of our field employees (e.g., wage and hour laws, employment taxes, arbitration agreements, and income tax withholdings), expense reimbursements, wage transparency, and the operations of our business generally (e.g., federal, state, and local tax laws). If we do not comply with the laws and regulations that are applicable to our business, we could incur civil and/or criminal penalties or become subject to litigation or equitable remedies. We maintain insurance coverage for employment claims; however, it may not cover all claims against us or continue to be available to us at a reasonable cost. If our insurance does not cover the particular claim or if we are unable to pay our self-insured retention portion, pay any uninsured portion, or maintain adequate insurance coverage, we may be exposed to substantial liabilities that would materially impact our business and financial performance.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are subject to various litigation, claims, investigations, and other proceedings which could result in substantial judgments, settlement costs, or uninsured liabilities.</w:t>
      </w:r>
    </w:p>
    <w:p>
      <w:pPr>
        <w:pStyle w:val="TextBody"/>
        <w:bidi w:val="0"/>
        <w:spacing w:lineRule="auto" w:line="288" w:before="0" w:after="0"/>
        <w:jc w:val="left"/>
        <w:rPr/>
      </w:pPr>
      <w:r>
        <w:rPr>
          <w:rFonts w:ascii="Times New Roman;sans-serif" w:hAnsi="Times New Roman;sans-serif"/>
          <w:b w:val="false"/>
          <w:color w:val="000000"/>
          <w:sz w:val="20"/>
        </w:rPr>
        <w:t>We are party to various litigation, claims, investigations, and other proceedings. These matters primarily relate to employee-related matters that include individual and collective claims, professional liability, tax, and payroll and/or related practices. We evaluate these litigation claims and legal proceedings to assess the likelihood of unfavorable outcomes and to estimate, if possible, the amount of potential losses. Additionally, as a result of the economy and changes to the law, increased collective bargaining actions, healthcare professionals no longer being able to secure the same level of income as they did during the COVID-19 pandemic, and other factors, the number of litigation claims have increased in both volume and financial recovery.</w:t>
      </w:r>
      <w:r>
        <w:rPr>
          <w:color w:val="000000"/>
        </w:rPr>
        <w:t xml:space="preserve"> </w:t>
      </w:r>
      <w:r>
        <w:rPr>
          <w:rFonts w:ascii="Times New Roman;sans-serif" w:hAnsi="Times New Roman;sans-serif"/>
          <w:b w:val="false"/>
          <w:color w:val="000000"/>
          <w:sz w:val="20"/>
        </w:rPr>
        <w:t xml:space="preserve">Based on assessments and estimates, if any, we establish reserves and/or disclose the relevant litigation claims or legal proceedings, as appropriate. These assessments are performed at least quarterly and are based on the information available to management at the time and involve a significant amount of management judgment. Based on the new information considered in our reviews, we adjust our disclosures and our loss contingency accruals, which may increase as a result of increased litigation claims. We may not have sufficient insurance to cover these risks. Actual outcomes or losses may differ materially from those estimated by our current assessments, which would impact our profitability. Adverse developments in existing litigation claims or legal proceedings involving our Company or new claims could require us to establish or increase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reserves or enter into unfavorable settlements or satisfy judgments for monetary damages for amounts in excess of current reserves, which could adversely affect our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healthcare providers and the Company have become subject to or brought an increasing number of legal actions alleging, among other things, malpractice, vicarious liability, violation of certain consumer protection acts, negligent hiring, negligent credentialing, discrimination, wage and hour, or related legal theories. We may be subject to liability in such cases even if our Company’s contribution to the alleged injury was minimal or related to one of our subcontractors or its employees. Many of these actions, including class actions, involve large claims and significant defense costs. In addition, we may be subject to claims related to torts or crimes committed by our corporate employees or healthcare professionals that we place on assignment. In most instances, we are required to indemnify customers against some or all of these risks, and, at times, liabilities attributable to our subcontractors and their personnel, and the law may consider the Company and its customers to be joint employers, adding further complexities to litigation. A failure of any of our corporate employees, healthcare professionals, or subcontracted personnel to observe our policies and guidelines, relevant customer policies and guidelines, or applicable federal, state, or local laws, rules, and regulations could result in negative publicity, payment of fines, or other damages to us.</w: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To protect ourselves from the cost of these types of claims, we maintain professional malpractice liability insurance, employment practices liability insurance, and general liability insurance coverage with terms and in amounts with deductibles that we believe are appropriate for our operations, although we do not maintain insurance coverage for wage and hour claims or for liabilities of our subcontractors or their personnel. We are partially self-insured for our workers’ compensation coverage, health insurance coverage, and professional liability coverage for our healthcare providers. If we become subject to substantial uninsured workers’ compensation, wage and hour claims, medical coverage, or medical malpractice liabilities, whether directly or indirectly, our financial results may be adversely affected. In addition, our insurance coverage may not cover all claims against us or continue to be available to us at a reasonable cost. If we are unable to pay our self-insured retention portion, pay any uninsured portion, or maintain adequate insurance coverage, we may be exposed to substantial liabilities.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If applicable government regulations change, we may face increased costs that reduce our revenue and profitability.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temporary healthcare staffing industry is regulated in many states. For example, in some states, firms such as our nurse staffing companies must be registered to establish and advertise as a nurse-staffing agency or must qualify for an exemption from registration in those states. Several states have adopted wage transparency or equity laws that have complex reporting requirements. If we were to lose any required state licenses, we could be required to cease operating in those states. The introduction of new regulatory provisions could also substantially raise the costs associated with hiring temporary employees. For example, some states could impose sales taxes or increase sales tax rates on temporary healthcare staffing services. These increased costs may not be able to be passed on to customers. In addition, if government regulations were implemented that limited the amount we could charge for our services, our profitability could be adversely affected. We continuously monitor changes in regulations and legislation for potential impacts on our business.</w:t>
      </w:r>
    </w:p>
    <w:p>
      <w:pPr>
        <w:pStyle w:val="TextBody"/>
        <w:bidi w:val="0"/>
        <w:spacing w:lineRule="auto" w:line="288" w:before="0" w:after="1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could suffer adverse tax and other financial consequences if taxing authorities do not agree with our tax positions, if there are further legislative tax changes, or if we are unable to utilize our net operating losses (NOLs).</w:t>
      </w:r>
    </w:p>
    <w:p>
      <w:pPr>
        <w:pStyle w:val="TextBody"/>
        <w:bidi w:val="0"/>
        <w:spacing w:lineRule="auto" w:line="288" w:before="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periodically subject to a number of tax examinations by taxing authorities in the states and countries where we do business. We also have deferred tax assets related to our NOLs in state taxing jurisdictions, which, generally, for state tax purposes, carry forward for up to twenty years or indefinitely, depending on the year the NOL was generated. Tax years generally remain subject to examination until three years after NOLs are used or expire. We expect that we will continue to be subject to tax examinations in the future. We recognize tax benefits of uncertain tax positions when we believe the positions are more likely than not of being sustained upon a challenge by the relevant tax authority. We believe our judgments in this area are reasonable and correct, but there is no guarantee that we will be successful if challenged by a taxing authority. If there are tax benefits, including, but not limited to, the use of NOLs, expense reimbursements, or other tax attributes, that are challenged successfully by a taxing authority, we may be required to pay additional taxes, interest, and penalties, or we may seek to enter into settlements with the taxing authorities, which could require significant payments or otherwise have a material adverse effect on our business, results of operations, and financial condition.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federal, state and local, as well as international, tax laws and regulations are extremely complex and subject to varying interpretations. On March 27, 2020, former President Biden signed the Coronavirus Aid, Relief, and Economic Security (CARES) Act into law, which was extended under the Taxpayer Certainty and Disaster Relief Act of 2020 passed on December 27, 2020. Further, on March 11, 2021, President Biden signed the American Rescue Plan Act of 2021 (ARPA). We are not aware of any provision in the CARES Act, ARPA, or any other pending tax legislation that would have a material adverse impact on our financial performance. There can be no assurance that the CARES Act, ARPA, the Tax Cuts and Jobs Act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2017, or any other legislative changes will not negatively impact our operating results, financial condition, and future business operations.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Lastly, we may be limited in our ability to utilize our remaining state NOLs to offset future taxable income and thereby reduce our otherwise payable income taxes. Our ability to utilize our NOLs is also dependent, in part, upon us having sufficient future earnings to utilize our state NOLs before they expire. If market conditions change materially and we determine that we will be unable to generate sufficient taxable income in the future to utilize our state NOLs, we could be required to record additional valuation allowances. We review the valuation allowances for our state NOLs periodically and make adjustments from time to time, which can result in an increase or decrease to the net deferred tax asset related to our state NOLs. If we are unable to use our state NOLs or use of our state NOLs is limited, we may have to make significant payments or reduce our deferred tax assets, which could have a material adverse effect on our business, results of operations, and financial condition.</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If certain of our healthcare professionals are reclassified from independent contractors to employees, our profitability could be materially adversely impacted.</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Federal or state taxing authorities could re-classify our locum tenens physicians, CRNAs, nurse practitioners, and other independent contractors as employees, despite both the general industry standard to treat them as independent contractors and many state laws prohibiting non-physician owned companies from employing physicians (e.g., the “corporate practice of medicine”). Other than in California and Illinois, where advanced practitioners are required to be classified as W-2 employees by law, if they were re-classified as employees, we would be subject to, among other things, employment and payroll-related tax claims, as well as any applicable penalties and interest. Any such reclassification would have a material adverse impact on our business model for that business segment and would negatively impact our profitability.</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If the method for paying locum tenens physicians changes, it could negatively impact our profitability.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Medicare Access and CHIP Reauthorization Act of 2015 created a certain framework for rewarding physicians for providing higher quality care by establishing two tracks of payment: a merit-based incentive payment system and Advanced Alternative Payment Models. If hospitals change the method for paying locum tenens physicians to meet their performance goals or other criteria for Medicaid or Medicare reimbursements, the profitability of our business could be adversely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Relating to Our Indebtedness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could have a level of indebtedness which may have an adverse effect on our business or limit our ability to take advantage of business, strategic, or financing opportunities.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no borrowings under our Asset-Based Loan Agreement (ABL). A change in our level of indebtedness could have important negative consequences including: (i) increased demands on our cash resources to service the debt; (ii) our financial and operating flexibility may be restricted due to debt covenants to which we are subject, and our ability to generate profitability and maintain cash flow from operations could impact our compliance with these covenants; and (iii) we may choose to institute self-imposed limits on our indebtedness based on certain considerations including market interest rates, our relative leverage, and our strategic plans. For example, as a result of our level of indebtedness and the uncertainties arising in the credit markets and the U.S. economy:</w:t>
      </w:r>
    </w:p>
    <w:p>
      <w:pPr>
        <w:pStyle w:val="TextBody"/>
        <w:bidi w:val="0"/>
        <w:spacing w:before="0" w:after="0"/>
        <w:jc w:val="left"/>
        <w:rPr/>
      </w:pPr>
      <w:r>
        <w:rPr/>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be more vulnerable to general adverse economic and industry conditions;</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have to pay higher interest rates upon refinancing or on our variable rate indebtedness if interest rates rise, thereby reducing our cash flows;</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find it more difficult to obtain additional financing to fund future working capital, capital expenditures, acquisitions, and other general corporate requirements that would be in our long-term interests;</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be required to dedicate a substantial portion of our cash flow from operations to the payment of principal and interest on our debt, reducing the available cash flow to fund other investments;</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have limited flexibility in planning for, or reacting to, changes in our business or in the industry;</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have a competitive disadvantage relative to other companies in our industry that are less leveraged;</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be required to sell debt or equity securities or sell some of our core assets, possibly on unfavorable terms, in order to meet payment obligations; and</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not be able to successfully raise capital to execute our mergers and acquisitions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These constraints could have a material adverse effect on our business.</w:t>
      </w:r>
    </w:p>
    <w:p>
      <w:pPr>
        <w:pStyle w:val="TextBody"/>
        <w:bidi w:val="0"/>
        <w:spacing w:lineRule="auto" w:line="288" w:before="180" w:after="160"/>
        <w:jc w:val="left"/>
        <w:rPr>
          <w:rFonts w:ascii="Times New Roman;sans-serif" w:hAnsi="Times New Roman;sans-serif"/>
          <w:b/>
          <w:i/>
          <w:color w:val="000000"/>
          <w:sz w:val="20"/>
        </w:rPr>
      </w:pPr>
      <w:r>
        <w:rPr>
          <w:rFonts w:ascii="Times New Roman;sans-serif" w:hAnsi="Times New Roman;sans-serif"/>
          <w:b/>
          <w:i/>
          <w:color w:val="000000"/>
          <w:sz w:val="20"/>
        </w:rPr>
        <w:t>We could fail to generate sufficient cash to fund our liquidity needs and/or fail to satisfy the financial and other covenants to which we are subject under our existing indebtedness, which could adversely affect long term growth and results of operations.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sufficient liquidity to operate our business in the normal course. If, however, we were to close an acquisition or enter into a similar type of transaction, our liquidity needs may exceed our current capacity. Our credit facility currently contains an occurrence-based financial covenant that may be triggered if we fall below a certain level of excess availability, requiring us to operate above a minimum fixed charge coverage ratio. Additionally, our borrowing capacity is based on trade receivables and we could have a loss in availability due to market or other financial conditions affecting our customers and their ability to pay according to terms, resulting in ineligible receivables (to borrow against). Deterioration in our operating results could result in our inability to comply with this covenant and would result in a default under our credit facility. If an event of default exists, our lenders could call the indebtedness and we may be unable to renegotiate or secure other financing.</w:t>
      </w:r>
    </w:p>
    <w:p>
      <w:pPr>
        <w:pStyle w:val="TextBody"/>
        <w:bidi w:val="0"/>
        <w:spacing w:lineRule="auto" w:line="288" w:before="200" w:after="160"/>
        <w:jc w:val="left"/>
        <w:rPr>
          <w:rFonts w:ascii="Times New Roman;sans-serif" w:hAnsi="Times New Roman;sans-serif"/>
          <w:b/>
          <w:color w:val="000000"/>
          <w:sz w:val="20"/>
        </w:rPr>
      </w:pPr>
      <w:r>
        <w:rPr>
          <w:rFonts w:ascii="Times New Roman;sans-serif" w:hAnsi="Times New Roman;sans-serif"/>
          <w:b/>
          <w:color w:val="000000"/>
          <w:sz w:val="20"/>
        </w:rPr>
        <w:t>General Business Risks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face difficulties integrating our acquisitions into our operations and our acquisitions may be unsuccessful, involve significant cash expenditures, or expose us to unforeseen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continually evaluate opportunities to acquire companies that would complement or enhance our business. These acquisition opportunities involve numerous risks, including potential loss of key employees or customers of acquired companies; difficulties integrating acquired personnel and distinct cultures into our business; difficulties integrating acquired companies into our operating, financial planning, and financial reporting systems; diversion of management attention from existing operations; and assumptions of liabilities and exposure to unforeseen liabilities of acquired companies, including liabilities for their failure to comply with healthcare and tax regulations. 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Notwithstanding the due diligence investigation we perform in connection with acquisitions, the acquired business</w:t>
      </w:r>
      <w:r>
        <w:rPr>
          <w:color w:val="000000"/>
          <w:shd w:fill="FFFFFF" w:val="clear"/>
        </w:rPr>
        <w:t xml:space="preserve"> </w:t>
      </w:r>
      <w:r>
        <w:rPr>
          <w:rFonts w:ascii="Times New Roman;sans-serif" w:hAnsi="Times New Roman;sans-serif"/>
          <w:b/>
          <w:i/>
          <w:color w:val="000000"/>
          <w:sz w:val="20"/>
          <w:shd w:fill="FFFFFF" w:val="clear"/>
        </w:rPr>
        <w:t>may have liabilities, losses, or other exposures for which we do not have adequate insurance coverage, indemnification, or other protection.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we perform significant due diligence prior to signing purchase agreements, we are dependent on the accuracy and completeness of statements and disclosures made or actions taken by the sellers and their representatives when conducting due diligence and evaluating the results of such due diligence. We do not control and may be unaware of activities of the sellers before the acquisition, including intellectual property disputes and other litigation or disputes, information security vulnerabilities, violations of laws, policies, rules, and regulations, commercial disputes, tax liabilities, and other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sellers’ obligations to indemnify us is limited to, among others, breaches of specified representations and warranties and covenants included in the purchase agreement and other specific indemnities as set forth in the purchase agreement. In the event of a breach of a representation or warranty, other than a core representation (as defined in the purchase agreement), sellers’ obligation to indemnify us may be limited to the time frame in which the loss arises and the amount of the loss. If any issues arise post-closing, we may not be entitled to, or be able to, collect sufficient, or any, indemnification or recourse from the sellers, which could have a material adverse impact on our business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Losses caused by natural disasters, such as hurricanes and fires, the physical effects of climate change, or other unexpected events, could cause us to suffer material financial losses.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Catastrophes can be caused by various events, including, but not limited to, hurricanes, fires, and other severe weather. The incidence and severity of catastrophes are inherently unpredictable. </w:t>
      </w:r>
      <w:r>
        <w:rPr>
          <w:rFonts w:ascii="Times New Roman;sans-serif" w:hAnsi="Times New Roman;sans-serif"/>
          <w:b w:val="false"/>
          <w:color w:val="000000"/>
          <w:sz w:val="20"/>
        </w:rPr>
        <w:t xml:space="preserve">To the extent climate change causes changes in weather patterns, certain regions where we operate could experience increases in storm intensity, extreme temperatures, wildfires, rising sea-levels and/or drought. </w:t>
      </w:r>
      <w:r>
        <w:rPr>
          <w:rFonts w:ascii="Times New Roman;sans-serif" w:hAnsi="Times New Roman;sans-serif"/>
          <w:b w:val="false"/>
          <w:color w:val="000000"/>
          <w:sz w:val="20"/>
          <w:shd w:fill="FFFFFF" w:val="clear"/>
        </w:rPr>
        <w:t xml:space="preserve">With our headquarters, shared services, and many of our remote workers located in South Florida, we are more vulnerable to possible disruptions from hurricanes and the impacts resulting therefrom, such as tornadoes, flooding, fuel shortages, and disruption of internet and telecommunications services. We also have a significant amount of business and employees in California, which is vulnerable to wildfires and earthquakes. </w:t>
      </w:r>
      <w:r>
        <w:rPr>
          <w:rFonts w:ascii="Times New Roman;sans-serif" w:hAnsi="Times New Roman;sans-serif"/>
          <w:b w:val="false"/>
          <w:color w:val="000000"/>
          <w:sz w:val="20"/>
        </w:rPr>
        <w:t xml:space="preserve">Over time, these conditions could result in increases in our operating costs or business interruptions. </w:t>
      </w:r>
      <w:r>
        <w:rPr>
          <w:rFonts w:ascii="Times New Roman;sans-serif" w:hAnsi="Times New Roman;sans-serif"/>
          <w:b w:val="false"/>
          <w:color w:val="000000"/>
          <w:sz w:val="20"/>
          <w:shd w:fill="FFFFFF" w:val="clear"/>
        </w:rPr>
        <w:t>The extent of losses from a catastrophe is a function of both the total amount of insured exposure and the severity of the event. We do not maintain business interruption insurance for these events. We could suffer material financial losses as a result of disruptions from hurricanes, fires, or other catastrophes, including unexpected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Locations operated by our vendors may also be subject to natural disasters or other extreme weather conditions. To the extent any of these events occur, our operations and financial results could be adversely affected.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Legislative or regulatory initiatives related to climate change could result in significant operational changes and expenditures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global temperatures, weather patterns, negative global climate change patterns, and increases in the frequency and severity of extreme weather and natural disasters in both the U.S. and India locations could have a negative effect on the Company’s business. Concern over climate change may result in new or additional legislative and regulatory requirements to reduce or mitigate the effects of climate change on the environment, which could result in future tax, transportation, and utility increases and could, in turn, have a material adverse effect on the Company’s business. Moreover, continuing political and social attention to climate change and environmental issues has resulted in both existing and pending disclosure requirements, international agreements and national, regional, and local legislation, regulatory measures, reporting obligations, and policy changes. There is increasing pressure in some of the areas where we operate to limit greenhouse gas emissions as well as other global initiatives. These agreements and measures may require or could result in future legislation, regulatory measures, or policy changes that would require operational changes, taxes, or purchases of emission credits to reduce emission of greenhouse gases from our operations, which may result in substantial capital expenditures.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Due to inherent limitations, our system of disclosure and internal controls and procedures may not be successful in preventing all errors and fraud, or in making all material information known in a timely manner to management.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internal controls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acts of an individual, by collusion of two or more people, or by management override of the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design of any system of controls also is based in part upon certain assumptions about the likelihood of future events, and any design may not succeed in achieving its stated goals under all potential future conditions; over time, a control may become inadequate because of changes in conditions, or the degree of compliance with the policies or procedures may deteriorate. Because of the inherent limitations, misstatements due to error or fraud may occur and not be detected.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Impairment in the value of our goodwill, trade names, or other intangible assets could negatively impact our net income and earnings per share.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test goodwill and intangible assets with indefinite lives (such as trade names) annually, to determine if impairment has occurred. Long-lived assets and other identifiable intangible assets are also reviewed for impairment whenever events or changes in circumstances indicate that amounts may not be recoverable. If the testing performed indicates that impairment has occurred, we are required to record an impairment charge for the difference between the carrying amount of the goodwill or other intangible assets and the implied fair value of the goodwill or the fair value of the indefinite-lived intangible asset in the period the determination is made. The testing of goodwill and other intangible assets for impairment requires us to make significant estimates about our future performance and cash flows, as well as other assumptions. These estimates can be affected by numerous factors, including changes in economic, industry, or market conditions, changes in business operations, changes in competition, or changes in our stock price and market capitalization. Changes in these factors, or changes in actual performance compared with estimates of our future performance, could affect the fair value of goodwill, trade names, or other intangible assets, which may result in an impairment charge. We cannot accurately predict the amount and timing of any impairment of assets. Should the value of goodwill or other intangible assets become impaired, there could be an adverse effect on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160"/>
        <w:jc w:val="left"/>
        <w:rPr>
          <w:rFonts w:ascii="Times New Roman;sans-serif" w:hAnsi="Times New Roman;sans-serif"/>
          <w:b/>
          <w:i/>
          <w:color w:val="000000"/>
          <w:sz w:val="20"/>
        </w:rPr>
      </w:pPr>
      <w:r>
        <w:rPr>
          <w:rFonts w:ascii="Times New Roman;sans-serif" w:hAnsi="Times New Roman;sans-serif"/>
          <w:b/>
          <w:i/>
          <w:color w:val="000000"/>
          <w:sz w:val="20"/>
        </w:rPr>
        <w:t>If provisions in our corporate documents and Delaware law delay or prevent a change in control, we may be unable to consummate a transaction that our stockholders consider favorable.</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may discourage, delay, or prevent a merger or acquisition involving us that our stockholders may consider favorable. For example, our certificate of incorporation authorizes our Board of Directors to issue up to 10,000,000 shares of “blank check” preferred stock. Without stockholder approval, the Board of Directors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Stock is issuable under our stock incentive plan and sales of this stock could cause our stock price to decline.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We have registered </w:t>
      </w:r>
      <w:r>
        <w:rPr>
          <w:rFonts w:ascii="Times New Roman;sans-serif" w:hAnsi="Times New Roman;sans-serif"/>
          <w:b w:val="false"/>
          <w:color w:val="000000"/>
          <w:sz w:val="20"/>
        </w:rPr>
        <w:t xml:space="preserve">2,400,000 shares (in addition to the share reserve amount that remained available under the 2020 Omnibus Incentive Plan immediately prior to the adoption of the 2024 Omnibus Incentive Plan (2024 Plan) and other eligible returning shares) </w:t>
      </w:r>
      <w:r>
        <w:rPr>
          <w:rFonts w:ascii="Times New Roman;sans-serif" w:hAnsi="Times New Roman;sans-serif"/>
          <w:b w:val="false"/>
          <w:color w:val="000000"/>
          <w:sz w:val="20"/>
          <w:shd w:fill="FFFFFF" w:val="clear"/>
        </w:rPr>
        <w:t>for issuance under our 2024 Plan. Shares of restricted stock outstanding as of February 18, 2025 were 535,185. In addition, a target of 409,698 performance stock award grants were outstanding as of February 18, 2025.</w:t>
      </w:r>
      <w:r>
        <w:rPr>
          <w:color w:val="000000"/>
        </w:rPr>
        <w:t xml:space="preserve"> </w:t>
      </w:r>
      <w:r>
        <w:rPr>
          <w:rFonts w:ascii="Times New Roman;sans-serif" w:hAnsi="Times New Roman;sans-serif"/>
          <w:b w:val="false"/>
          <w:color w:val="000000"/>
          <w:sz w:val="20"/>
        </w:rPr>
        <w:t>See Note 14 - Stockholders’ Equity to our consolidated financial statements. Vested restricted stock and common stock issued under our awards is eligible for resale in the public market without restriction. We cannot predict what effect, if any, market sales of shares held by any stockholder or the availability of these shares for future sale will have on the market price of our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the Aya Merger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There are risks inherent in any transaction that we enter into, including without limitation the Aya Merger, and there is no assurance that such transaction will be successfully or timely completed or that we will realize the expected benefits of such transaction.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elsewhere in this Annual Report on Form 10-K, on December 3, 2024, the Company signed the Merger Agreement, which provides for the consummation of the Aya Merger. The consummation of the Aya Merger is subject to certain customary mutual conditions, including, without limitation, (i) the approval of the Company’s stockholders holding a majority of the voting power of the outstanding common stock of the Company entitled to vote on the adoption of the Merger Agreement, voting together as a single class, which such stockholder approval was received at the special meeting held on February 28, 2025 (Company Stockholder Approval), (ii) the absence of any order issued by any governmental authority prohibiting, rendering illegal or permanently enjoining the consummation of the Aya Merger (Legal Restraint), and (iii) the expiration or termination of any waiting period (or extensions thereof) applicable to the consummation of the Aya Merger under the Hart-Scott-Rodino Antitrust Improvements Act of 1976 and any commitment to, or agreement (including any timing agreement) with, any governmental authority to delay or not consummate before a certain date the Aya Merger or any of the transactions contemplated by the Merger Agreement (Applicable Waiting Period and Approvals and, together with the Company Stockholder Approval and the Legal Restraint, these Certain Closing Conditions). If we are unable to timely satisfy these Certain Closing Conditions and/or any other conditions required pursuant to the Merger Agreement, the consummation of the Aya Merger may be delayed and/or may not occur at all. Additionally, pursuant to the terms of the Merger Agreement, the Company is required to pay to Parent a one-time fee equal to $20 million (Company Termination Fee) if the Merger Agreement is terminated by either the Company or Parent for certain reasons set forth in the Merger Agreement. If we are unable to successfully and timely consummate the Aya Merger and/or if we are required to pay the Company Termination Fee, our business and results of operations could be materially and adversely impacted. Even if we are able to successfully and timely consummate the Aya Merger, there is no assurance that we will realize the expected benefits of such transaction.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addition to the foregoing risks relating to our ability to successfully and timely complete the Aya Merger, any transaction that we enter into requires substantial resources, as well as the time and attention of our management team. Accordingly, the diversion of resources and management time on transaction-related issues and risks related to the disruption of management time from ongoing business operations due to the Aya Merger could have an adverse effect on us. The announcement and pending completion of the Aya Merger could also have an adverse effect on the market price of our common stock and/or on our ability to retain customers and key personnel and maintain relationships with our third-party business partners. The Aya Merger could also result in us incurring unexpected costs, charges, or expenses, and/or subject us to potential litigation relating to the Aya Merger that could be instituted against us and/or our respective directors and officers. The occurrence of any of the foregoing risks, individually or in the aggregate, could have a material adverse effect </w:t>
      </w:r>
      <w:r>
        <w:rPr>
          <w:rFonts w:ascii="Times New Roman;sans-serif" w:hAnsi="Times New Roman;sans-serif"/>
          <w:b w:val="false"/>
          <w:color w:val="000000"/>
          <w:sz w:val="20"/>
          <w:shd w:fill="FFFFFF" w:val="clear"/>
        </w:rPr>
        <w:t>on our business, results of operations, and financial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1C. Cybersecurity</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acknowledge the evolving nature of cyber threats to our business and industry. The Board oversees management’s processes for identifying and mitigating cybersecurity risks to help align our risk exposure with our strategic objectives. To that end, cybersecurity risk management is integrated into the Company's overall enterprise risk management function. The Company utilizes a combination of processes and systems designed to assess, monitor, and respond to organizational cybersecurity risks in an effective manner across our operations.</w:t>
      </w:r>
      <w:r>
        <w:rPr>
          <w:color w:val="000000"/>
          <w:shd w:fill="FFFFFF" w:val="clear"/>
        </w:rPr>
        <w:t xml:space="preserve"> </w:t>
      </w:r>
      <w:r>
        <w:rPr>
          <w:rFonts w:ascii="Times New Roman;sans-serif" w:hAnsi="Times New Roman;sans-serif"/>
          <w:b w:val="false"/>
          <w:color w:val="000000"/>
          <w:sz w:val="20"/>
        </w:rPr>
        <w:t>The cybersecurity risk management program includes regular assessments, providing a holistic view of our risk posture; this contributes to the ongoing improvement of our process, cybersecurity program, and security position.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A.</w:t>
      </w: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Understanding the importance of cybersecurity, the Board maintains oversight of the cybersecurity risks and threats within the organization. Specifically, the Board has delegated authority to the Audit Committee to oversee risk management relating to cybersecurity. The Audit Committee is composed of members with various expertise including risk management, technology, and finance.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information security program is managed by a dedicated Vice President (VP) of Security Compliance and Risk Management (VP of Security), whose team is responsible for leading enterprise-wide cybersecurity strategy, policy, standards, architecture, and processes, and who reports directly to the Chief Information Officer (CIO).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Security and Privacy Steering Committee meets on a regular basis and provides oversight of our security and privacy programs inclusive of defining the security strategy, reviewing risks and risk management strategies, and program performance. The committee is chaired by the VP of Security and comprises a broad selection of Senior Management leaders within the organization. This facilitates enterprise-wide collaboration in aligning cybersecurity objectives with organizational goals.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VP of Security reports regularly to the CIO and the Security and Privacy Steering Committee. Further, the CIO provides regular reports to the Audit Committee and to the full Board. Reports include updates on our cyber risks and threats, projects to strengthen our information security systems, assessments of the information security program, and the emerging threat landscape.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    Key Program Components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Standards Based Program</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our best efforts to align our cybersecurity risk management with industry best practices, including processes to prevent, identify, assess, treat, monitor, and report on organizational risks. We design and assess our program utilizing tools such as the National Institute of Standards and Technology Cybersecurity Framework. This does not imply that we meet any particular technical standards, specifications, or requirements, only that we use these tools as a guide to help us identify, assess, and manage cybersecurity risks relevant to our business. This covers Company owned and managed systems and technologies, along with those supplied to the organization by third parties.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Evolving Threats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program utilizes various resources, inclusive of third-party partners, to support an awareness and understanding of evolving cybersecurity threats, allowing the organization to be actively engaged in understanding and staying abreast of risks, and thereby supporting informed decision-making.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Incident Response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includes a formal Incident Response Plan, designed to help the organization prepare for, respond to, and recover from confirmed or suspected cybersecurity or privacy incidents. Further, it evaluates and validates the effectiveness of our incident response capabilities, and allows for improvements as needed.</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Data Privacy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course of normal business operations, the Company collects, stores, and processes personal data. Being cognizant of the importance of protecting personal data and respecting the rights of individuals to have control over their personal information, the organization implements a data privacy program designed to comply with U.S. data privacy regulations and incorporates data privacy into its risk management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Training and Education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enterprise-wide awareness and training program is utilized to mitigate risks by educating users on their role in combating security breaches, following good security practices, and maintaining awareness of security risks associated with their actions. This program includes mandatory and optional activities inclusive of online training, presentations, newsletters, blog posts, and simulation exercises.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Use of Third Parties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Being cognizant of the complexity and dynamic nature of cybersecurity threats, the Company engages the services of various third-party experts, inclusive of managed security service providers, application and infrastructure cybersecurity assessors, consultants, and advisors. These engagements allow for the supplementing of our internal capabilities with specialized knowledge and expertise in the execution of cybersecurity strategic functions.</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Third-Party Risks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Given that risks associated with third parties can adversely impact an organization’s overall security and risk posture, the Company implements a third-party risk management program to assess the security posture of third-party service providers. This includes security assessments prior to service engagement and ongoing monitoring.</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Benchmarking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understands that the effective management of cybersecurity risks requires continuous assessment and improvement. Security benchmarking is a critical component to assess how well our security investments and processes compare with internal and external standards and objectives.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     Management’s Role and Expertise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Primary responsibility for assessing, monitoring, and managing the Company’s cybersecurity risks rests with the VP of Security, who has over 16 years of dedicated experience in the field of cybersecurity across multiple industries. Their background includes extensive experience in cybersecurity program development, leadership, and risk management, which is instrumental in the execution of our cybersecurity strategies. Some specific responsibilities include overseeing our governance and compliance, risk management (identification, assessments, and treatment), and security and privacy awareness programs.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CIO possesses a wealth of information technology expertise and has served in various technology leadership roles across multiple industries. They are responsible for all technology systems, services, and solutions. The cybersecurity function reports directly into the office of the CIO.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extensive approach we take to cybersecurity, we may not be successful in preventing or mitigating a cybersecurity incident that could have a material adverse effect on the Company. While we maintain cybersecurity insurance, the costs related to cybersecurity threats or disruptions may not be fully insured. See Item 1A. “Risk Factors” for a discussion of cybersecurity risks.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actively leased office space in 12 facilities located in 4 states within the United States. We also lease office space in a facility located in Pune, India. See our lease obligations as of December 31, 2024 in Note 9 - Leases to our consolidated financial statements. We continuously evaluate facility needs based on the extent of our service offerings, the rate of customer growth or decline, the geographic distribution of our customer base, changing market conditions, and our long-term goals. As of December 31, 2024, our material leased properties are described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in Boca Raton, Florida, with approximately 70,000 square feet of office space under lease through December 2025. Approximately 35,000 square feet is occupied by our corporate executive staff, legal, finance, risk management, internal audit, and information technology teams. Our Nurse and Allied executive staff and operations personnel, as well as shared support functions of human resources, payroll and billing, sales, and marketing also occupy this space. The remainder of the space is vacant and available for a sublease.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facility located in Pune, India has approximately 38,000 square feet of office space under lease through April 2029. This space houses certain software development and information technology support, as well as certain finance and shared support services.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Information with respect to certain legal proceedings is included in </w:t>
      </w:r>
      <w:r>
        <w:rPr>
          <w:rFonts w:ascii="Times New Roman;sans-serif" w:hAnsi="Times New Roman;sans-serif"/>
          <w:b w:val="false"/>
          <w:color w:val="000000"/>
          <w:sz w:val="20"/>
          <w:shd w:fill="FFFFFF" w:val="clear"/>
        </w:rPr>
        <w:t>Note 12 - Contingencies</w:t>
      </w:r>
      <w:r>
        <w:rPr>
          <w:color w:val="000000"/>
        </w:rPr>
        <w:t xml:space="preserve"> </w:t>
      </w:r>
      <w:r>
        <w:rPr>
          <w:rFonts w:ascii="Times New Roman;sans-serif" w:hAnsi="Times New Roman;sans-serif"/>
          <w:b w:val="false"/>
          <w:color w:val="000000"/>
          <w:sz w:val="20"/>
        </w:rPr>
        <w:t>to the consolidated financial statements contained in Item 8. Financial Statements and Supplementary Data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currently trades under the symbol “CCRN” on the Nasdaq Global Select Market (Nasdaq).</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graph below </w:t>
      </w:r>
      <w:r>
        <w:rPr>
          <w:rFonts w:ascii="Times New Roman;sans-serif" w:hAnsi="Times New Roman;sans-serif"/>
          <w:b w:val="false"/>
          <w:color w:val="000000"/>
          <w:sz w:val="20"/>
        </w:rPr>
        <w:t>compares the Company to the cumulative 5-year total return of holders of the Company's common stock with the cumulative total returns of the Nasdaq Composite index and the Dow Jones U.S. Business Training &amp; Employment Agencies index. The graph assumes that the value of the investment in the Company's common stock and in each of the indexes (including reinvestment of dividends) was $100 on December 31, 2019 and tracks it through December 31, 2024.</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6477000" cy="4724400"/>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6477000" cy="47244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stock price performance included in this graph is not necessarily indicative of future stock price performance.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As of February 18, 2025, there were 136</w:t>
      </w:r>
      <w:r>
        <w:rPr>
          <w:color w:val="000000"/>
          <w:shd w:fill="FFFFFF" w:val="clear"/>
        </w:rPr>
        <w:t xml:space="preserve"> </w:t>
      </w:r>
      <w:r>
        <w:rPr>
          <w:rFonts w:ascii="Times New Roman;sans-serif" w:hAnsi="Times New Roman;sans-serif"/>
          <w:b w:val="false"/>
          <w:color w:val="000000"/>
          <w:sz w:val="20"/>
        </w:rPr>
        <w:t>stockholders of record of our common stock. In addition, there were</w:t>
      </w:r>
      <w:r>
        <w:rPr>
          <w:color w:val="000000"/>
          <w:shd w:fill="FFFFFF" w:val="clear"/>
        </w:rPr>
        <w:t xml:space="preserve"> </w:t>
      </w:r>
      <w:r>
        <w:rPr>
          <w:rFonts w:ascii="Times New Roman;sans-serif" w:hAnsi="Times New Roman;sans-serif"/>
          <w:b w:val="false"/>
          <w:color w:val="000000"/>
          <w:sz w:val="20"/>
          <w:shd w:fill="FFFFFF" w:val="clear"/>
        </w:rPr>
        <w:t>14,046 b</w:t>
      </w:r>
      <w:r>
        <w:rPr>
          <w:rFonts w:ascii="Times New Roman;sans-serif" w:hAnsi="Times New Roman;sans-serif"/>
          <w:b w:val="false"/>
          <w:color w:val="000000"/>
          <w:sz w:val="20"/>
        </w:rPr>
        <w:t>eneficial owners of our common stock held by brokers or other institutions on behalf of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paid or declared cash dividends on our common stock. Covenants in our credit agreement limit our ability to repurchase our common stock and declare and pay cash dividends on our common stock. On August 16, 2022, our Board of Directors authorized a new stock repurchase program (New Repurchase Program), whereby we could repurchase up to $100.0 million of our shares of common stock, subject to the terms of our current credit agreements. In addition to the repurchase of $100.0 million of our shares of common stock under the New Repurchase Program, we were authorized to continue to repurchase any remaining shares available for repurchase under our previous stock repurchase program, which was approved by the Board of Directors on February 28, 2008 (Prior Repurchase Program). In August 2022, we repurchased the remaining shares available for repurchase under the Prior Repurchase Program. Upon completion of the authorized number of shares available for repurchase under the Prior Repurchase Program, we commenced repurchases under the New Repurchase Program during the third quarter of 2022. On May 1, 2023, our Board of Directors authorized approximately $59.0 million in additional share repurchases to be added to the New Repurchase Program, such that, effective for trades made after May 3, 2023, the aggregate amount available for stock repurchases was set at $100.0 million (Repurchase Program). The shares may be repurchased from time-to-time in the open market or in privately negotiated transactions. The Repurchase Program was effective immediately and may be discontinued at any time at the Board's discretion.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number of shares purchased, the average price paid per share, the total number of shares purchased as part of publicly announced programs, and the approximate dollar value of shares that may yet be purchased under the programs during each month in the fourth fiscal quarter ended December 31, 2024. See Note 14 - Stockholders’ Equity to our consolidated financial statements for additional information.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6"/>
        <w:gridCol w:w="377"/>
        <w:gridCol w:w="381"/>
        <w:gridCol w:w="109"/>
        <w:gridCol w:w="109"/>
        <w:gridCol w:w="109"/>
        <w:gridCol w:w="602"/>
        <w:gridCol w:w="436"/>
        <w:gridCol w:w="437"/>
        <w:gridCol w:w="109"/>
        <w:gridCol w:w="109"/>
        <w:gridCol w:w="109"/>
        <w:gridCol w:w="276"/>
        <w:gridCol w:w="806"/>
        <w:gridCol w:w="142"/>
        <w:gridCol w:w="109"/>
        <w:gridCol w:w="109"/>
        <w:gridCol w:w="109"/>
        <w:gridCol w:w="844"/>
        <w:gridCol w:w="742"/>
        <w:gridCol w:w="744"/>
        <w:gridCol w:w="109"/>
        <w:gridCol w:w="109"/>
        <w:gridCol w:w="109"/>
        <w:gridCol w:w="488"/>
        <w:gridCol w:w="1671"/>
        <w:gridCol w:w="365"/>
      </w:tblGrid>
      <w:tr>
        <w:trPr/>
        <w:tc>
          <w:tcPr>
            <w:tcW w:w="58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 as Part of Publicly Announced Plans or Programs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Approximate Dollar Value of Shares that May Yet Be Purchased Under the Plans or Programs (b)</w:t>
            </w:r>
          </w:p>
        </w:tc>
      </w:tr>
      <w:tr>
        <w:trPr/>
        <w:tc>
          <w:tcPr>
            <w:tcW w:w="10205"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(dollar value in thousands, except per share data)</w:t>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through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240,108 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240,108 </w:t>
            </w:r>
          </w:p>
        </w:tc>
        <w:tc>
          <w:tcPr>
            <w:tcW w:w="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through November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54,781 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54,781 </w:t>
            </w:r>
          </w:p>
        </w:tc>
        <w:tc>
          <w:tcPr>
            <w:tcW w:w="7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through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294,889 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294,889 </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Shares were repurchased under the Repurchase Program. The Repurchase Program has no expiration date but may be terminated by the Board of Directors at any time. No shares were purchased other than through publicly announced programs during the periods shown.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On May 1, 2023, the Board of Directors authorized an aggregate of $100.0 million in share repurchases under the Repurchase Program. Amounts shown in this column reflect amounts remaining under the Repurchase Program referenced in Note 14 - Stockholders’ Equity to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color w:val="000000"/>
          <w:sz w:val="20"/>
          <w:shd w:fill="FFFFFF" w:val="clear"/>
        </w:rPr>
        <w:t>[Reserved].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Item 1. Business, Item 1A. Risk Factors, Forward-Looking Statements, and Item 15. Consolidated Financial Statements and the accompanying notes and other data, all of which appear elsewhere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(MD&amp;A) below generally discusses 2024 and 2023 items and year-to-year comparisons between 2024 and 2023. Discussions of 2022 items and year-to-year comparisons between 2023 and 2022 that are not included in this Form 10-K can be found in “Management’s Discussion and Analysis of Financial Condition and Results of Operations” in the Company’s Annual Report on Form 10-K for the fiscal year ended December 31, 2023 filed with the SEC on February 23, 2024 and such information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Business Overview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Workforce Solutions Group, Inc. (WSG) and Mint Medical Physician Staffing, LP and Lotus Medical Staffing LLC (collectively, Mint).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workforce solutions include MSPs, VMS, in-home care services, education health services, RPO, project management, and other outsourcing and consultative services as described in Item 1. Business in this Annual Report on Form 10-K. By utilizing the solutions that we offer, customers are able to better plan their personnel needs, optimize their talent acquisition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processes, strategically flex and balance their workforce, have access to quality healthcare personnel, and provide continuity of care for improved patient outcomes.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Company's two reportable segments, Nurse and Allied Staffing and Physician Staffing, represented approximately 85% and 15%, respectively, of total revenue for the year ended December 31, 2024. See further discussion of these segments in Item 1. </w:t>
      </w:r>
      <w:r>
        <w:rPr>
          <w:rFonts w:ascii="Times New Roman;sans-serif" w:hAnsi="Times New Roman;sans-serif"/>
          <w:b w:val="false"/>
          <w:i/>
          <w:color w:val="000000"/>
          <w:sz w:val="20"/>
        </w:rPr>
        <w:t xml:space="preserve">Business </w:t>
      </w:r>
      <w:r>
        <w:rPr>
          <w:rFonts w:ascii="Times New Roman;sans-serif" w:hAnsi="Times New Roman;sans-serif"/>
          <w:b w:val="false"/>
          <w:color w:val="000000"/>
          <w:sz w:val="20"/>
        </w:rPr>
        <w:t>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 ended December 31, 2024, consolidated revenue declined 33.5% year-over-year to $1.3 billion, as travel</w:t>
      </w:r>
    </w:p>
    <w:p>
      <w:pPr>
        <w:pStyle w:val="TextBody"/>
        <w:bidi w:val="0"/>
        <w:spacing w:lineRule="auto" w:line="288" w:before="0" w:after="0"/>
        <w:jc w:val="left"/>
        <w:rPr/>
      </w:pPr>
      <w:r>
        <w:rPr>
          <w:rFonts w:ascii="Times New Roman;sans-serif" w:hAnsi="Times New Roman;sans-serif"/>
          <w:b w:val="false"/>
          <w:color w:val="000000"/>
          <w:sz w:val="20"/>
          <w:shd w:fill="FFFFFF" w:val="clear"/>
        </w:rPr>
        <w:t>nurse and allied has seen a decline in both billable days and average bill rates. These declines were</w:t>
      </w:r>
      <w:r>
        <w:rPr>
          <w:color w:val="000000"/>
        </w:rPr>
        <w:t xml:space="preserve"> </w:t>
      </w:r>
      <w:r>
        <w:rPr>
          <w:rFonts w:ascii="Times New Roman;sans-serif" w:hAnsi="Times New Roman;sans-serif"/>
          <w:b w:val="false"/>
          <w:color w:val="000000"/>
          <w:sz w:val="20"/>
        </w:rPr>
        <w:t xml:space="preserve">partly offset by continued growth in Homecare Staffing, which was up 12.4% year-over-year, as well as growth in the Physician Staffing segment, which was up 11.4% over the prior year. </w:t>
      </w:r>
      <w:r>
        <w:rPr>
          <w:rFonts w:ascii="Times New Roman;sans-serif" w:hAnsi="Times New Roman;sans-serif"/>
          <w:b w:val="false"/>
          <w:color w:val="000000"/>
          <w:sz w:val="20"/>
          <w:shd w:fill="FFFFFF" w:val="clear"/>
        </w:rPr>
        <w:t xml:space="preserve">In Homecare Staffing, the average number of full-time equivalents (FTEs) on contract during the year increased 13.4%, and in the Physician Staffing segment the number of days filled increased across several specialties. </w:t>
      </w:r>
      <w:r>
        <w:rPr>
          <w:rFonts w:ascii="Times New Roman;sans-serif" w:hAnsi="Times New Roman;sans-serif"/>
          <w:b w:val="false"/>
          <w:color w:val="000000"/>
          <w:sz w:val="20"/>
        </w:rPr>
        <w:t>Net loss attributable to common stockholders for the year ended December 31, 2024 was $14.6 million, as compared to net income of $72.6 million for the year ended December 31, 2023.</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 ended December 31, 2024, cash and cash equivalents totaled $81.6 million, up from $17.1 million in the prior year. During the year, we repurchased shares under our authorized repurchase plan through November 7, 2024, the termination date of our Rule 10b5-1 repurchase plan. Cash flow provided by operating activities for the year ended December 31, 2024 was $120.1 million. As of December 31, 2024, there were no borrowings drawn under the ABL, and borrowing base availability under the ABL was $146.9 million, with $132.0 million of availability net of $14.9 million of letters of credit. See Note 8 - Debt to our consolidated financial statements.</w:t>
      </w:r>
    </w:p>
    <w:p>
      <w:pPr>
        <w:pStyle w:val="TextBody"/>
        <w:bidi w:val="0"/>
        <w:spacing w:lineRule="auto" w:line="288" w:before="0" w:after="160"/>
        <w:jc w:val="left"/>
        <w:rPr/>
      </w:pPr>
      <w:r>
        <w:rPr>
          <w:rFonts w:ascii="Times New Roman;sans-serif" w:hAnsi="Times New Roman;sans-serif"/>
          <w:b w:val="false"/>
          <w:color w:val="000000"/>
          <w:sz w:val="20"/>
          <w:shd w:fill="FFFFFF" w:val="clear"/>
        </w:rPr>
        <w:t xml:space="preserve">On December 3, 2024, Cross Country entered into the Merger Agreement with Aya Healthcare. The completion of the Aya Merger was expected in the first half of 2025. </w:t>
      </w:r>
      <w:r>
        <w:rPr>
          <w:rFonts w:ascii="Times New Roman;sans-serif" w:hAnsi="Times New Roman;sans-serif"/>
          <w:b w:val="false"/>
          <w:color w:val="000000"/>
          <w:sz w:val="20"/>
        </w:rPr>
        <w:t xml:space="preserve">On February 20, 2025, the Company and Aya each received a request for additional information from the U.S. Federal Trade Commission in connection with their review of the transactions contemplated by the Merger Agreement. The Company now expects that the Aya Merger will close in the second half of 2025, </w:t>
      </w:r>
      <w:r>
        <w:rPr>
          <w:rFonts w:ascii="Times New Roman;sans-serif" w:hAnsi="Times New Roman;sans-serif"/>
          <w:b w:val="false"/>
          <w:color w:val="000000"/>
          <w:sz w:val="20"/>
          <w:shd w:fill="FFFFFF" w:val="clear"/>
        </w:rPr>
        <w:t>subject to the satisfaction of other customary closing conditions, including regulatory approvals. The Aya Merger was approved by the Company's stockholders at a special meeting held on February 28, 2025. Upon completion of the Aya Merger, it is expected that Cross Country will become a private company and its common stock will no longer trade on Nasdaq. See Note 1 - Organization and Basis of Presentation to our consolidated financial statements.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See Results of Operations, Segment Results, and Liquidity and Capital Resources sections that follow for further information.</w: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Operating Metrics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the Company's financial condition by tracking operating metrics and financial results specific to each segment. Key operating metrics include hours worked, days filled, number of contract personnel on an FTE basis, revenue per FTE, and revenue per day filled. Other operating metrics include number of open orders, candidate applications, contract bookings, length of assignment, bill and pay rates,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14"/>
        <w:gridCol w:w="494"/>
        <w:gridCol w:w="496"/>
        <w:gridCol w:w="2514"/>
        <w:gridCol w:w="2514"/>
        <w:gridCol w:w="3573"/>
      </w:tblGrid>
      <w:tr>
        <w:trPr/>
        <w:tc>
          <w:tcPr>
            <w:tcW w:w="61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Segment</w:t>
            </w:r>
          </w:p>
        </w:tc>
        <w:tc>
          <w:tcPr>
            <w:tcW w:w="8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Measurement</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Nurse and Allied Staffing </w:t>
            </w:r>
          </w:p>
        </w:tc>
        <w:tc>
          <w:tcPr>
            <w:tcW w:w="8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FTEs represent the average number of Nurse and Allied Staffing contract personnel on a full-time equivalent basis.</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revenue per FTE per day is calculated by dividing the Nurse and Allied Staffing revenue, excluding permanent placement, per FTE by the number of days worked in the respective periods. </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Physician Staffing</w:t>
            </w:r>
          </w:p>
        </w:tc>
        <w:tc>
          <w:tcPr>
            <w:tcW w:w="8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Days filled is calculated by dividing the total hours invoiced during</w:t>
              <w:br/>
              <w:t>the period, including an estimate for the impact of accrued revenue, by eight hours.</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day filled is calculated by dividing revenue as reported</w:t>
              <w:br/>
              <w:t xml:space="preserve">by days filled for the period presented.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for the periods indicated, selected consolidated statements of operations and comprehensive (loss) income data expressed as a percentage of revenue. Our historical results of operations are not necessarily indicative of future operating results.</w:t>
      </w:r>
    </w:p>
    <w:tbl>
      <w:tblPr>
        <w:tblW w:w="7385" w:type="dxa"/>
        <w:jc w:val="left"/>
        <w:tblInd w:w="0" w:type="dxa"/>
        <w:tblLayout w:type="fixed"/>
        <w:tblCellMar>
          <w:top w:w="28" w:type="dxa"/>
          <w:left w:w="28" w:type="dxa"/>
          <w:bottom w:w="28" w:type="dxa"/>
          <w:right w:w="28" w:type="dxa"/>
        </w:tblCellMar>
      </w:tblPr>
      <w:tblGrid>
        <w:gridCol w:w="1648"/>
        <w:gridCol w:w="1453"/>
        <w:gridCol w:w="1459"/>
        <w:gridCol w:w="352"/>
        <w:gridCol w:w="264"/>
        <w:gridCol w:w="472"/>
        <w:gridCol w:w="190"/>
        <w:gridCol w:w="190"/>
        <w:gridCol w:w="190"/>
        <w:gridCol w:w="352"/>
        <w:gridCol w:w="264"/>
        <w:gridCol w:w="551"/>
      </w:tblGrid>
      <w:tr>
        <w:trPr/>
        <w:tc>
          <w:tcPr>
            <w:tcW w:w="16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losses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 of Results for the Year Ended December 31, 2024 and the Year Ended December 31, 2023</w:t>
      </w:r>
    </w:p>
    <w:tbl>
      <w:tblPr>
        <w:tblW w:w="10205" w:type="dxa"/>
        <w:jc w:val="center"/>
        <w:tblInd w:w="0" w:type="dxa"/>
        <w:tblLayout w:type="fixed"/>
        <w:tblCellMar>
          <w:top w:w="28" w:type="dxa"/>
          <w:left w:w="28" w:type="dxa"/>
          <w:bottom w:w="28" w:type="dxa"/>
          <w:right w:w="28" w:type="dxa"/>
        </w:tblCellMar>
      </w:tblPr>
      <w:tblGrid>
        <w:gridCol w:w="1449"/>
        <w:gridCol w:w="1025"/>
        <w:gridCol w:w="1029"/>
        <w:gridCol w:w="211"/>
        <w:gridCol w:w="976"/>
        <w:gridCol w:w="109"/>
        <w:gridCol w:w="109"/>
        <w:gridCol w:w="109"/>
        <w:gridCol w:w="109"/>
        <w:gridCol w:w="211"/>
        <w:gridCol w:w="976"/>
        <w:gridCol w:w="109"/>
        <w:gridCol w:w="109"/>
        <w:gridCol w:w="109"/>
        <w:gridCol w:w="109"/>
        <w:gridCol w:w="269"/>
        <w:gridCol w:w="1131"/>
        <w:gridCol w:w="139"/>
        <w:gridCol w:w="109"/>
        <w:gridCol w:w="109"/>
        <w:gridCol w:w="109"/>
        <w:gridCol w:w="367"/>
        <w:gridCol w:w="329"/>
        <w:gridCol w:w="894"/>
      </w:tblGrid>
      <w:tr>
        <w:trPr/>
        <w:tc>
          <w:tcPr>
            <w:tcW w:w="144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2"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(129,578)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(119,292)</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(87,187)</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NM - Not meaningful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 from services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left"/>
        <w:rPr/>
      </w:pPr>
      <w:r>
        <w:rPr>
          <w:rFonts w:ascii="Times New Roman;sans-serif" w:hAnsi="Times New Roman;sans-serif"/>
          <w:b w:val="false"/>
          <w:color w:val="000000"/>
          <w:sz w:val="20"/>
          <w:shd w:fill="FFFFFF" w:val="clear"/>
        </w:rPr>
        <w:t>Revenue</w:t>
      </w:r>
      <w:r>
        <w:rPr>
          <w:color w:val="000000"/>
        </w:rPr>
        <w:t xml:space="preserve"> </w:t>
      </w:r>
      <w:r>
        <w:rPr>
          <w:rFonts w:ascii="Times New Roman;sans-serif" w:hAnsi="Times New Roman;sans-serif"/>
          <w:b w:val="false"/>
          <w:color w:val="000000"/>
          <w:sz w:val="20"/>
        </w:rPr>
        <w:t>from services decreased $0.7 billion, or 33.5%, to $1.3 billion for the year ended December 31, 2024, as compared to $2.0 billion for the year ended December 31, 2023, due to volume and bill rate declines in the Nurse and Allied Staffing segment, partially offset by an increase in both volume and avera</w:t>
      </w:r>
      <w:r>
        <w:rPr>
          <w:rFonts w:ascii="Times New Roman;sans-serif" w:hAnsi="Times New Roman;sans-serif"/>
          <w:b w:val="false"/>
          <w:color w:val="000000"/>
          <w:sz w:val="20"/>
          <w:shd w:fill="FFFFFF" w:val="clear"/>
        </w:rPr>
        <w:t>ge bill rates</w:t>
      </w:r>
      <w:r>
        <w:rPr>
          <w:color w:val="000000"/>
        </w:rPr>
        <w:t xml:space="preserve"> </w:t>
      </w:r>
      <w:r>
        <w:rPr>
          <w:rFonts w:ascii="Times New Roman;sans-serif" w:hAnsi="Times New Roman;sans-serif"/>
          <w:b w:val="false"/>
          <w:color w:val="000000"/>
          <w:sz w:val="20"/>
        </w:rPr>
        <w:t>in the Physician Staffing segment. See further discussion in Segment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Direct operating expenses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Direct operating expenses consist primarily of field employee compensation and independent contractor expenses, housing expenses, travel expenses, and related insurance expenses. Direct operating expenses decreased $0.5 billion, or 31.8%, to $1.1 billion for the year ended December 31, 2024, as compared to $1.6 billion for the year ended December 31, 2023, as a result of revenue decreas</w:t>
      </w:r>
      <w:r>
        <w:rPr>
          <w:rFonts w:ascii="Times New Roman;sans-serif" w:hAnsi="Times New Roman;sans-serif"/>
          <w:b w:val="false"/>
          <w:color w:val="000000"/>
          <w:sz w:val="20"/>
          <w:shd w:fill="FFFFFF" w:val="clear"/>
        </w:rPr>
        <w:t xml:space="preserve">es and the tightening of bill/pay spreads. </w:t>
      </w:r>
      <w:r>
        <w:rPr>
          <w:rFonts w:ascii="Times New Roman;sans-serif" w:hAnsi="Times New Roman;sans-serif"/>
          <w:b w:val="false"/>
          <w:color w:val="000000"/>
          <w:sz w:val="20"/>
        </w:rPr>
        <w:t>As a percentage of total revenue, direct operating expenses increased to 79.6%, as compared to 77.7% in the prior year.</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Selling, general and administrative expenses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Selling, general and administrative expenses decreased $66.9 million, or 22.3%, to $233.4 million for the year ended December 31, 2024, as compared to $300.3 million for the year ended December 31, 2023, primarily due to decreases in compensation and benefit expense, as well as marketing, consulting, and computer hardware and software expense. As a percentage of total revenue, selling, general and administrative expenses increased to 17.4% for the year ended December 31, 2024, as compared to</w:t>
      </w:r>
      <w:r>
        <w:rPr>
          <w:color w:val="000000"/>
          <w:shd w:fill="FFFFFF" w:val="clear"/>
        </w:rPr>
        <w:t xml:space="preserve"> </w:t>
      </w:r>
      <w:r>
        <w:rPr>
          <w:rFonts w:ascii="Times New Roman;sans-serif" w:hAnsi="Times New Roman;sans-serif"/>
          <w:b w:val="false"/>
          <w:color w:val="000000"/>
          <w:sz w:val="20"/>
          <w:shd w:fill="FFFFFF" w:val="clear"/>
        </w:rPr>
        <w:t>14.9% for the year ended 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Credit Loss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 for the year ended December 31, 2024 was $21.4 million, as compared to $14.6 million for the year ended December 31, 2023. The increase was driven by a bankruptcy filing by a single MSP customer. There was no significant impact on operations from this MSP client as the majority of the business had been wound down in the prior year. As a percentage of revenue, credit loss expense was 1.6% for the year ended December 31, 2024, as compared to 0.7% for the year ended December 31, 2023. See Note 2 - Summary of Significant Accounting Policies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Depreciation and amortization expense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left"/>
        <w:rPr/>
      </w:pPr>
      <w:r>
        <w:rPr>
          <w:rFonts w:ascii="Times New Roman;sans-serif" w:hAnsi="Times New Roman;sans-serif"/>
          <w:b w:val="false"/>
          <w:color w:val="000000"/>
          <w:sz w:val="20"/>
        </w:rPr>
        <w:t xml:space="preserve">Depreciation and amortization expense for the year ended </w:t>
      </w:r>
      <w:r>
        <w:rPr>
          <w:rFonts w:ascii="Times New Roman;sans-serif" w:hAnsi="Times New Roman;sans-serif"/>
          <w:b w:val="false"/>
          <w:color w:val="000000"/>
          <w:sz w:val="20"/>
          <w:shd w:fill="FFFFFF" w:val="clear"/>
        </w:rPr>
        <w:t>December 31, 2024 was</w:t>
      </w:r>
      <w:r>
        <w:rPr>
          <w:color w:val="000000"/>
        </w:rPr>
        <w:t xml:space="preserve"> </w:t>
      </w:r>
      <w:r>
        <w:rPr>
          <w:rFonts w:ascii="Times New Roman;sans-serif" w:hAnsi="Times New Roman;sans-serif"/>
          <w:b w:val="false"/>
          <w:color w:val="000000"/>
          <w:sz w:val="20"/>
        </w:rPr>
        <w:t xml:space="preserve">$18.2 million as compared to $18.3 million for the year ended December 31, 2023. As a percentage of revenue, depreciation and amortization expense was 1.4% for the year ended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and 0.9% for the year ended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 and integration-related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 relate primarily to fees associated with the pending Aya Merger. See Note 1 - Organization and Basis of Presentation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Restructuring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of $4.3 million for the year ended December 31, 2024 were primarily comprised of employee termination costs, ongoing lease exit costs, and immaterial software license costs. Restructuring costs of $2.6 million for the year ended December 31, 2023 were primarily comprised of employee termination costs, partially offset by an immaterial lease-related benefit. See Note 2 - Summary of Significant Accounting Policies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Legal and other losses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During the year ended December 31, 2024, the Company recorded legal and other losses of $6.7 million, which included the settlement of several class action lawsuits, as well as costs related to an unrecoverable asset. For</w:t>
      </w:r>
      <w:r>
        <w:rPr>
          <w:color w:val="000000"/>
        </w:rPr>
        <w:t xml:space="preserve"> </w:t>
      </w:r>
      <w:r>
        <w:rPr>
          <w:rFonts w:ascii="Times New Roman;sans-serif" w:hAnsi="Times New Roman;sans-serif"/>
          <w:b w:val="false"/>
          <w:color w:val="000000"/>
          <w:sz w:val="20"/>
        </w:rPr>
        <w:t>the year ended December 31, 2023, the Company incurred legal settlement charges of $1.1 million related to the settlement of a wage and hour class action lawsuit and associated legal fees.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Impairment charges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impairment charges totaled $2.9 million for the year ended December 31, 2024 and related to right-of-use assets and related property in connection with vacated leases during 2024, as well as the write-off of goodwill and intangible assets associated with the impairment of the previous asset acquisition Selected. Non-cash impairment charges totaled $0.7 million for the year ended December 31, 2023 and related to the write-off of an abandoned IT project and real estate restructuring activities. See Note 5 - Goodwill, Trade Names, and Other Intangible Assets and Note 9 - Leases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expense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$2.2 million for the year ended December 31, 2024 as compared to $8.1 million for the year ended December 31, 2023, due to lower average borrowings, partially offset by a higher effective interest 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Loss on early extinguishment of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 for the year ended December 31, 2023 consisted of the write-off of debt issuance costs related to the repayment and termination of our term loan in the second quarter of 2023. There were no such charges for the year ended 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of $2.1 million for the year ended December 31, 2024 related to higher average cash on hand with higher available interest rates during the year. Interest income was an immaterial amount for the year ended December 31, 2023.</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i/>
          <w:color w:val="000000"/>
          <w:sz w:val="20"/>
          <w:shd w:fill="FFFFFF" w:val="clear"/>
        </w:rPr>
        <w:t>I</w:t>
      </w:r>
      <w:r>
        <w:rPr>
          <w:rFonts w:ascii="Times New Roman;sans-serif" w:hAnsi="Times New Roman;sans-serif"/>
          <w:b/>
          <w:i/>
          <w:color w:val="000000"/>
          <w:sz w:val="20"/>
          <w:shd w:fill="FFFFFF" w:val="clear"/>
        </w:rPr>
        <w:t>ncome tax (benefit)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totaled $1.8 million for the year ended December 31, 2024, as compared to income tax expense of $30.3 million for the year ended December 31, 2023. The decrease in income tax expense was related to a decrease in book income primarily driven by credit loss expense as discussed in Note 2 - Summary of Significant Accounting Policies to our consolidated financial statements. The tax amounts in 2024 and 2023 were impacted by federal, international, and state taxes. See Note 13 - Income Taxes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Segment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on operating segments and a reconciliation to (loss) income from operations for the periods indicated are as follows:</w:t>
      </w:r>
    </w:p>
    <w:tbl>
      <w:tblPr>
        <w:tblW w:w="6399" w:type="dxa"/>
        <w:jc w:val="center"/>
        <w:tblInd w:w="0" w:type="dxa"/>
        <w:tblLayout w:type="fixed"/>
        <w:tblCellMar>
          <w:top w:w="28" w:type="dxa"/>
          <w:left w:w="28" w:type="dxa"/>
          <w:bottom w:w="28" w:type="dxa"/>
          <w:right w:w="28" w:type="dxa"/>
        </w:tblCellMar>
      </w:tblPr>
      <w:tblGrid>
        <w:gridCol w:w="1245"/>
        <w:gridCol w:w="1090"/>
        <w:gridCol w:w="1100"/>
        <w:gridCol w:w="211"/>
        <w:gridCol w:w="976"/>
        <w:gridCol w:w="109"/>
        <w:gridCol w:w="109"/>
        <w:gridCol w:w="109"/>
        <w:gridCol w:w="109"/>
        <w:gridCol w:w="211"/>
        <w:gridCol w:w="97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services: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Nurse and Allied Staffing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Staffing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Nurse and Allied Staffing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Staffing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17 - Segment Data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statistical data for our business segments for the periods indicated are as follows:</w:t>
      </w:r>
    </w:p>
    <w:tbl>
      <w:tblPr>
        <w:tblW w:w="9781" w:type="dxa"/>
        <w:jc w:val="center"/>
        <w:tblInd w:w="0" w:type="dxa"/>
        <w:tblLayout w:type="fixed"/>
        <w:tblCellMar>
          <w:top w:w="28" w:type="dxa"/>
          <w:left w:w="28" w:type="dxa"/>
          <w:bottom w:w="28" w:type="dxa"/>
          <w:right w:w="28" w:type="dxa"/>
        </w:tblCellMar>
      </w:tblPr>
      <w:tblGrid>
        <w:gridCol w:w="1797"/>
        <w:gridCol w:w="1578"/>
        <w:gridCol w:w="1589"/>
        <w:gridCol w:w="221"/>
        <w:gridCol w:w="647"/>
        <w:gridCol w:w="114"/>
        <w:gridCol w:w="114"/>
        <w:gridCol w:w="114"/>
        <w:gridCol w:w="114"/>
        <w:gridCol w:w="221"/>
        <w:gridCol w:w="647"/>
        <w:gridCol w:w="114"/>
        <w:gridCol w:w="109"/>
        <w:gridCol w:w="109"/>
        <w:gridCol w:w="109"/>
        <w:gridCol w:w="215"/>
        <w:gridCol w:w="475"/>
        <w:gridCol w:w="109"/>
        <w:gridCol w:w="109"/>
        <w:gridCol w:w="109"/>
        <w:gridCol w:w="109"/>
        <w:gridCol w:w="293"/>
        <w:gridCol w:w="293"/>
        <w:gridCol w:w="472"/>
      </w:tblGrid>
      <w:tr>
        <w:trPr/>
        <w:tc>
          <w:tcPr>
            <w:tcW w:w="179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Nurse and Allied Staffing statistical data:</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FTEs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Nurse and Allied Staffing revenue per FTE per day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Physician Staffing statistical data:</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Days filled </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per day filled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See definition of Business Measurements under the Operating Metrics section of the MD&amp;A.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Segment Comparison - Year Ended December 31, 2024 and Year Ended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Nurse and Allied Staffing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Revenue decreased $0.7 billion, or 37.8%, to $1.1 billion for the year ended December 31, 2024, as compared to $1.8 billion for the year ended December 31, 2023, driven primarily by a 24.2% decline in professionals on assignment and, to a lesser extent, an 18.2% normalization in bill rates</w:t>
      </w:r>
      <w:r>
        <w:rPr>
          <w:rFonts w:ascii="Times New Roman;sans-serif" w:hAnsi="Times New Roman;sans-serif"/>
          <w:b w:val="false"/>
          <w:color w:val="000000"/>
          <w:sz w:val="20"/>
          <w:shd w:fill="FFFFFF" w:val="clear"/>
        </w:rPr>
        <w:t xml:space="preserve">, as many customers seek to reduce their spend on contingent labor and the market continues to show signs of nearing an inflection.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 for the year ended December 31, 2024 decreased $124.2 million, or 63.1%, to $72.6 million, as compared to $196.8 million for the year ended December 31, 2023. Contribution income for the year ended December 31, 2024 included $19.4 million of credit loss expense driven by a bankruptcy filing by a single MSP customer recognized during the second quarter of 2024. As a percentage of segment revenue, contribution income margin decreased to 6.3% for the year ended December 31, 2024, as compared to 10.7% for the year ended December 31, 2023.</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The average number of FTEs on contract during the year ended December 31, 2024 decreased 24.2% from the year ended December 31, 2023, </w:t>
      </w:r>
      <w:r>
        <w:rPr>
          <w:rFonts w:ascii="Times New Roman;sans-serif" w:hAnsi="Times New Roman;sans-serif"/>
          <w:b w:val="false"/>
          <w:color w:val="000000"/>
          <w:sz w:val="20"/>
          <w:shd w:fill="FFFFFF" w:val="clear"/>
        </w:rPr>
        <w:t>primarily due to declines in the number of professionals on travel or per diem assignments</w:t>
      </w:r>
      <w:r>
        <w:rPr>
          <w:rFonts w:ascii="Times New Roman;sans-serif" w:hAnsi="Times New Roman;sans-serif"/>
          <w:b w:val="false"/>
          <w:color w:val="000000"/>
          <w:sz w:val="20"/>
        </w:rPr>
        <w:t>. The average revenue per FTE per day decreased 18.2%, due to the decrease in the average bill rates.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Physician Staffing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Revenue increased $20.3 million, or 11.4%, to $198.6 million for the year ended December 31, 2024, as compared to $178.3 million for the year ended December 31, 2023, </w:t>
      </w:r>
      <w:r>
        <w:rPr>
          <w:rFonts w:ascii="Times New Roman;sans-serif" w:hAnsi="Times New Roman;sans-serif"/>
          <w:b w:val="false"/>
          <w:color w:val="000000"/>
          <w:sz w:val="20"/>
          <w:shd w:fill="FFFFFF" w:val="clear"/>
        </w:rPr>
        <w:t>primarily due to a 5.8% increase in billable days.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 for the year ended December 31, 2024 increased $5.5 million, or 56.8%, to $15.3 million, as compared to $9.8 million for the year ended December 31, 2023. As a percentage of segment revenue, contribution income was 7.7% for the year ended December 31, 2024 and 5.5% for the year ended December 31,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Total days filled increased 5.8%, to 97,888 for the year ended December 31, 2024, as compared to 92,504 for the year ended December 31, 2023. Revenue per day filled was $2,029 for the year ended December 31, 2024 and $1,927 for the year ended December 31, 2023, due to price increase</w:t>
      </w:r>
      <w:r>
        <w:rPr>
          <w:rFonts w:ascii="Times New Roman;sans-serif" w:hAnsi="Times New Roman;sans-serif"/>
          <w:b w:val="false"/>
          <w:color w:val="000000"/>
          <w:sz w:val="20"/>
          <w:shd w:fill="FFFFFF" w:val="clear"/>
        </w:rPr>
        <w:t>s and a favorable mix in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Corporate overhead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includes unallocated executive leadership and other centralized corporate functional support costs such as finance, IT, legal, human resources, and marketing, as well as public company expenses and corporate-wide projects. Corporate overhead decreased to $68.5 million for the year ended December 31, 2024, from $71.0 million for the year ended December 31, 2023, primarily due to decreases in compensation and benefit expense, and professional fees, partially offset by increases in insurance and workers' compensation. As a percentage of consolidated revenue, corporate overhead was 5.1% for the year ended December 31, 2024, and 3.5% for the year ended December 31, 2023.</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reported $81.6 million in cash and cash equivalents, with no borrowings drawn under the ABL. Working capital decreased by $46.2 million to $214.6 million as of December 31, 2024, as compared to $260.8 million as of December 31, 2023, primarily due to a decrease in net receivables and the timing of disbursements. As of December 31, 2024, our days' sales outstanding, net of amounts owed to subcontractors, was 55 days, down 11 days year-over-year. As of December 31, 2024, we did not have any off-balance sheet arrangements.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constitutes our primary source of liquidity and, historically, has been sufficient to fund working capital, capital expenditures, internal business expansion, and debt service. This includes commitments, both short-term and long-term, of interest expense on our debt and operating lease commitments, and future principal payments on the ABL. We expect to meet our future needs from a combination of cash on hand, operating cash flows, and funds available through the ABL. See debt discussion which follows.</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color w:val="000000"/>
          <w:sz w:val="20"/>
        </w:rPr>
        <w:t xml:space="preserve">In the third quarter of 2022, the Board of Directors authorized the New Repurchase Program, whereby we could repurchase up to $100.0 million shares of our common stock. Upon completion of the authorized number of shares available for repurchase under the Prior Repurchase Program, we commenced repurchases under the New Repurchase Program during the third quarter of 2022. </w:t>
      </w:r>
      <w:r>
        <w:rPr>
          <w:rFonts w:ascii="Times New Roman;sans-serif" w:hAnsi="Times New Roman;sans-serif"/>
          <w:b w:val="false"/>
          <w:color w:val="000000"/>
          <w:sz w:val="20"/>
          <w:shd w:fill="FFFFFF" w:val="clear"/>
        </w:rPr>
        <w:t xml:space="preserve">In the second quarter of 2023, the Board of Directors authorized the replenishment of the amount available for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left"/>
        <w:rPr/>
      </w:pPr>
      <w:r>
        <w:rPr>
          <w:rFonts w:ascii="Times New Roman;sans-serif" w:hAnsi="Times New Roman;sans-serif"/>
          <w:b w:val="false"/>
          <w:color w:val="000000"/>
          <w:sz w:val="20"/>
          <w:shd w:fill="FFFFFF" w:val="clear"/>
        </w:rPr>
        <w:t>repurchases under the New Repurchase Program back to $100 million, effective for trades made after May 3, 2023 (Repurchase Program).</w:t>
      </w:r>
      <w:r>
        <w:rPr>
          <w:color w:val="000000"/>
        </w:rPr>
        <w:t xml:space="preserve"> </w:t>
      </w:r>
      <w:r>
        <w:rPr>
          <w:rFonts w:ascii="Times New Roman;sans-serif" w:hAnsi="Times New Roman;sans-serif"/>
          <w:b w:val="false"/>
          <w:color w:val="000000"/>
          <w:sz w:val="20"/>
        </w:rPr>
        <w:t>During the fourth quarter of</w:t>
      </w:r>
      <w:r>
        <w:rPr>
          <w:color w:val="000000"/>
          <w:shd w:fill="FFFFFF" w:val="clear"/>
        </w:rPr>
        <w:t xml:space="preserve"> </w:t>
      </w:r>
      <w:r>
        <w:rPr>
          <w:rFonts w:ascii="Times New Roman;sans-serif" w:hAnsi="Times New Roman;sans-serif"/>
          <w:b w:val="false"/>
          <w:color w:val="000000"/>
          <w:sz w:val="20"/>
          <w:shd w:fill="FFFFFF" w:val="clear"/>
        </w:rPr>
        <w:t>2022, we entered into a Rule 10b5-1 Repurchase Plan to allow for share repurchases during blackout periods, effective through November 2, 2023. In the third quarter of 2023, we entered into a new Rule 10b5-1 Repurchase Plan to allow for share repurchases during the Company's blackout periods, beginning on January 2, 2024 and effective through November 7, 2024. During the year ended December 31, 2024, we repurchased and retired a total of 2,401,924 shares of common stock for $36.8 million, at an average price of $15.31 per share. During the year ended December 31, 2023, we repurchased and retired a total of 2,343,583 shares of common stock for $57.6 million, at an average price of $24.58 per share. As of December 31, 2024, we had $40.5 million remaining for share repurchase under the Repurchase Program, subject to certain conditions in the Loan Agreement (as defined below).</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 Comparisons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Year Ended December 31, 2024 Compared to Year Ended December 31, 2023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$128.4 million to $120.1 million for the year ended December 31, 2024, as compared to $248.5 million for the year ended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2024 was $8.7 million, as compared to $13.8 million for the year ended December 31, 2023, primarily for capital expenditures in both years, and a small acquisition in the prior year.</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year ended December 31, 2024 was $46.8 million, as compared to $221.2 million during the year ended December 31, 2023. During the year ended December 31, 2024, we used cash to pay $2.9 million for income taxes on share-based compensation, $37.3 million for share repurchases and related excise tax, and $6.6 million for contingent consideration. During the year ended December 31, 2023, we reported net repayments of $150.7 million on debt, and used cash to pay $4.9 million for income taxes on share-based compensation, $57.6 million for share repurchases, $7.5 million for contingent consideration, and an immaterial amount for other financing activities.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2021 Term Loan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2021, we entered into the Term Loan Credit Agreement (Term Loan Agreement), which provided for a six-year second lien subordinated term loan in the amount of $100.0 million (term loan). On November 18, 2021, we amended the Term Loan Agreement (Term Loan First Amendment), which provided the Company an incremental term loan in an aggregate amount equal to $75.0 million. On April 14, 2023, we amended the Term Loan Agreement (Term Loan Second Amendment), which provided the option for all or a portion of the borrowings to bear interest at a rate based on the Secured Overnight Financing Rate (SOFR) or the Base Rate (as defined in the Term Loan Agreement), at the election of the borrowers, plus an applicable margin. With respect to any SOFR loan, the rate per annum was equal to the Term SOFR (as defined in the Term Loan Second Amendment) for the interest period plus an adjustment of 10 basis points due to the credit spread associated with the transition to SOFR.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Note 8 - Debt to our consolidated financial statements, on June 30, 2023, we repaid all outstanding obligations under the term loan, and terminated the Term Loan Agreement. As a result, debt issuance costs of $1.7 million were written off in the second quarter of 2023 and are included as loss on early extinguishment of debt in the consolidated statements of operations and comprehensive (loss) income. All subsidiary guarantees of the term loan were automatically released upon the termination of the Term Loan Agreement.</w: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2019 Asset-Based Loan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October 25, 2019, the prior senior credit facility entered into in August 2017 was replaced by a $120.0 million asset-based loan agreement (Loan Agreement), which provided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permitted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the Secured Overnight Financing Rate (SOFR) or Base Rate (as defined in the Loan Agreement), at the election of the borrowers, plus an applicable margin. On September 29, 2023, we amended the Loan Agreement (Sixth Amendment), which changed the minimum fixed charge coverage ratio from a maintenance covenant to a springing covenant based on excess availability. On July 29, 2024, we amended the Loan Agreement (Seventh Amendment), which allows for all share repurchases paid in cash prior to June 30, 2024 and thereafter to be excluded as restricted payments in the fixed charge coverage ratio calculation if there is no revolving ABL balance.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interest rate spreads and fees under the ABL were based on SOFR plus 1.85% for the revolving portion of the borrowing base. The Base Rate margin would have been 0.75% for the revolving portion. The SOFR and Base Rate margins are subject to monthly adjustments, pursuant to a pricing matrix based on our excess availability under the revolving credit facility. In addition, the facility is subject to an unused line fee, letter of credit fees, and an administrative fee. Borrowing base availability under the ABL was $146.9 million as of December 31, 2024, with no borrowings drawn and $132.0 million of availability net of $14.9 million of letters of credit. For the three months ended December 31, 2024, the excess availability did not fall below the stated threshold and, as a result, there was no covenant compliance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8 - Debt to our consolidated financial statements.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Critical Accounting Policies and Estimates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identified the following critical accounting policies that affect the more significant judgments and estimates used in the preparation of our consolidated financial statements. The preparation of our consolidated financial statements in conformity with accounting principles generally accepted in the United States of America requires us to make estimates and judgments that affect our reported amounts of assets and liabilities, revenues and expenses, and related disclosures of contingent assets and liabilities. These estimates and judgments may also be impacted by the deterioration of demand for our services, deterioration of labor market conditions, reduction of our stock price for an extended period, or other factors as described in Item 1A. Risk Factors. We evaluate our estimates on an on-going basis, including those related to asset impairment, accruals for self-insurance, allowance for doubtful accounts and sales allowances, taxes and other contingencies, and litigation. We state our accounting policies in the notes to the audited consolidated financial statements for the year ended December 31, 2024. See Note 2 - Summary of Significant Accounting Policies contained herein. These estimates are based on information that is currently available to us and on various assumptions that we believe to be reasonable under the circumstances, but come with certain risks and uncertainties, including but not limited to: projections of future income and cash flows, market demand, inflationary pressures, long-term growth rates, the identification of appropriate market multiples, royalty rates, and the choice of an appropriate discount rate. Actual results could vary from those estimates under different assumptions or conditions.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critical accounting policies affect the more significant judgments and estimates used in the preparation of our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Goodwill, trade names, and other intangible assets</w:t>
      </w:r>
      <w:r>
        <w:rPr>
          <w:color w:val="FF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acquisitions typically result in the recording of goodwill, trade names, and other intangible assets, and the recorded values of those assets may become impaired in the future. The determination of the value of such intangible assets requires management to make estimates and assumptions that affect our consolidated financial statements. Historically, for intangible assets purchased in a business combination, the estimated fair values of the assets received were used to establish their recorded values. Effective January 1, 2023, related revenue contracts with customers are accounted for as if we had originated the contracts. The acquired contract assets and contract liabilities are recognized and measured consistent with how they were recognized and measured in the acquiree's financial statements. As more fully described in Note 2 - Summary of Significant Accounting Policies, we assess the impairment of goodwill of our reporting units and indefinite-lived intangible assets annually, or more often if events or changes in circumstances indicate that the carrying value may not be recoverable.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Application of the goodwill impairment test requires judgment, including the identification of reporting units, assignment of assets and liabilities to reporting units, assignment of goodwill to reporting units, and determination of the fair value of each reporting unit. Significant judgments are required to estimate the fair value of reporting units including estimating future cash flows, and determining appropriate discount rates, growth rates, company control premium, and other assumptions. Changes in these estimates and assumptions could materially affect the determination of fair value for each reporting unit. See Note 5 -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Trade Names, and Other Intangible Assets, where impairment testing in 2024, 2023, and 2022 is more fully described.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related to our trade names were not amortized but instead tested for impairment at least annually, or more frequently should an event or circumstances indicate that a reduction in fair value may have occurred. We perform testing of indefinite-lived intangible assets, other than goodwill, at the asset group level using the relief from royalty method. If the carrying value exceeds the fair value, an impairment loss is recorded for that excess.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estimates and assumptions made for purposes of the annual impairment test will prove to be accurate predictions of the future. Although management believes the assumptions and estimates made are reasonable and appropriate, different assumptions and estimates could materially impact the reported financial results.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Health, workers</w:t>
      </w:r>
      <w:r>
        <w:rPr>
          <w:color w:val="000000"/>
          <w:shd w:fill="FFFFFF" w:val="clear"/>
        </w:rPr>
        <w:t xml:space="preserve">’ </w:t>
      </w:r>
      <w:r>
        <w:rPr>
          <w:rFonts w:ascii="Times New Roman;sans-serif" w:hAnsi="Times New Roman;sans-serif"/>
          <w:b/>
          <w:i/>
          <w:color w:val="000000"/>
          <w:sz w:val="20"/>
          <w:shd w:fill="FFFFFF" w:val="clear"/>
        </w:rPr>
        <w:t>compensation, and professional liability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accruals for our health, workers’ compensation, and professional liability claims that are partially self-insured and are classified as accrued compensation and benefits on our consolidated balance sheets. We determine the adequacy of these accruals by periodically evaluating our historical experience and trends related to health, workers’ compensation, and professional liability claims and payments, based on actuarial models, as well as industry experience and trends. If such models indicate that our accruals are overstated or understated, we will adjust accruals as appropriate. Healthcare insurance accruals have fluctuated with increases or decreases in the average number of corporate employees and healthcare professionals on assignment as well as actual company experience and increases in national healthcare costs. As of December 31, 2024 and 2023, we had $4.8 million and $6.6 million accrued, respectively, for incurred but not reported health insurance claims. Corporate and field employees are covered through a partially self-insured health plan. Workers’ compensation insurance accruals can fluctuate over time due to the number of employees and inflation, as well as additional exposures arising from the current policy year. As of December 31, 2024, and 2023, we had $12.8 million and $12.6 million accrued for case reserves and for incurred but not reported workers’ compensation claims, net of insurance receivables, respectively. The accrual for workers’ compensation is based on an actuarial model which is prepared or reviewed by an independent actuary semi-annually. As of December 31, 2024, and 2023, we had $7.1 million and $3.1 million accrued, respectively, for case reserves and for incurred but not reported professional liability claims, net of insurance receivables. The accrual for professional liability is based on actuarial models which are prepared by an independent actuary semi-annually.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 recognition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from our services when control of the promised services is transferred to our customers, in an amount that reflects the consideration we expect to receive in exchange for the service. We have concluded that transfer of control of our staffing services, which represents the majority of our revenues, occurs over time as the services are provided.</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nature, amount, timing and uncertainty of revenue and cash flows from which we generate revenue.</w:t>
      </w:r>
    </w:p>
    <w:p>
      <w:pPr>
        <w:pStyle w:val="TextBody"/>
        <w:bidi w:val="0"/>
        <w:spacing w:lineRule="auto" w:line="417"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Temporary Staffing Revenue</w:t>
      </w:r>
    </w:p>
    <w:p>
      <w:pPr>
        <w:pStyle w:val="TextBody"/>
        <w:bidi w:val="0"/>
        <w:spacing w:lineRule="auto" w:line="288" w:before="0" w:after="160"/>
        <w:jc w:val="left"/>
        <w:rPr/>
      </w:pPr>
      <w:r>
        <w:rPr>
          <w:rFonts w:ascii="Times New Roman;sans-serif" w:hAnsi="Times New Roman;sans-serif"/>
          <w:b w:val="false"/>
          <w:color w:val="000000"/>
          <w:sz w:val="20"/>
        </w:rPr>
        <w:t>Revenue from temporary staffing is recognized as control of the services is transferred over time and is based on hours worked by our field staff. We recognize the majority of our revenue at the contractual amount we have the right to invoice for services 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2024 and December 31, 2023, our estimate of amounts that had been worked but had not been billed totaled $60.4 million and $89.9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respectively, and are included in accounts receivable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Services Revenue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offer other services to our customers that are transferred over time including: MSPs providing agency services (as further described below in Gross Versus Net Policies), RPO, other outsourcing services, and retained search services, as well as separately billable travel and housing costs, which in total amount to less than 5% of our consolidated revenue for the years ended December 31, 2024. 2023, and 2022. Generally, billing and payment terms for MSP agency services are consistent with temporary staffing as the customers are similar or the same. Revenue from these services is recognized based on the contractual amount for services completed to date which best depicts the transfer of control of services.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For our RPO, other outsourcing, and retained search services, revenue is generally recognized in the amount to which the entity has a right to invoice which corresponds directly with the value to the customer. We do not, in the ordinary course of business, offer warranties or refunds.</w:t>
      </w:r>
    </w:p>
    <w:p>
      <w:pPr>
        <w:pStyle w:val="TextBody"/>
        <w:bidi w:val="0"/>
        <w:spacing w:lineRule="auto" w:line="417"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Versus Net Policies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record revenue on a gross basis as a principal or on a net basis as an agent depending on the contracted arrangement, as follows: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We have certain contracts with acute care facilities to provide comprehensive MSP solutions. Under these contract arrangements, we primarily use our nurses, along with third-party subcontractors, to fulfill customer orders. If a subcontractor is used, we invoice our customer for these services, but revenue is recorded at the time of billing, net of any related subcontractor liability. The resulting net revenue represents the administrative fee charged by us for our MSP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 from our Physician Staffing business is recognized on a gross basis as we are the principal in the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Allowances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We</w:t>
      </w:r>
      <w:r>
        <w:rPr>
          <w:color w:val="000000"/>
        </w:rPr>
        <w:t xml:space="preserve"> </w:t>
      </w:r>
      <w:r>
        <w:rPr>
          <w:rFonts w:ascii="Times New Roman;sans-serif" w:hAnsi="Times New Roman;sans-serif"/>
          <w:b w:val="false"/>
          <w:color w:val="000000"/>
          <w:sz w:val="20"/>
        </w:rPr>
        <w:t>maintain an allowance for credit losses for estimated losses resulting from the inability of our customers to make required payments, which results in a provision for credit loss expense. We determine the adequacy of this allowance based on historical write-off experience, current conditions, an analysis of the aging of outstanding receivables and customer payment patterns, and specific reserves for customers in adverse conditions adjusted for current expectations for the customers or industry. Based on the information currently available, we also consider current expectations of future economic conditions when estimating our allowance for credit losses. If the financial condition of our customers were to deteriorate, resulting in an impairment of their ability to make payments, additional allowances may be required. We write off specific accounts based on an ongoing review of collectability as well as our past experience with the customer. In addition, we maintain a sales allowance for rate and hour differences which may arise in the ordinary course of business and adjustments to the reserve are recorded as contra-revenue. As of December 31, 2024 and 2023, our total allowances were $9.3 million and $20.5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Contingent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litigation, claims, investigations, and other proceedings that arise in the ordinary course of our business. These matters primarily relate to employee-related matters that include individual and collective claims, professional liability, tax, and payroll practices. Our healthcare facility customers may also become subject to claims, governmental inquiries and investigations, and legal actions to which we may become a party relating to services provided by our professionals. We record a liability when available information indicates that a loss is probable, and an amount or range of loss can be reasonably estimated. Significant judgment is required to determine both the probability of loss and the estimated amount. At least quarterly, we review our accrual and/or disclosures to reflect the impact of negotiations, settlements, rulings, advice of legal counsel, or new information. However, losses ultimately incurred could materially differ from amounts accrued. See Note 12 -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Deferred tax assets and liabilities are recognized for the future tax consequences attributable to differences between financial statement carrying amounts of existing assets and liabilities and their respective tax bases and operating loss and other loss carryforwards. Deferred tax assets and liabilities are measured using enacted tax rates expected to apply to taxable income in the years in which those temporary differences are expected to be recovered or settled. As of December 31, 2024, we have deferred tax assets related to certain federal, state, and foreign NOL carryforwards of</w:t>
      </w:r>
      <w:r>
        <w:rPr>
          <w:color w:val="000000"/>
          <w:shd w:fill="FFFFFF" w:val="clear"/>
        </w:rPr>
        <w:t xml:space="preserve"> </w:t>
      </w:r>
      <w:r>
        <w:rPr>
          <w:rFonts w:ascii="Times New Roman;sans-serif" w:hAnsi="Times New Roman;sans-serif"/>
          <w:b w:val="false"/>
          <w:color w:val="000000"/>
          <w:sz w:val="20"/>
          <w:shd w:fill="FFFFFF" w:val="clear"/>
        </w:rPr>
        <w:t>$6.6 m</w:t>
      </w:r>
      <w:r>
        <w:rPr>
          <w:rFonts w:ascii="Times New Roman;sans-serif" w:hAnsi="Times New Roman;sans-serif"/>
          <w:b w:val="false"/>
          <w:color w:val="000000"/>
          <w:sz w:val="20"/>
        </w:rPr>
        <w:t xml:space="preserve">illion. But for those NOL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carryforwards with an indefinite carryover, the carryforwards will expire as follows: state between 2026 and 2041, and foreign between 2024 and 2028. As of December 31, 2023, we had deferred tax assets related to certain state and foreign NOL carryforwards of</w:t>
      </w:r>
      <w:r>
        <w:rPr>
          <w:color w:val="000000"/>
          <w:shd w:fill="FFFFFF" w:val="clear"/>
        </w:rPr>
        <w:t xml:space="preserve"> </w:t>
      </w:r>
      <w:r>
        <w:rPr>
          <w:rFonts w:ascii="Times New Roman;sans-serif" w:hAnsi="Times New Roman;sans-serif"/>
          <w:b w:val="false"/>
          <w:color w:val="000000"/>
          <w:sz w:val="20"/>
          <w:shd w:fill="FFFFFF" w:val="clear"/>
        </w:rPr>
        <w:t xml:space="preserve">$1.1 </w:t>
      </w:r>
      <w:r>
        <w:rPr>
          <w:rFonts w:ascii="Times New Roman;sans-serif" w:hAnsi="Times New Roman;sans-serif"/>
          <w:b w:val="false"/>
          <w:color w:val="000000"/>
          <w:sz w:val="20"/>
        </w:rPr>
        <w:t xml:space="preserve">million. </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2023, we had an immaterial amount of valuation allowances on our deferred tax assets.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are subject to income taxes in the U.S. and certain foreign jurisdictions. Significant judgment is required in determining our consolidated provision for income taxes and recording the related deferred tax assets and liabilities. In the ordinary course of our business there are many transactions and calculations where the ultimate tax determination is uncertain. An unrecognized tax benefit represents the difference between the recognition of benefits related to exposure items for income tax reporting purposes and financial reporting purposes. For the years ended December 31, 2024 and 2023, the unrecognized tax benefit is included in uncertain tax positions - non-current in the consolidated balance sheets. As of December 31, 2024, total unrecognized tax benefits recorded was</w:t>
      </w:r>
      <w:r>
        <w:rPr>
          <w:color w:val="000000"/>
          <w:shd w:fill="FFFFFF" w:val="clear"/>
        </w:rPr>
        <w:t xml:space="preserve"> </w:t>
      </w:r>
      <w:r>
        <w:rPr>
          <w:rFonts w:ascii="Times New Roman;sans-serif" w:hAnsi="Times New Roman;sans-serif"/>
          <w:b w:val="false"/>
          <w:color w:val="000000"/>
          <w:sz w:val="20"/>
          <w:shd w:fill="FFFFFF" w:val="clear"/>
        </w:rPr>
        <w:t>$10.1 m</w:t>
      </w:r>
      <w:r>
        <w:rPr>
          <w:rFonts w:ascii="Times New Roman;sans-serif" w:hAnsi="Times New Roman;sans-serif"/>
          <w:b w:val="false"/>
          <w:color w:val="000000"/>
          <w:sz w:val="20"/>
        </w:rPr>
        <w:t xml:space="preserve">illion. We reserve for interest and penalties on exposure items, if applicable, which is recorded as a component of the overall income tax provision.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regularly under audit by tax authorities. Although the outcome of tax audits is always uncertain, we believe that we have appropriate support for the positions taken on our tax returns and that our annual tax provision includes amounts sufficient to pay any assessments. Nonetheless, the amounts ultimately paid, if any, upon resolution of the issues raised by the taxing authorities may differ materially from the amounts accrued for each year.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On December 14, 2023, the Financial Accounting Standards Board (FASB) issued Accounting Standards Update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to increase the disclosure requirements around rate reconciliation information and certain types of income taxes companies are required to pay. Companies will be required to provide a breakout of amounts paid for taxes between federal, state, and foreign taxing jurisdictions, rather than a lump sum amount, with additional detail required of those jurisdictions representing greater than five percent of the total by jurisdiction. Further, the rate reconciliation will require disaggregation into eight specific categories, with these categories further disaggregated by jurisdiction for amounts exceeding five percent of their domestic tax rate. The rate reconciliation also will need to disclose both dollar amounts and percentages. This guidance is effective for annual periods beginning after December 15, 2024 and is effective for interim periods beginning with the first quarter of 2026. Early adoption is permitted, including adoption in an interim period. We expect to adopt this standard for our fiscal year ended December 31,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 2024, many jurisdictions implemented the Pillar Two rules issued by the Organization for Economic Co-operation and Development. In general, large multinational entity groups with consolidated revenue in excess of EUR 750 in at least two of the preceding four years could be subject to the new rules in jurisdictions with an effective tax rate below fifteen percent. We currently operate in only one country that adopted the Pillar Two rules, but should meet the safe harbor rules. We do not expect the adoption of the Pillar Two rules by any jurisdiction in which we currently operate to have a material impact on our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Item 1.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Inflation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had a significant impact on our results of operations for the periods presented. On an ongoing basis, we seek to ensure that billing rates reflect increases in costs due to inflation. In addition, we attempt to minimize any residual impact on our operating results by controlling operating costs.</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variable interest rate risk associated with our Loan Agreement entered into on October 25, 2019. This agreement charges interest at a rate based on either SOFR or Base Rate (as defined in the Loan Agreement) plus an applicable margin. Our Term Loan Agreement, entered into on June 8, 2021, was repaid and terminated on June 30,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1% change in interest rates would have resulted in interest expense fluctuating an immaterial amount for the years ended December 31, 2024 and 2023, respectively. See Note 8 - Debt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minor exposure to the impact of foreign currency fluctuations. Approximately 3% of selling, general and administrative expenses are related to certain software development and information technology support, as well as certain finance and shared support services, provided by our employees in Pune, India. Changes in foreign currency exchange rates impact translations of foreign denominated assets and liabilities into U.S. dollars and future earnings and cash flows from transactions denominated in different currencies. We have not entered into any foreign currency hedges.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transact business in their functional currency. As a result, fluctuations in the value of foreign currencies against the U.S. dollar have an impact on reported results. Expenses denominated in foreign currencies are translated into U.S. dollars at monthly average exchange rates prevailing during the period. Consequently, as the value of the U.S. dollar changes relative to the currencies of our non-U.S. markets, our reported results vary.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exchange rates also impact the U.S. dollar amount of stockholders’ equity. The assets and liabilities of our non-U.S. subsidiaries are translated into U.S. dollars at the exchange rate in effect at the end of a reporting period. The resulting translation adjustments are recorded in stockholders’ equity, as a component of accumulated other comprehensive loss, included in other stockholders’ equity in our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8.</w:t>
      </w:r>
      <w:r>
        <w:rPr>
          <w:color w:val="000000"/>
        </w:rPr>
        <w:t xml:space="preserve">  </w:t>
      </w:r>
      <w:r>
        <w:rPr>
          <w:rFonts w:ascii="Times New Roman;sans-serif" w:hAnsi="Times New Roman;sans-serif"/>
          <w:b/>
          <w:color w:val="000000"/>
          <w:sz w:val="20"/>
        </w:rPr>
        <w:t>Financial Statements and Supplementary Data.</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Item 15 – Exhibits, Financial Statement Schedules of Part IV of this Annual Report on Form 10-K.</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9A.</w:t>
      </w:r>
      <w:r>
        <w:rPr>
          <w:color w:val="000000"/>
        </w:rPr>
        <w:t xml:space="preserve">  </w:t>
      </w:r>
      <w:r>
        <w:rPr>
          <w:rFonts w:ascii="Times New Roman;sans-serif" w:hAnsi="Times New Roman;sans-serif"/>
          <w:b/>
          <w:color w:val="000000"/>
          <w:sz w:val="20"/>
        </w:rPr>
        <w:t>Controls and Procedures.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were effective as of the end of the period covered by this report.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Exchange Act Rules 13a-15(f) during 2024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defined in Rule 13a-15(f) and Rule 15d-15(f) under the Exchange Act). Our internal control system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risks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conducted an evaluation of the effectiveness of our internal control over financial reporting as of December 31, 2024. In making this assessment, management used the criteria set forth by the Committee of Sponsoring Organizations of the Treadway Commission, or COSO, in the Internal Control-Integrated Framework (2013 framework).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its evaluation, management concluded that, as of December 31, 2024, our internal control over financial reporting was effective based on the specific criteria.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Attestation Report of Independent Registered Public Accounting Firm</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effectiveness of our internal control over financial reporting as of December 31, 2024 has been audited by Deloitte &amp; Touche LLP, an independent registered public accounting firm, as stated in their report which appears in Part IV, Item 15 of this report.</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Trading Plans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directors and officers (as defined in Rule 16a-1(f) under the Securities Exchange Act of 1934, as amended (the Exchange Act)) of the Company may execute purchases and sales of the Company's common stock through Rule 10b5-1 and non-Rule 10b5-1 equity trading plans. Pursuant to Item 408(a) of Regulation S-K, we are required to disclose whether any director or officer adopted or terminated a Rule 10b5-1 trading arrangement or non-Rule 10b5-1 trading arrangement (as that term is defined in Item 408(c) of Regulation S-K) during the most recently completed quarter.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2024, neither the Company nor any of its Section 16 officers or directors adopted, modified, or terminated any contract, instruction, or written plan for the purchase or sale of the Company's securities, under either a Rule 10b5-1 trading arrangement or a non-Rule 10b5-1 trading arrangement (in each case, as defined in Item 408(a) of Regulation SK).</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directors, executive officers and corporate governance is included in our Definitive Proxy Statement for the 2025 Annual Meeting of Stockholders (Proxy Statement) to be filed pursuant to Regulation 14A with the SEC not later than 120 days after the close of the fiscal year covered by this Annual Report on Form 10-K and such information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adopted the Securities Compliance Policy that applies to all employees, including officers, and non-employee directors of the Company and its subsidiaries, as well as the Company itself. The Company believes that the Insider Trading Policy is reasonably designed to promote compliance with insider trading laws, rules, and regulations with respect to the purchase, sale, and/or other dispositions of the Company's securities, as well as the applicable rules and regulations of Nasdaq. A copy of our Insider Trading Policy is filed as Exhibit 19.1 to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executive compensation is included in our Proxy Statement to be filed with the SEC not later than 120 days after the close of the fiscal year covered by this Annual Report on Form 10-K and such information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adopted a Compensation Recoupment Policy that complies with the requirements of the Nasdaq Listing Rules. Under the policy, we generally are required to take reasonably prompt action to recover erroneously awarded incentive-based compensation from the covered persons subject to the policy if we are required to prepare an accounting restatement due to our material noncompliance with financial reporting requirements under the securities laws. A copy of the Compensation Recoupment Policy, which became effective on December 1, 2023, is filed as Exhibit 97.1 to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2 - Summary of Significant Accounting Policies to the Company’s consolidated financial statements, the Company identified an error in the consolidated financial statements of prior periods that it concluded was not material to the previously issued financial statements. A summary of the error revisions to the impacted financial statement line items in the previously issued financial statements is set forth in Note 19 - Immaterial Financial Restatement to Prior Period Financial Statements to the Company’s consolidated financial statements. The error revisions required a recovery analysis of incentive-based compensation under the Company’s Compensation Recoupment Policy. Updated results including the errors were entered into the previous calculations for bonuses and performance shares related to the applicable periods, which resulted in no change to the awarded amounts for any given year. Thus, it was determined that there was no erroneously awarded incentive-based compensation subject to recovery as a result of the errors in any given year.</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Stockholders Matters.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beneficial ownership of our common stock is included in our Proxy Statement to be filed with the SEC not later than 120 days after the close of the fiscal year covered by this Annual Report on Form 10-K and such information is incorporated herein by reference.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equity compensation plans as of December 31, 2024, see table below:</w:t>
      </w:r>
    </w:p>
    <w:tbl>
      <w:tblPr>
        <w:tblW w:w="10205" w:type="dxa"/>
        <w:jc w:val="left"/>
        <w:tblInd w:w="0" w:type="dxa"/>
        <w:tblLayout w:type="fixed"/>
        <w:tblCellMar>
          <w:top w:w="28" w:type="dxa"/>
          <w:left w:w="28" w:type="dxa"/>
          <w:bottom w:w="28" w:type="dxa"/>
          <w:right w:w="28" w:type="dxa"/>
        </w:tblCellMar>
      </w:tblPr>
      <w:tblGrid>
        <w:gridCol w:w="1452"/>
        <w:gridCol w:w="1276"/>
        <w:gridCol w:w="1282"/>
        <w:gridCol w:w="594"/>
        <w:gridCol w:w="594"/>
        <w:gridCol w:w="595"/>
        <w:gridCol w:w="109"/>
        <w:gridCol w:w="109"/>
        <w:gridCol w:w="109"/>
        <w:gridCol w:w="512"/>
        <w:gridCol w:w="984"/>
        <w:gridCol w:w="265"/>
        <w:gridCol w:w="109"/>
        <w:gridCol w:w="109"/>
        <w:gridCol w:w="109"/>
        <w:gridCol w:w="623"/>
        <w:gridCol w:w="566"/>
        <w:gridCol w:w="808"/>
      </w:tblGrid>
      <w:tr>
        <w:trPr/>
        <w:tc>
          <w:tcPr>
            <w:tcW w:w="145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1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to</w:t>
              <w:br/>
              <w:t>be issued upon exercise</w:t>
              <w:br/>
              <w:t>of outstanding options,</w:t>
              <w:br/>
              <w:t>warrants and rights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 of</w:t>
              <w:br/>
              <w:t>outstanding options,</w:t>
              <w:br/>
              <w:t>warrants and</w:t>
              <w:br/>
              <w:t>rights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securities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remaining available for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future issuance under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equity compensation</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plans (excluding</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reflected in</w:t>
            </w:r>
          </w:p>
          <w:p>
            <w:pPr>
              <w:pStyle w:val="TableContents"/>
              <w:bidi w:val="0"/>
              <w:spacing w:lineRule="auto" w:line="240" w:before="0" w:after="0"/>
              <w:jc w:val="center"/>
              <w:rPr/>
            </w:pPr>
            <w:r>
              <w:rPr>
                <w:rFonts w:ascii="Times New Roman;sans-serif" w:hAnsi="Times New Roman;sans-serif"/>
                <w:b/>
                <w:color w:val="000000"/>
                <w:sz w:val="20"/>
              </w:rPr>
              <w:t xml:space="preserve">column (a)) (c) </w:t>
            </w:r>
            <w:r>
              <w:rPr>
                <w:rFonts w:ascii="Times New Roman;sans-serif" w:hAnsi="Times New Roman;sans-serif"/>
                <w:b/>
                <w:color w:val="000000"/>
                <w:sz w:val="13"/>
              </w:rPr>
              <w:t>(1)</w:t>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3,445,317 </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1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3,445,317 </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For Performance Stock Awards issued under the 2020 and 2024 Omnibus Incentive Plans, we consider the expected number of shares that may be issued under the award to be outstanding. When the number of Performance Stock Awards have been determined, we true up the actual number of shares that were awarded and return any unawarded shares into shares available for issuance. Performance Stock Awards were issued under the 2020 Omnibus Incentive Plan beginning March 31, 2021. No Performance Stock Awards have been issued under the 2024 Omnibus Incentive Plan as of December 31, 2024. See Note 14 - Stockholders’ Equity to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certain relationships and related transactions, and director independence is included in our Proxy Statement to be filed with the SEC not later than 120 days after the close of the fiscal year covered by this Annual Report on Form 10-K and such information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the fees and services of our principal accountant is included in our Proxy Statement to be filed with the SEC not later than 120 days after the close of the fiscal year covered by this Annual Report on Form 10-K and such information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4"/>
        <w:gridCol w:w="433"/>
        <w:gridCol w:w="433"/>
        <w:gridCol w:w="2646"/>
        <w:gridCol w:w="2608"/>
        <w:gridCol w:w="3581"/>
      </w:tblGrid>
      <w:tr>
        <w:trPr/>
        <w:tc>
          <w:tcPr>
            <w:tcW w:w="50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58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(a) Documents filed as part of the report.</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2024 and 2023</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and Comprehensive (Loss) Income for the Years Ended December 31, 2024, 2023, and 2022</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for the Years Ended December 31, 2024, 2023, and 2022</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2024, 2023, and 2022</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Schedule</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II – Valuation and Qualifying Accounts for the Years Ended December 31, 2024, 2023, and 2022</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28"/>
        <w:gridCol w:w="200"/>
        <w:gridCol w:w="170"/>
        <w:gridCol w:w="109"/>
        <w:gridCol w:w="109"/>
        <w:gridCol w:w="109"/>
        <w:gridCol w:w="3101"/>
        <w:gridCol w:w="2545"/>
        <w:gridCol w:w="363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Asset Purchase Agreement, by and among Cross Country Healthcare, Inc., Workforce Solutions Group, Inc., Health Talent Strategies, Inc., Talent Strategies, Inc., and Pamela Jung, dated June 8, 2021 (Previously filed as an exhibit to the Company's Form 8-K dated June 14, 2021 and incorporated by reference herein.)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80"/>
                  <w:sz w:val="20"/>
                  <w:u w:val="single"/>
                </w:rPr>
                <w:t>Agreement and Plan of Merger, dated as of December 3, 2024, among Cross Country Healthcare, Inc., Aya Holdings II Inc., Spark Merger Sub One Inc. and, solely for the purposes set forth therein, Aya Healthcare, Inc. (Previously filed as an exhibit to the Company's Form 8-K dated December 4, 2024 and incorporated by reference herein</w:t>
              </w:r>
            </w:hyperlink>
            <w:hyperlink r:id="rId6">
              <w:r>
                <w:rPr>
                  <w:rStyle w:val="InternetLink"/>
                  <w:rFonts w:ascii="Times New Roman;sans-serif" w:hAnsi="Times New Roman;sans-serif"/>
                  <w:b w:val="false"/>
                  <w:color w:val="000080"/>
                  <w:sz w:val="20"/>
                  <w:u w:val="single"/>
                </w:rPr>
                <w:t>.)</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Certificate of Incorporation of the Registrant (Previously filed as an exhibit to the Company’s Registration Statement on Form S-1/A, Commission File No. 333-64914, and incorporated by reference herein.)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Certificate of Correction to Amended and Restated Certificate of Incorporation of the Registrant (Previously filed as an exhibit to the Company's Form 10-K for the year ended December 31, 2017 and incorporated by reference herein.)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Amended and Restated By-laws of the Registrant (Previously filed as an exhibit to the Company's Form 10-Q for the quarter ended March 31, 2024 and incorporated by reference herein.)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Form of specimen common stock certificate (Previously filed as an exhibit to the Company’s Registration Statement on Form S-1/A, Commission File No. 333-64914, and incorporated by reference herein.)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2014 Omnibus Incentive Plan - Restricted Stock Agreement Form (Previously filed as an exhibit to the Company’s Form 10-Q for the quarter ended June 30, 2014 and incorporated by reference herein.)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2014 Omnibus Incentive Plan - Performance Share and Restricted Stock Agreement Form (Previously filed as an exhibit to the Company’s Form 10-Q for the quarter ended June 30, 2014 and incorporated by reference herein.)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Description of the Company's Securities Registered Pursuant to Section 12 of the Securities Exchange Act of 1934 (Previously filed as an exhibit to the Company's Form 10-K for the year ended December 31, 2019 and incorporated by reference herein.)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Cross Country, Inc. Deferred Compensation Plan (Previously filed as an exhibit to the Company’s Form 10-K for the year ended December 31, 2002, and incorporated by reference herein.)</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Lease Agreement between Cornerstone Opportunity Ventures, LLC and Cejka Search, Inc., dated February 2, 2007 (Previously filed as an exhibit to the Company’s Form 10-K for the year ended December 31, 2006 and incorporated by reference herein.)</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Second Amendment to Lease Agreement by and between Meridian Commercial Properties Limited Partnership and Cross Country Healthcare, Inc., dated February 17, 2007 (Previously filed as an exhibit to the Company’s Form 10-K for the year ended December 31, 2006 and incorporated by reference herein.)</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First Amendment to Lease Agreement dated as of September 1, 2007, by and between Cornerstone Opportunity Ventures, LLC and Cejka Search, Inc. (Previously filed as an exhibit to the Company’s Form 10-Q for the quarter ended September 30, 2008 and incorporated by reference herein.)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Form of Non-Employee Directors’ Restricted Stock Agreement under Cross Country Healthcare, Inc. 2007 Stock Incentive Plan (Previously filed as an exhibit to the Company’s 8-K dated May 15, 2007 and incorporated by reference herein.)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Form of Stock Appreciation Rights Agreement under Cross Country Healthcare, Inc. 2007 Stock Incentive Plan (Previously filed as an exhibit to the Company’s Form 8-K dated October 15, 2007 and incorporated by reference herein.)</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Lease Agreement, dated July 18, 2013, between Peachtree II and III, LLC and MDA Holdings, Inc. (Previously filed as an exhibit to the Company’s Form 10-Q for the quarter ended June 30, 2013 and incorporated by reference herein.)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Amended and Restated Executive Severance Plan of Cross Country Healthcare, Inc. (Previously filed as an exhibit to the Company’s Form 8-K dated May 28, 2010 and incorporated by reference herein.)</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Fourth Amendment to Lease Agreement by and between Granite Meridian LLC and Cross Country Healthcare, Inc., dated September 29, 2015 (Previously filed as an exhibit to the Company’s Form 8-K dated October 2, 2015 and incorporated by reference herein.)</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Lease Agreement by and between Mainstreet CV North 40, LLC and Cross Country Healthcare, Inc., dated September 29, 2015 (Previously filed as an exhibit to the Company’s Form 8-K dated October 2, 2015 and incorporated by reference herein.)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Asset Purchase Agreement between Mediscan, Inc. and Direct Ed Solutions, Inc. and Mihal Spiegel, dated August 19, 2014 (Previously filed as an exhibit to the Company's Form 8-K dated November 3, 2015 and incorporated by reference herein.)</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Third Amendment to Lease Agreement between RNSI City Place Owner, LLC and Cejka Search, Inc., dated December 2, 2015 (Previously filed as an exhibit to the Company's Form 10-KA for the year ended December 31, 2015 and incorporated by reference herein.)</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 (CONTINUED)</w:t>
      </w:r>
    </w:p>
    <w:tbl>
      <w:tblPr>
        <w:tblW w:w="10205" w:type="dxa"/>
        <w:jc w:val="center"/>
        <w:tblInd w:w="0" w:type="dxa"/>
        <w:tblLayout w:type="fixed"/>
        <w:tblCellMar>
          <w:top w:w="28" w:type="dxa"/>
          <w:left w:w="28" w:type="dxa"/>
          <w:bottom w:w="28" w:type="dxa"/>
          <w:right w:w="28" w:type="dxa"/>
        </w:tblCellMar>
      </w:tblPr>
      <w:tblGrid>
        <w:gridCol w:w="223"/>
        <w:gridCol w:w="195"/>
        <w:gridCol w:w="197"/>
        <w:gridCol w:w="109"/>
        <w:gridCol w:w="109"/>
        <w:gridCol w:w="109"/>
        <w:gridCol w:w="3092"/>
        <w:gridCol w:w="2937"/>
        <w:gridCol w:w="2968"/>
        <w:gridCol w:w="109"/>
        <w:gridCol w:w="157"/>
      </w:tblGrid>
      <w:tr>
        <w:trPr/>
        <w:tc>
          <w:tcPr>
            <w:tcW w:w="2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Amendment to Lease agreement between Mainstreet CV North 40, LLC and Cross Country Healthcare, Inc., dated September 19, 2016 (Previously filed as an exhibit to the Company’s Form 10-Q for the quarter ended September 30, 2016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Asset Purchase Agreement, dated June 13, 2017, among Cross Country Healthcare, Inc., as Buyer, Advantage RN, LLC, Advantage On Call, LLC, Advantage Locums, LLC, and Advantage RN Local Staffing, the Seller Parties, and Seller Representative (Previously filed as an exhibit to the Company's Form 8-K dated June 13, 2017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Fourth Amendment to Lease Agreement between RNSI City Place Owner, LLC and Cejka Search, Inc., dated May 31, 2017 (Previously filed as an exhibit to the Company's Form 10-Q for the quarter ended September 30, 2017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Cross Country Healthcare, Inc. Executive Nonqualified Excess Plan Adoption Agreement (Previously filed as an exhibit to the Company's Form 10-K dated December 31, 2017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Employment Agreement between Cross Country Healthcare, Inc. and Kevin C. Clark, dated January 16, 2019 (Previously filed as an exhibit to the Company's Form 8-K dated January 16, 2019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Amendment and Restatement to Employment Agreement, dated January 31, 2019, by and between Cross Country Healthcare, Inc. and William J. Burns (Previously filed as an exhibit to the Company's Form 8-K dated January 31, 2019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ABL Credit Agreement, dated October 25, 2019, by and among Cross Country Healthcare, Inc. and certain of its domestic subsidiaries as borrowers, certain of its domestic subsidiaries as guarantors, the Lenders referenced therein, and Wells Fargo Bank, as agent (Previously filed as an exhibit to the Company's Form 8-K dated October 28, 2019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Amendment No. 1 to ABL Credit Agreement, dated as of June 30, 2020, by and among Cross Country Healthcare, Inc. and certain of its domestic subsidiaries as borrowers or guarantors, PNC Bank, N.A., as lender, and Wells Fargo Bank, N.A., as administrative agent, collateral agent, and lender (Previously filed as an exhibit to the Company's Form 8-K dated June 30, 2020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Form of Non-Employee Directors' Restricted Stock Agreement under Cross Country Healthcare, Inc. 2020 Stock Incentive Plan (Previously filed as an exhibit to the Company's Form 10-Q for the quarter ended June 30, 2020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Offer Letter by and between Cross Country Healthcare, Inc. and John Martins (Previously filed as an exhibit to the Company's Form 8-K dated January 25,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Employment Agreement by and between Cross Country Healthcare, Inc. and John Martins (Previously filed as an exhibit to the Company's Form 8-K dated January 25,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Revised Offer Letter by and between Cross Country Healthcare, Inc. and Susan E. Ball, dated as of February 22, 2021 (Previously filed as an exhibit to the Company's Form 10-K filed February 25,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Amendment and Restatement to Employment Agreement, dated February 22, 2021, by and between Cross Country Healthcare, Inc. and William J. Burns (Previously filed as an exhibit to the Company's Form 10-K filed February 25,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Amendment No. 2 to ABL Credit Agreement and Amendment No. 1 to Guaranty and Security Agreement, dated as of March 8, 2021, by and among Cross Country Healthcare, Inc. and certain of its domestic subsidiaries as borrowers or guarantors, PNC Bank N.A., as lender, and Wells Fargo Bank N.A., as administrative agent, collateral agent, and lender (Previously filed as an exhibit to the Company's Form 8-K dated March 10,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Offer Letter by and between Cross Country Healthcare, Inc. and Phillip Noe (Previously filed as an exhibit to the Company's Form 8-K dated May 10,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Employment Agreement by and between Cross Country Healthcare, Inc. and Phillip Noe (Previously filed as an exhibit to the Company's Form 8-K dated May 10,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Term Loan Credit Agreement, by and between Cross Country Healthcare, Inc. and the Lenders as defined therein, dated June 8, 2021 (Previously filed as an exhibit to the Company's Form 8-K dated June 14,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07"/>
        <w:gridCol w:w="184"/>
        <w:gridCol w:w="184"/>
        <w:gridCol w:w="184"/>
        <w:gridCol w:w="184"/>
        <w:gridCol w:w="184"/>
        <w:gridCol w:w="2920"/>
        <w:gridCol w:w="2813"/>
        <w:gridCol w:w="2979"/>
        <w:gridCol w:w="109"/>
        <w:gridCol w:w="157"/>
      </w:tblGrid>
      <w:tr>
        <w:trPr/>
        <w:tc>
          <w:tcPr>
            <w:tcW w:w="30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 (CONTINUED)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Amendment No. 3 to ABL Credit Agreement, by and among Cross Country Healthcare, Inc. and certain of its domestic subsidiaries as borrowers, certain of its domestic subsidiaries as guarantors, the Lenders (as defined therein), and Wells Fargo Bank, National Association as agent dated June 8, 2021 (Previously filed as an exhibit to the Company's Form 8-K dated June 14,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First Incremental Amendment to Term Loan Credit Agreement, by and among Cross Country Healthcare, Inc., the Guarantors (as defined therein), the Lenders (as defined therein), and Wilmington Trust, National Association, dated November 18, 2021 (Previously filed as an exhibit to the Company's Form 8-K dated November 19,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Amendment No. 4 to ABL Credit Agreement, by and among Cross Country Healthcare, Inc. and certain of its domestic subsidiaries as borrowers, certain of its domestic subsidiaries as guarantors, the Lenders (as defined therein), and Wells Fargo Bank, National Association as agent dated November 18, 2021 (Previously filed as an exhibit to the Company's Form 8-K dated November 19,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Letter Agreement, dated as of January 14, 2022, by and between Cross Country Healthcare, Inc. and Kevin C. Clark (Previously filed as an exhibit to the Company's Form 8-K dated January 19, 2022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Employment Agreement, dated as of January 14, 2022, by and between Cross Country Healthcare, Inc. and John A. Martins (Previously filed as an exhibit to the Company's Form 8-K dated January 19, 2022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Amendment No. 5 to ABL Credit Agreement and Amendment No. 2 to Guaranty and Security Agreement, dated as of March 21, 2022, by and among Cross Country Healthcare, Inc. and certain of its domestic subsidiaries as borrowers or guarantors, and Wells Fargo Bank N.A., as administrative agent, collateral agent, and lender (Previously filed as an exhibit to the Company's Form 8-K dated March 22, 2022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Offer Letter by and between Cross Country Healthcare, Inc. and Daniel J. White, dated as of April 5, 2022 (Previously filed as an exhibit to the Company's Form 10-Q for the quarter ended March 31, 2022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Second Amendment to Term Loan Credit Agreement, by and among Cross Country Healthcare, Inc., the Guarantors (as defined therein), the Lenders (as defined therein), and Wilmington Trust, National Association, dated April 14, 2023 (Previously filed as an exhibit to the Company's Form 8-K dated April 18, 2023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Amendment No. 6 to ABL Credit Agreement, dated as of September 29, 2023, by and among Cross Country Healthcare, Inc. and certain of its domestic subsidiaries as borrowers or guarantors, and Wells Fargo Bank National Association, as administrative agent, collateral agent, and lender (Previously filed as an exhibit to the Company's Form 8-K dated October 2, 2023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Confidential Separation Agreement and General Release of all Claims by and between Cross Country Staffing, Inc. and Daniel J. White, dated as of February 14, 2024 (Previously filed as an exhibit to the Company's Form 10-Q for the quarter ended March 31, 2024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Addendum to the Confidential Separation Agreement and General Release of all Claims by and between Cross Country Staffing, Inc. and Daniel J. White, dated as of February 14, 2024 (Previously filed as an exhibit to the Company's Form 10-Q for the quarter ended March 31, 2024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Amendment No. 7 to ABL Credit Agreement, dated as of July 29, 2024, by and among Cross Country Healthcare, Inc. and certain of its domestic subsidiaries as borrowers or guarantors, and Wells Fargo Bank, N.A., as administrative agent, collateral agent, and lender (Previously filed as an exhibit to the Company's Form 8-K dated July 29, 2024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Cross Country Healthcare, Inc. 2024 Omnibus Incentive Plan (Previously filed as an exhibit to the Company’s Form S-8 dated May 22, 2024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Code of Ethics, revised November 15, 2021 (Previously filed as an exhibit to the Company's Form 10-K filed February 28, 2022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41231-10kex19x1.htm">
              <w:r>
                <w:rPr>
                  <w:rStyle w:val="InternetLink"/>
                  <w:rFonts w:ascii="Times New Roman;sans-serif" w:hAnsi="Times New Roman;sans-serif"/>
                  <w:b w:val="false"/>
                  <w:color w:val="0000FF"/>
                  <w:sz w:val="20"/>
                  <w:u w:val="single"/>
                </w:rPr>
                <w:t>Insider Trading Policy</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41231-10kex21x1.htm">
              <w:r>
                <w:rPr>
                  <w:rStyle w:val="InternetLink"/>
                  <w:rFonts w:ascii="Times New Roman;sans-serif" w:hAnsi="Times New Roman;sans-serif"/>
                  <w:b w:val="false"/>
                  <w:color w:val="0000FF"/>
                  <w:sz w:val="20"/>
                  <w:u w:val="single"/>
                </w:rPr>
                <w:t>List of subsidiaries of the Registrant</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41231-10kex23x1.htm">
              <w:r>
                <w:rPr>
                  <w:rStyle w:val="InternetLink"/>
                  <w:rFonts w:ascii="Times New Roman;sans-serif" w:hAnsi="Times New Roman;sans-serif"/>
                  <w:b w:val="false"/>
                  <w:color w:val="0000FF"/>
                  <w:sz w:val="20"/>
                  <w:u w:val="single"/>
                </w:rPr>
                <w:t>Consent of Deloitte &amp; Touche LLP, Independent Registered Public Accounting Firm</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56"/>
        <w:gridCol w:w="243"/>
        <w:gridCol w:w="219"/>
        <w:gridCol w:w="219"/>
        <w:gridCol w:w="219"/>
        <w:gridCol w:w="219"/>
        <w:gridCol w:w="2539"/>
        <w:gridCol w:w="2539"/>
        <w:gridCol w:w="3652"/>
      </w:tblGrid>
      <w:tr>
        <w:trPr/>
        <w:tc>
          <w:tcPr>
            <w:tcW w:w="3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365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 (CONTINUED)</w:t>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ccrn20241231-10kex31x1.htm">
              <w:r>
                <w:rPr>
                  <w:rStyle w:val="InternetLink"/>
                  <w:rFonts w:ascii="Times New Roman;sans-serif" w:hAnsi="Times New Roman;sans-serif"/>
                  <w:b w:val="false"/>
                  <w:color w:val="0000FF"/>
                  <w:sz w:val="20"/>
                  <w:u w:val="single"/>
                </w:rPr>
                <w:t>Certification Pursuant to Rule 13a-14(a)/15d-14(a) and pursuant to Section 302 of the Sarbanes-Oxley Act of 2002 by John A. Martins, President, Chief Executive Officer, Director (Principal Executive Officer)</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41231-10kex31x2.htm">
              <w:r>
                <w:rPr>
                  <w:rStyle w:val="InternetLink"/>
                  <w:rFonts w:ascii="Times New Roman;sans-serif" w:hAnsi="Times New Roman;sans-serif"/>
                  <w:b w:val="false"/>
                  <w:color w:val="0000FF"/>
                  <w:sz w:val="20"/>
                  <w:u w:val="single"/>
                </w:rPr>
                <w:t>Certification Pursuant to Rule 13a-14(a)/15d-14(a) and pursuant to Section 302 of the Sarbanes-Oxley Act of 2002 by William J. Burns, Executive Vice President, Chief Financial Officer (Principal Financial Officer)</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41231-10kex32x1.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John A. Martins, President, Chief Executive Officer, Director (Principal Executive Officer)</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41231-10kex32x2.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William J. Burns, Executive Vice President, Chief Financial Officer (Principal Financial Officer)</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80"/>
                  <w:sz w:val="20"/>
                  <w:u w:val="single"/>
                </w:rPr>
                <w:t xml:space="preserve">Compensation Recoupment (Clawback) Policy (Previously filed as an exhibit to the Company’s Form 10-K filed </w:t>
              </w:r>
            </w:hyperlink>
            <w:hyperlink r:id="rId58">
              <w:r>
                <w:rPr>
                  <w:rStyle w:val="InternetLink"/>
                  <w:rFonts w:ascii="Times New Roman;sans-serif" w:hAnsi="Times New Roman;sans-serif"/>
                  <w:b w:val="false"/>
                  <w:color w:val="000080"/>
                  <w:sz w:val="20"/>
                  <w:u w:val="single"/>
                </w:rPr>
                <w:t>February</w:t>
              </w:r>
            </w:hyperlink>
            <w:hyperlink r:id="rId59">
              <w:r>
                <w:rPr>
                  <w:rStyle w:val="InternetLink"/>
                  <w:rFonts w:ascii="Times New Roman;sans-serif" w:hAnsi="Times New Roman;sans-serif"/>
                  <w:b w:val="false"/>
                  <w:color w:val="000080"/>
                  <w:sz w:val="20"/>
                  <w:u w:val="single"/>
                </w:rPr>
                <w:t xml:space="preserve"> </w:t>
              </w:r>
            </w:hyperlink>
            <w:hyperlink r:id="rId60">
              <w:r>
                <w:rPr>
                  <w:rStyle w:val="InternetLink"/>
                  <w:rFonts w:ascii="Times New Roman;sans-serif" w:hAnsi="Times New Roman;sans-serif"/>
                  <w:b w:val="false"/>
                  <w:color w:val="000080"/>
                  <w:sz w:val="20"/>
                  <w:u w:val="single"/>
                </w:rPr>
                <w:t>2</w:t>
              </w:r>
            </w:hyperlink>
            <w:hyperlink r:id="rId61">
              <w:r>
                <w:rPr>
                  <w:rStyle w:val="InternetLink"/>
                  <w:rFonts w:ascii="Times New Roman;sans-serif" w:hAnsi="Times New Roman;sans-serif"/>
                  <w:b w:val="false"/>
                  <w:color w:val="000080"/>
                  <w:sz w:val="20"/>
                  <w:u w:val="single"/>
                </w:rPr>
                <w:t>3</w:t>
              </w:r>
            </w:hyperlink>
            <w:hyperlink r:id="rId62">
              <w:r>
                <w:rPr>
                  <w:rStyle w:val="InternetLink"/>
                  <w:rFonts w:ascii="Times New Roman;sans-serif" w:hAnsi="Times New Roman;sans-serif"/>
                  <w:b w:val="false"/>
                  <w:color w:val="000080"/>
                  <w:sz w:val="20"/>
                  <w:u w:val="single"/>
                </w:rPr>
                <w:t>, 202</w:t>
              </w:r>
            </w:hyperlink>
            <w:hyperlink r:id="rId63">
              <w:r>
                <w:rPr>
                  <w:rStyle w:val="InternetLink"/>
                  <w:rFonts w:ascii="Times New Roman;sans-serif" w:hAnsi="Times New Roman;sans-serif"/>
                  <w:b w:val="false"/>
                  <w:color w:val="000080"/>
                  <w:sz w:val="20"/>
                  <w:u w:val="single"/>
                </w:rPr>
                <w:t>4</w:t>
              </w:r>
            </w:hyperlink>
            <w:hyperlink r:id="rId64">
              <w:r>
                <w:rPr>
                  <w:rStyle w:val="InternetLink"/>
                  <w:rFonts w:ascii="Times New Roman;sans-serif" w:hAnsi="Times New Roman;sans-serif"/>
                  <w:b w:val="false"/>
                  <w:color w:val="000080"/>
                  <w:sz w:val="20"/>
                  <w:u w:val="single"/>
                </w:rPr>
                <w:t xml:space="preserve"> and incorporated by reference herein.)</w:t>
              </w:r>
            </w:hyperlink>
          </w:p>
        </w:tc>
      </w:tr>
    </w:tbl>
    <w:p>
      <w:pPr>
        <w:pStyle w:val="TextBody"/>
        <w:bidi w:val="0"/>
        <w:spacing w:before="0" w:after="0"/>
        <w:jc w:val="left"/>
        <w:rPr/>
      </w:pPr>
      <w:r>
        <w:rPr/>
      </w:r>
    </w:p>
    <w:p>
      <w:pPr>
        <w:pStyle w:val="TextBody"/>
        <w:bidi w:val="0"/>
        <w:spacing w:before="0" w:after="0"/>
        <w:jc w:val="center"/>
        <w:rPr/>
      </w:pPr>
      <w:r>
        <w:rPr/>
      </w:r>
    </w:p>
    <w:tbl>
      <w:tblPr>
        <w:tblW w:w="8756" w:type="dxa"/>
        <w:jc w:val="center"/>
        <w:tblInd w:w="0" w:type="dxa"/>
        <w:tblLayout w:type="fixed"/>
        <w:tblCellMar>
          <w:top w:w="28" w:type="dxa"/>
          <w:left w:w="28" w:type="dxa"/>
          <w:bottom w:w="28" w:type="dxa"/>
          <w:right w:w="28" w:type="dxa"/>
        </w:tblCellMar>
      </w:tblPr>
      <w:tblGrid>
        <w:gridCol w:w="353"/>
        <w:gridCol w:w="310"/>
        <w:gridCol w:w="312"/>
        <w:gridCol w:w="109"/>
        <w:gridCol w:w="109"/>
        <w:gridCol w:w="109"/>
        <w:gridCol w:w="2180"/>
        <w:gridCol w:w="2180"/>
        <w:gridCol w:w="3094"/>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4"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 XBRL Taxonomy Extension Presentation Linkbase Document</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Represents a management contract or compensatory plan or arrangement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5616" w:type="dxa"/>
        <w:jc w:val="left"/>
        <w:tblInd w:w="0" w:type="dxa"/>
        <w:tblLayout w:type="fixed"/>
        <w:tblCellMar>
          <w:top w:w="28" w:type="dxa"/>
          <w:left w:w="28" w:type="dxa"/>
          <w:bottom w:w="28" w:type="dxa"/>
          <w:right w:w="28" w:type="dxa"/>
        </w:tblCellMar>
      </w:tblPr>
      <w:tblGrid>
        <w:gridCol w:w="124"/>
        <w:gridCol w:w="109"/>
        <w:gridCol w:w="109"/>
        <w:gridCol w:w="573"/>
        <w:gridCol w:w="573"/>
        <w:gridCol w:w="573"/>
        <w:gridCol w:w="1035"/>
        <w:gridCol w:w="1035"/>
        <w:gridCol w:w="1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CROSS COUNTRY HEALTHCARE,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 Martins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John A. Martins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&amp;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5, 2025</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by the following persons in the capacities indicated and on the dates indicated:</w:t>
      </w:r>
    </w:p>
    <w:p>
      <w:pPr>
        <w:pStyle w:val="TextBody"/>
        <w:bidi w:val="0"/>
        <w:spacing w:lineRule="auto" w:line="288" w:before="0" w:after="0"/>
        <w:jc w:val="both"/>
        <w:rPr>
          <w:color w:val="000000"/>
        </w:rPr>
      </w:pPr>
      <w:r>
        <w:rPr>
          <w:color w:val="000000"/>
        </w:rPr>
        <w:t> </w:t>
      </w:r>
    </w:p>
    <w:tbl>
      <w:tblPr>
        <w:tblW w:w="8903" w:type="dxa"/>
        <w:jc w:val="left"/>
        <w:tblInd w:w="0" w:type="dxa"/>
        <w:tblLayout w:type="fixed"/>
        <w:tblCellMar>
          <w:top w:w="28" w:type="dxa"/>
          <w:left w:w="28" w:type="dxa"/>
          <w:bottom w:w="28" w:type="dxa"/>
          <w:right w:w="28" w:type="dxa"/>
        </w:tblCellMar>
      </w:tblPr>
      <w:tblGrid>
        <w:gridCol w:w="949"/>
        <w:gridCol w:w="836"/>
        <w:gridCol w:w="840"/>
        <w:gridCol w:w="109"/>
        <w:gridCol w:w="109"/>
        <w:gridCol w:w="109"/>
        <w:gridCol w:w="1424"/>
        <w:gridCol w:w="1424"/>
        <w:gridCol w:w="1441"/>
        <w:gridCol w:w="109"/>
        <w:gridCol w:w="109"/>
        <w:gridCol w:w="109"/>
        <w:gridCol w:w="389"/>
        <w:gridCol w:w="389"/>
        <w:gridCol w:w="557"/>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A. Martins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A. Martins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J.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&amp; 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J.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V. Redd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&amp;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V. Redd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Dwayne Allen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Dwayne Allen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Venkat Bhamidipati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Venkat Bhamidipati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 Larry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 Larry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Kevin C. Clark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Kevin C. Clark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Gale Fitzgerald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Gale Fitzgerald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Janice E. Nevin, M.D., MPH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Janice E. Nevin, M.D., MPH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Perlberg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Perlberg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10"/>
        <w:gridCol w:w="3056"/>
        <w:gridCol w:w="3066"/>
        <w:gridCol w:w="167"/>
        <w:gridCol w:w="167"/>
        <w:gridCol w:w="239"/>
      </w:tblGrid>
      <w:tr>
        <w:trPr/>
        <w:tc>
          <w:tcPr>
            <w:tcW w:w="3510"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Cross Country Healthcare, Inc.</w:t>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1512345de9b14dec85a37b71819be290_103">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No. 34)</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F- </w:t>
            </w:r>
            <w:hyperlink w:anchor="i1512345de9b14dec85a37b71819be290_103">
              <w:r>
                <w:rPr>
                  <w:rStyle w:val="InternetLink"/>
                  <w:rFonts w:ascii="Times New Roman;sans-serif" w:hAnsi="Times New Roman;sans-serif"/>
                  <w:b w:val="false"/>
                  <w:color w:val="000080"/>
                  <w:sz w:val="20"/>
                  <w:u w:val="single"/>
                </w:rPr>
                <w:t>2</w:t>
              </w:r>
            </w:hyperlink>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1512345de9b14dec85a37b71819be290_106">
              <w:r>
                <w:rPr>
                  <w:rStyle w:val="InternetLink"/>
                  <w:rFonts w:ascii="Times New Roman;sans-serif" w:hAnsi="Times New Roman;sans-serif"/>
                  <w:b w:val="false"/>
                  <w:color w:val="0000FF"/>
                  <w:sz w:val="20"/>
                  <w:u w:val="single"/>
                </w:rPr>
                <w:t>Consolidated Balance Sheets as of December 31, 2024 and 2023</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F- </w:t>
            </w:r>
            <w:hyperlink w:anchor="i1512345de9b14dec85a37b71819be290_106">
              <w:r>
                <w:rPr>
                  <w:rStyle w:val="InternetLink"/>
                  <w:rFonts w:ascii="Times New Roman;sans-serif" w:hAnsi="Times New Roman;sans-serif"/>
                  <w:b w:val="false"/>
                  <w:color w:val="000080"/>
                  <w:sz w:val="20"/>
                  <w:u w:val="single"/>
                </w:rPr>
                <w:t>4</w:t>
              </w:r>
            </w:hyperlink>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2345de9b14dec85a37b71819be290_109">
              <w:r>
                <w:rPr>
                  <w:rStyle w:val="InternetLink"/>
                  <w:rFonts w:ascii="Times New Roman;sans-serif" w:hAnsi="Times New Roman;sans-serif"/>
                  <w:b w:val="false"/>
                  <w:color w:val="0000FF"/>
                  <w:sz w:val="20"/>
                  <w:u w:val="single"/>
                </w:rPr>
                <w:t>Consolidated Statements of Operations and Comprehensive (Loss) Income for the Years Ended December 31, 2024, 2023, and 2022</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F- </w:t>
            </w:r>
            <w:hyperlink w:anchor="i1512345de9b14dec85a37b71819be290_109">
              <w:r>
                <w:rPr>
                  <w:rStyle w:val="InternetLink"/>
                  <w:rFonts w:ascii="Times New Roman;sans-serif" w:hAnsi="Times New Roman;sans-serif"/>
                  <w:b w:val="false"/>
                  <w:color w:val="000080"/>
                  <w:sz w:val="20"/>
                  <w:u w:val="single"/>
                </w:rPr>
                <w:t>5</w:t>
              </w:r>
            </w:hyperlink>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1512345de9b14dec85a37b71819be290_112">
              <w:r>
                <w:rPr>
                  <w:rStyle w:val="InternetLink"/>
                  <w:rFonts w:ascii="Times New Roman;sans-serif" w:hAnsi="Times New Roman;sans-serif"/>
                  <w:b w:val="false"/>
                  <w:color w:val="0000FF"/>
                  <w:sz w:val="20"/>
                  <w:u w:val="single"/>
                </w:rPr>
                <w:t>Consolidated Statements of Stockholders’ Equity for the Years Ended December 31, 2024, 2023, and 2022</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F- </w:t>
            </w:r>
            <w:hyperlink w:anchor="i1512345de9b14dec85a37b71819be290_112">
              <w:r>
                <w:rPr>
                  <w:rStyle w:val="InternetLink"/>
                  <w:rFonts w:ascii="Times New Roman;sans-serif" w:hAnsi="Times New Roman;sans-serif"/>
                  <w:b w:val="false"/>
                  <w:color w:val="000080"/>
                  <w:sz w:val="20"/>
                  <w:u w:val="single"/>
                </w:rPr>
                <w:t>6</w:t>
              </w:r>
            </w:hyperlink>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1512345de9b14dec85a37b71819be290_115">
              <w:r>
                <w:rPr>
                  <w:rStyle w:val="InternetLink"/>
                  <w:rFonts w:ascii="Times New Roman;sans-serif" w:hAnsi="Times New Roman;sans-serif"/>
                  <w:b w:val="false"/>
                  <w:color w:val="0000FF"/>
                  <w:sz w:val="20"/>
                  <w:u w:val="single"/>
                </w:rPr>
                <w:t>Consolidated Statements of Cash Flows for the Years Ended December 31, 2024, 2023, and 2022</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F- </w:t>
            </w:r>
            <w:hyperlink w:anchor="i1512345de9b14dec85a37b71819be290_115">
              <w:r>
                <w:rPr>
                  <w:rStyle w:val="InternetLink"/>
                  <w:rFonts w:ascii="Times New Roman;sans-serif" w:hAnsi="Times New Roman;sans-serif"/>
                  <w:b w:val="false"/>
                  <w:color w:val="000080"/>
                  <w:sz w:val="20"/>
                  <w:u w:val="single"/>
                </w:rPr>
                <w:t>7</w:t>
              </w:r>
            </w:hyperlink>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1512345de9b14dec85a37b71819be290_118">
              <w:r>
                <w:rPr>
                  <w:rStyle w:val="InternetLink"/>
                  <w:rFonts w:ascii="Times New Roman;sans-serif" w:hAnsi="Times New Roman;sans-serif"/>
                  <w:b w:val="false"/>
                  <w:color w:val="0000FF"/>
                  <w:sz w:val="20"/>
                  <w:u w:val="single"/>
                </w:rPr>
                <w:t>Notes to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F- </w:t>
            </w:r>
            <w:hyperlink w:anchor="i1512345de9b14dec85a37b71819be290_118">
              <w:r>
                <w:rPr>
                  <w:rStyle w:val="InternetLink"/>
                  <w:rFonts w:ascii="Times New Roman;sans-serif" w:hAnsi="Times New Roman;sans-serif"/>
                  <w:b w:val="false"/>
                  <w:color w:val="000080"/>
                  <w:sz w:val="20"/>
                  <w:u w:val="single"/>
                </w:rPr>
                <w:t>8</w:t>
              </w:r>
            </w:hyperlink>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 Schedule</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1512345de9b14dec85a37b71819be290_175">
              <w:r>
                <w:rPr>
                  <w:rStyle w:val="InternetLink"/>
                  <w:rFonts w:ascii="Times New Roman;sans-serif" w:hAnsi="Times New Roman;sans-serif"/>
                  <w:b w:val="false"/>
                  <w:color w:val="0000FF"/>
                  <w:sz w:val="20"/>
                  <w:u w:val="single"/>
                </w:rPr>
                <w:t>Schedule II – Valuation and Qualifying Accounts for the Years Ended December 31, 2024, 2023, and 2022</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II- </w:t>
            </w:r>
            <w:hyperlink w:anchor="i1512345de9b14dec85a37b71819be290_175">
              <w:r>
                <w:rPr>
                  <w:rStyle w:val="InternetLink"/>
                  <w:rFonts w:ascii="Times New Roman;sans-serif" w:hAnsi="Times New Roman;sans-serif"/>
                  <w:b w:val="false"/>
                  <w:color w:val="000080"/>
                  <w:sz w:val="20"/>
                  <w:u w:val="single"/>
                </w:rPr>
                <w:t>1</w:t>
              </w:r>
            </w:hyperlink>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Schedules not filed herewith are either not applicable, the information is not material, or the information is set forth in the consolidated financial statements or notes thereto.</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shareholders and the Board of Directors of Cross Country Healthcare, Inc.</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 xml:space="preserve">Opinions on the Financial Statements </w:t>
      </w:r>
      <w:r>
        <w:rPr>
          <w:rFonts w:ascii="Times New Roman;sans-serif" w:hAnsi="Times New Roman;sans-serif"/>
          <w:b/>
          <w:color w:val="000000"/>
          <w:sz w:val="20"/>
          <w:shd w:fill="FFFFFF" w:val="clear"/>
        </w:rPr>
        <w:t>and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audited the accompanying consolidated balance sheets of Cross Country Healthcare, Inc and subsidiaries (the "Company") as of December 31, 2024 and 2023, the related consolidated statements of operations and comprehensive (loss) income, stockholders' equity, and cash flows, for each of the three years in the period ended December 31, 2024, and the related notes and the schedule listed in the Index at Item 15 (collectively referred to as the "financial statements"). We also have audited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(COSO).</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color w:val="000000"/>
          <w:sz w:val="20"/>
        </w:rPr>
        <w:t xml:space="preserve">In our opinion, the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Basis for Opinions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Definition and Limitations of Internal Control over Financial Reporting</w:t>
      </w:r>
    </w:p>
    <w:p>
      <w:pPr>
        <w:pStyle w:val="TextBody"/>
        <w:bidi w:val="0"/>
        <w:spacing w:lineRule="auto" w:line="288" w:before="0" w:after="160"/>
        <w:jc w:val="left"/>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Calibri Light;sans-serif" w:hAnsi="Calibri Light;sans-serif"/>
          <w:b w:val="false"/>
          <w:color w:val="000000"/>
          <w:sz w:val="22"/>
        </w:rPr>
        <w: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Audit Matter</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Insurance Claim Liabilities and Insurance Recovery Receivables — Refer to Notes 2 and 7 to the financial statements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workers’ compensation insurance coverage and professional liability coverage for eligible employees. The Company records its estimate of the ultimate cost of, and reserves for, workers' compensation and professional liability benefits based on actuarial models prepared by an independent actuary using the Company’s loss history as well as industry statistics.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the insurance claim liabilities and insurance recovery receivables for workers’ compensation coverage and professional liability coverage as a critical audit matter because of the significant assumptions made by management and the specialized actuarial skill and knowledge required to assess the assumptions in estimating the liability and receivables. This required a moderate degree of auditor judgment as well as increased effort, including the involvement of actuarial specialists in performing procedures to evaluate the reasonableness of management’s judgement in estimating the liability and receivable.</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insurance claim liabilities and insurance recovery receivables for workers’ compensation coverage and professional liability coverage included the following, among others: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We tested the effectiveness of controls related to insurance claim liabilities and insurance recovery receivables, including those over the assumptions used to estimate the insurance claim liabilities and insurance recovery receivables.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We tested the underlying data, including historical claims, that served as the basis for the actuarial analysis to test that the inputs to the actuarial estimate were complete and accurate.</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With the assistance of our actuarial specialist, we evaluated the reasonableness of the actuarial methods and assumptions used by management to estimate the insurance claim liabilities and insurance recovery receivables by:</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Comparing prior-year assumptions of expected development and ultimate loss to actuals incurred during the current year to identify potential bias in the determination of the insurance claim liabilities and insurance recovery receivables.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Developing an independent range of estimates of the insurance claim liabilities and insurance recovery receivables, utilizing paid and reported loss development factors from the Company’s historical data and industry loss development factors and comparing our estimates to management’s estimates.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Evaluating qualifications of the Company’s actuaries by assessing the certifications and determining whether they meet the Qualification Standards of the American Academy of Actuaries to render the statements of actuarial opinion in their analyses.</w:t>
      </w:r>
    </w:p>
    <w:p>
      <w:pPr>
        <w:pStyle w:val="TextBody"/>
        <w:bidi w:val="0"/>
        <w:spacing w:before="0" w:after="160"/>
        <w:jc w:val="left"/>
        <w:rPr/>
      </w:pPr>
      <w:r>
        <w:rPr/>
      </w:r>
    </w:p>
    <w:tbl>
      <w:tblPr>
        <w:tblW w:w="2637" w:type="dxa"/>
        <w:jc w:val="left"/>
        <w:tblInd w:w="0" w:type="dxa"/>
        <w:tblLayout w:type="fixed"/>
        <w:tblCellMar>
          <w:top w:w="28" w:type="dxa"/>
          <w:left w:w="28" w:type="dxa"/>
          <w:bottom w:w="28" w:type="dxa"/>
          <w:right w:w="28" w:type="dxa"/>
        </w:tblCellMar>
      </w:tblPr>
      <w:tblGrid>
        <w:gridCol w:w="820"/>
        <w:gridCol w:w="720"/>
        <w:gridCol w:w="725"/>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Boca Raton, Florida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 data)</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15"/>
        <w:gridCol w:w="2422"/>
        <w:gridCol w:w="2412"/>
        <w:gridCol w:w="196"/>
        <w:gridCol w:w="736"/>
        <w:gridCol w:w="109"/>
        <w:gridCol w:w="109"/>
        <w:gridCol w:w="109"/>
        <w:gridCol w:w="109"/>
        <w:gridCol w:w="196"/>
        <w:gridCol w:w="736"/>
        <w:gridCol w:w="156"/>
      </w:tblGrid>
      <w:tr>
        <w:trPr/>
        <w:tc>
          <w:tcPr>
            <w:tcW w:w="2915"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$9,301 in 2024 and $20,547 in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372,352 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recovery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416,875 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recovery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 computing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681,064 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claims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Uncertain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   </w:t>
            </w:r>
            <w:r>
              <w:rPr>
                <w:rFonts w:ascii="Times New Roman;sans-serif" w:hAnsi="Times New Roman;sans-serif"/>
                <w:b w:val="false"/>
                <w:color w:val="000000"/>
                <w:sz w:val="18"/>
              </w:rPr>
              <w:t>Common stock—$0.0001 par value; 100,000,000 shares authorized; 32,277,395 and 34,384,905 shares issued and outstanding at December 31, 2024 and 2023,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467,651 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681,064 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See accompanying notes</w:t>
      </w:r>
      <w:r>
        <w:rPr>
          <w:rFonts w:ascii="Times New Roman;sans-serif" w:hAnsi="Times New Roman;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per share data)</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029"/>
        <w:gridCol w:w="1681"/>
        <w:gridCol w:w="1689"/>
        <w:gridCol w:w="211"/>
        <w:gridCol w:w="976"/>
        <w:gridCol w:w="109"/>
        <w:gridCol w:w="109"/>
        <w:gridCol w:w="109"/>
        <w:gridCol w:w="109"/>
        <w:gridCol w:w="211"/>
        <w:gridCol w:w="976"/>
        <w:gridCol w:w="109"/>
        <w:gridCol w:w="109"/>
        <w:gridCol w:w="109"/>
        <w:gridCol w:w="109"/>
        <w:gridCol w:w="211"/>
        <w:gridCol w:w="976"/>
        <w:gridCol w:w="109"/>
        <w:gridCol w:w="109"/>
        <w:gridCol w:w="155"/>
      </w:tblGrid>
      <w:tr>
        <w:trPr/>
        <w:tc>
          <w:tcPr>
            <w:tcW w:w="202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(loss) income,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attributable to common stockholders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attributable to common stockholders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68"/>
        <w:gridCol w:w="412"/>
        <w:gridCol w:w="413"/>
        <w:gridCol w:w="323"/>
        <w:gridCol w:w="323"/>
        <w:gridCol w:w="211"/>
        <w:gridCol w:w="109"/>
        <w:gridCol w:w="109"/>
        <w:gridCol w:w="109"/>
        <w:gridCol w:w="237"/>
        <w:gridCol w:w="291"/>
        <w:gridCol w:w="133"/>
        <w:gridCol w:w="109"/>
        <w:gridCol w:w="109"/>
        <w:gridCol w:w="109"/>
        <w:gridCol w:w="199"/>
        <w:gridCol w:w="748"/>
        <w:gridCol w:w="110"/>
        <w:gridCol w:w="109"/>
        <w:gridCol w:w="109"/>
        <w:gridCol w:w="109"/>
        <w:gridCol w:w="326"/>
        <w:gridCol w:w="952"/>
        <w:gridCol w:w="182"/>
        <w:gridCol w:w="109"/>
        <w:gridCol w:w="109"/>
        <w:gridCol w:w="109"/>
        <w:gridCol w:w="249"/>
        <w:gridCol w:w="937"/>
        <w:gridCol w:w="139"/>
        <w:gridCol w:w="109"/>
        <w:gridCol w:w="109"/>
        <w:gridCol w:w="109"/>
        <w:gridCol w:w="109"/>
        <w:gridCol w:w="109"/>
        <w:gridCol w:w="109"/>
        <w:gridCol w:w="109"/>
        <w:gridCol w:w="109"/>
        <w:gridCol w:w="109"/>
        <w:gridCol w:w="225"/>
        <w:gridCol w:w="850"/>
        <w:gridCol w:w="188"/>
      </w:tblGrid>
      <w:tr>
        <w:trPr/>
        <w:tc>
          <w:tcPr>
            <w:tcW w:w="4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2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 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Stockholders’ Equity</w:t>
            </w:r>
          </w:p>
        </w:tc>
      </w:tr>
      <w:tr>
        <w:trPr/>
        <w:tc>
          <w:tcPr>
            <w:tcW w:w="1293" w:type="dxa"/>
            <w:gridSpan w:val="3"/>
            <w:vMerge w:val="continue"/>
            <w:tcBorders/>
            <w:tcMar>
              <w:top w:w="0" w:type="dxa"/>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and retirement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185,982 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185,982 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292,876 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159,984 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451,477 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and retirement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(57,654)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(57,654)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excise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236,417 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232,615 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467,651 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and retirement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(36,831)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excise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net of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202,338 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218,059 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418,959 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9969" w:type="dxa"/>
        <w:jc w:val="left"/>
        <w:tblInd w:w="0" w:type="dxa"/>
        <w:tblLayout w:type="fixed"/>
        <w:tblCellMar>
          <w:top w:w="28" w:type="dxa"/>
          <w:left w:w="28" w:type="dxa"/>
          <w:bottom w:w="28" w:type="dxa"/>
          <w:right w:w="28" w:type="dxa"/>
        </w:tblCellMar>
      </w:tblPr>
      <w:tblGrid>
        <w:gridCol w:w="2260"/>
        <w:gridCol w:w="1982"/>
        <w:gridCol w:w="1997"/>
        <w:gridCol w:w="196"/>
        <w:gridCol w:w="721"/>
        <w:gridCol w:w="109"/>
        <w:gridCol w:w="109"/>
        <w:gridCol w:w="109"/>
        <w:gridCol w:w="109"/>
        <w:gridCol w:w="196"/>
        <w:gridCol w:w="646"/>
        <w:gridCol w:w="109"/>
        <w:gridCol w:w="109"/>
        <w:gridCol w:w="109"/>
        <w:gridCol w:w="109"/>
        <w:gridCol w:w="198"/>
        <w:gridCol w:w="747"/>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allowances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income tax (benefit) expense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early extinguishment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net of cash acquired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settlements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term loan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note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Senior Secured Asset-Based revolving credit facility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on Senior Secured Asset-Based revolving credit facility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shares withheld for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contingent consideration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and retirement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cash equivalents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year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82,893 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Nature of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 Country Healthcare, Inc. (the Company) provides total talent management services, including strategic workforce solutions, contingent staffing, permanent placement, and consultative services for healthcare customers. The Company places highly qualified healthcare professionals in virtually every specialty and area of expertise. Its diverse customer base includes both clinical and nonclinical settings, servicing both public and private acute care hospitals, non-acute care hospitals, outpatient clinics, ambulatory-care centers, physician practice groups, rehabilitation facilities, Program of All-Inclusive Care for the Elderly (PACE) programs, urgent care centers, local healthcare plans, national healthcare plans, managed care providers, public schools, charter schools, academic medical centers, correctional facilities, government facilities, pharmacies, and many other healthcare providers.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The consolidated financial statements include the accounts of the Company and its direct and indirect wholly-owned subsidiaries.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 xml:space="preserve">ll intercompany transactions and balances have been eliminated in consolidation.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prior year amounts have been reclassified to conform to the current year presentation. See the consolidated statements of operations and comprehensive (loss) income and Note 13 - 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Aya Healthcare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On December 3, 2024, the Company entered into an Agreement and Plan of Merger (Merger Agreement) with Aya Holdings II Inc., a Delaware corporation (Parent), Spark Merger Sub One Inc., a Delaware corporation and a wholly owned subsidiary of Parent (Merger Sub), and, solely for purposes of Section 11.14 thereto, Aya Healthcare, Inc. (Aya Healthcare), pursuant to which Merger Sub will merge with and into the Company, with the Company surviving as a wholly owned subsidiary of Parent (Aya Merger). On February 20, 2025, the Company and Aya Healthcare each received a request for additional information (Second Request) from the U.S. Federal Trade Commission (FTC) in connection with the FTC’s review of the transactions contemplated by the Merger Agreement. Issuance of the Second Request extends the waiting period under the Hart-Scott- Rodino Antitrust Improvements Act of 1976 until 30 days after both the Company and Aya Healthcare substantially comply with the Second Request, unless the waiting period is extended voluntarily by the parties or terminated earlier by the FTC. The Company expects that the Aya Merger will close in the second half of 2025, subject to the satisfaction or waiver of the other customary closing conditions specified in the Merger Agreement. The Aya Merger was approved by the Company's stockholders at a special meeting held on February 28, 2025. </w:t>
      </w:r>
      <w:r>
        <w:rPr>
          <w:rFonts w:ascii="Times New Roman;sans-serif" w:hAnsi="Times New Roman;sans-serif"/>
          <w:b w:val="false"/>
          <w:color w:val="000000"/>
          <w:sz w:val="20"/>
          <w:shd w:fill="FFFFFF" w:val="clear"/>
        </w:rPr>
        <w:t>Upon completion of the transaction, it is expected that the Company will become a private company and its common stock will no longer trade on Nasdaq. During the fourth quarter of 2024, the Company incurred $4.2 million in fees associated with the pending Aya Merger, which is included in acquisition and integration-related costs in the consolidated statement of operations and comprehensive (loss)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Use of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The preparation of consolidated financial statements in conformity with United States generally accepted accounting principles (U.S. GAAP) requires management to make estimates and assumptions that affect the reported amounts in the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 Significant estimates and assumptions are used for, but not limited to:</w:t>
      </w:r>
      <w:r>
        <w:rPr>
          <w:color w:val="000000"/>
          <w:shd w:fill="FFFFFF" w:val="clear"/>
        </w:rPr>
        <w:t xml:space="preserve"> </w:t>
      </w:r>
      <w:r>
        <w:rPr>
          <w:rFonts w:ascii="Times New Roman;sans-serif" w:hAnsi="Times New Roman;sans-serif"/>
          <w:b w:val="false"/>
          <w:color w:val="000000"/>
          <w:sz w:val="20"/>
          <w:shd w:fill="FFFFFF" w:val="clear"/>
        </w:rPr>
        <w:t>(i)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w:t>
      </w:r>
      <w:r>
        <w:rPr>
          <w:rFonts w:ascii="Times New Roman;sans-serif" w:hAnsi="Times New Roman;sans-serif"/>
          <w:b w:val="false"/>
          <w:color w:val="000000"/>
          <w:sz w:val="20"/>
        </w:rPr>
        <w:t>. Accrued insurance claims and reserves include estimated settlements from known claims and actuarial estimates for claims incurred but not reported. As additional information becomes available to the Company, its future assessment of these estimates could materially and adversely impact the Company's consolidated financial statements in future reporting periods. Actual results could differ from those estimates.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Risks and Uncertainties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 See associated risk factors in Item 1A. Risk Factors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Restatement of Prior Period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preparation of the Company’s financial statements for the three and nine months ended September 30, 2024, the Company identified an accounting error related to Medical Staffing Network Healthcare, LLC, which the Company acquired on June 30, 2014. The error pertains to an elimination entry that was improperly recorded, which resulted in the overstatement of revenue and the understatement of subcontractor liabilities. It was determined that the impact of the error was inconsequential in 2023 and 2024, and primarily related to the fiscal years of 2020 through 2022, during which time the Company's business greatly accelerated as a result of the pandemic. This non-cash error did not affect client billings, payments to health care professionals, or payments to subcontractors.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Management assessed the materiality of the error, including the presentation in prior period consolidated financial statements, on a qualitative and quantitative basis in accordance with </w:t>
      </w:r>
      <w:r>
        <w:rPr>
          <w:rFonts w:ascii="Times New Roman;sans-serif" w:hAnsi="Times New Roman;sans-serif"/>
          <w:b w:val="false"/>
          <w:i/>
          <w:color w:val="000000"/>
          <w:sz w:val="20"/>
          <w:shd w:fill="FFFFFF" w:val="clear"/>
        </w:rPr>
        <w:t xml:space="preserve">SEC Staff Accounting Bulletin No. 99, Materiality, </w:t>
      </w:r>
      <w:r>
        <w:rPr>
          <w:rFonts w:ascii="Times New Roman;sans-serif" w:hAnsi="Times New Roman;sans-serif"/>
          <w:b w:val="false"/>
          <w:color w:val="000000"/>
          <w:sz w:val="20"/>
          <w:shd w:fill="FFFFFF" w:val="clear"/>
        </w:rPr>
        <w:t>codified in</w:t>
      </w:r>
      <w:r>
        <w:rPr>
          <w:color w:val="000000"/>
          <w:shd w:fill="FFFFFF" w:val="clear"/>
        </w:rPr>
        <w:t xml:space="preserve"> </w:t>
      </w:r>
      <w:r>
        <w:rPr>
          <w:rFonts w:ascii="Times New Roman;sans-serif" w:hAnsi="Times New Roman;sans-serif"/>
          <w:b w:val="false"/>
          <w:i/>
          <w:color w:val="000000"/>
          <w:sz w:val="20"/>
          <w:shd w:fill="FFFFFF" w:val="clear"/>
        </w:rPr>
        <w:t>Accounting Standards Codification (ASC) Topic 250, Accounting Changes and Error Corrections</w:t>
      </w:r>
      <w:r>
        <w:rPr>
          <w:rFonts w:ascii="Times New Roman;sans-serif" w:hAnsi="Times New Roman;sans-serif"/>
          <w:b w:val="false"/>
          <w:color w:val="000000"/>
          <w:sz w:val="20"/>
          <w:shd w:fill="FFFFFF" w:val="clear"/>
        </w:rPr>
        <w:t>. Based on this assessment, the Company concluded that the error and the related impacts did not result in a material misstatement of the previously issued consolidated financial statements as of and for the fiscal years ended December 31, 2021 through 2023. However, correcting the cumulative effect of the error in 2024 would have had a material effect on the results of operations for that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Therefore, the relevant prior periods’ financial statements and related footnotes have been corrected. Previously reported financial information for such an immaterial error will be corrected in future filings, as applicable.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provided a summary of the revisions to the impacted financial statement line items from the previously issued financial statements. See Note 19 - Immaterial Financial Restatement to Prior Period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and Cash Equivalents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investments with original maturities of three months or less to be cash and cash equivalents. Interest income on cash and cash equivalents was $2.0 million for the year ended December 31, 2024 and immaterial for the years ended December 31, 2023 and 2022, and is included in interest income in the consolidated statements of operations and comprehensive (loss) income.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Accounts Receivable, Allowances, and Concentration of Credit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potentially subject the Company to concentrations of credit risk. The Company generally does not require collateral and mitigates its credit risk by performing credit evaluations and monitoring at-risk accounts. The allowance for credit losses is established for losses expected to be incurred on accounts receivable balances. Accounts receivable are written off against the allowance for credit losses when the Company determines amounts are no longer collectible. Judgment is required in the estimation of the allowance and the Company evaluates the collectability of its accounts receivable based on a combination of factors. The Company bases its allowance for credit loss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conditions when estimating its allowance for credit losses.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opening balance of the allowance for credit losses is reconciled to the closing balance for expected credit losses as follows:</w:t>
      </w:r>
    </w:p>
    <w:p>
      <w:pPr>
        <w:pStyle w:val="TextBody"/>
        <w:bidi w:val="0"/>
        <w:spacing w:before="0" w:after="0"/>
        <w:jc w:val="left"/>
        <w:rPr/>
      </w:pPr>
      <w:r>
        <w:rPr/>
      </w:r>
    </w:p>
    <w:tbl>
      <w:tblPr>
        <w:tblW w:w="4782" w:type="dxa"/>
        <w:jc w:val="left"/>
        <w:tblInd w:w="0" w:type="dxa"/>
        <w:tblLayout w:type="fixed"/>
        <w:tblCellMar>
          <w:top w:w="28" w:type="dxa"/>
          <w:left w:w="28" w:type="dxa"/>
          <w:bottom w:w="28" w:type="dxa"/>
          <w:right w:w="28" w:type="dxa"/>
        </w:tblCellMar>
      </w:tblPr>
      <w:tblGrid>
        <w:gridCol w:w="961"/>
        <w:gridCol w:w="844"/>
        <w:gridCol w:w="850"/>
        <w:gridCol w:w="211"/>
        <w:gridCol w:w="721"/>
        <w:gridCol w:w="109"/>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2127"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Write-Offs, net of Recoveries </w:t>
            </w:r>
            <w:r>
              <w:rPr>
                <w:rFonts w:ascii="Times New Roman;sans-serif" w:hAnsi="Times New Roman;sans-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The 2024 write-off in the fourth quarter consists primarily of the receivables and credit loss allowances associated with the single MSP customer that filed for bankruptcy, as discussed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allowance for credit losses, the Company maintains a sales allowance for billing-related adjustments that may arise in the ordinary course of business and adjustments to the reserve are recorded as contra-revenue. The sales allowance balance as of December 31, 2024 and December 31, 2023 was $0.5 million and $0.9 million, respectively.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No single customer accounted for more than 10% of the Company's revenue for the years ended December 31, 2024, 2023, and 2022, or the Company's accounts receivable balance as of December 31, 2024 and 2023. In 2023 there was an</w:t>
      </w:r>
      <w:r>
        <w:rPr>
          <w:color w:val="000000"/>
        </w:rPr>
        <w:t xml:space="preserve"> </w:t>
      </w:r>
      <w:r>
        <w:rPr>
          <w:rFonts w:ascii="Times New Roman;sans-serif" w:hAnsi="Times New Roman;sans-serif"/>
          <w:b w:val="false"/>
          <w:color w:val="000000"/>
          <w:sz w:val="20"/>
        </w:rPr>
        <w:t>increase in credit loss expense primarily driven by a deterioration in the accounts receivable aging stemming from a single MSP customer. On May 6, 2024, the MSP customer filed a voluntary petition for relief under Chapter 11 of the United States Bankruptcy Code. As a result, the Company recorded an associated credit loss expense of $19.4 million during the quarter ended June 30, 2024.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Property and Equipment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Depreciation is determined on a straight-line basis over the estimated useful lives of the assets, which generally range from one to ten years. Leasehold improvements are depreciated over the shorter of 10 years or the term of the individual lease. On an annual basis, the Company reviews its property and equipment listings and disposes of assets that are no longer in use.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software development costs have been capitalized. Such costs include charges for consulting services and costs for Company personnel associated with programming, coding, and testing such software. Amortization of capitalized software costs is included in depreciation and amortization expense in the consolidated statements of operations and comprehensive (loss) income and begins when the software is ready for use. See Note 6 - Property and Equipment.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Cloud Computing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Implementation costs associated with cloud computing arrangements are capitalized when incurred during the application development phase. In connection with the licensing of software products, the Company has entered into arrangements in which it does not take possession of the software; rather, the software application resides on the vendor's or a third-party's hardware, and the Company accesses and uses the software on an as-needed basis over the Internet or via a dedicated line. Therefore, the cloud computing arrangement does not give rise to an intangible asset. Costs are capitalized in accordance with the Company’s policies for other capitalizable service costs. Amortization is calculated over the contractual term of the cloud computing arrangement and is included in selling, general and administrative expenses in the consolidated statements of operations and comprehensive (loss) income. As of December 31, 2024 and 2023, the Company had a current asset of $0.8 million and $0.5 million, respectively, included in prepaid expenses and a non-current asset of $10.8 million and $6.0 million, respectively, included in cloud computing in the consolidated balance sheets that have been capitalized in conjunction with implementations. Amortization of the cloud computing assets was $0.7 million, $0.5 million, and $0.6 million for the years ended December 31, 2024, 2023, and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an arrangement constitutes a lease at commencement. Operating leases are included in operating lease right-of-use assets, operating lease liabilities - current, and operating lease liabilities - non-current in the consolidated balance sheets. Finance leases are included in other assets, other current liabilities, and other liabilities in the consolidated balance sheets. See Note 9 - 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are measured based on the corresponding lease liability adjusted for: (i) payments made to the lessor at or before the commencement date; (ii) initial direct costs; and (iii) tenant incentives under the lease. Rent expense commences when the lessor makes the underlying asset available to the Company. Lease liabilities are measured based on the present value of the total lease payments not yet paid discounted based on its incremental borrowing rate, as the rate implicit in the lease is not determinable. The Company estimates its incremental borrowing rate based on an analysis of publicly-traded debt securities of companies with credit and financial profiles similar to its own. The variable portion of the lease payments is not included in the right-of-use assets or lease liabilities. Rather, variable payments, other than those dependent upon an index or rate, are expensed when the obligation for those payments is incurred and are included in lease expense in selling, general and administrative expense in the consolidated statements of operations and comprehensive (loss) income. Rent expense for operating lease payments is recognized on a straight-line basis over the lease term. The Company does not assume renewals or early terminations unless it is reasonably certain to exercise these options at commencement. The Company has elected the practical expedient to not separate non-lease components from the lease components to which they relate, and instead account for each as a single lease component, for all of its underlying asset classes. Accordingly, all expenses associated with a lease contract are accounted for as lease expenses.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apartments for eligible field employees under short-term agreements (typically three to six months), which generally coincide with each employee’s staffing contract. Costs relating to these leases are included in direct operating expenses in the consolidated statements of operations and comprehensive (loss) income.</w:t>
      </w:r>
    </w:p>
    <w:p>
      <w:pPr>
        <w:pStyle w:val="TextBody"/>
        <w:bidi w:val="0"/>
        <w:spacing w:lineRule="auto" w:line="288" w:before="180" w:after="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Business Combinations</w:t>
      </w:r>
    </w:p>
    <w:p>
      <w:pPr>
        <w:pStyle w:val="TextBody"/>
        <w:bidi w:val="0"/>
        <w:spacing w:lineRule="auto" w:line="288" w:before="0" w:after="0"/>
        <w:jc w:val="left"/>
        <w:rPr/>
      </w:pPr>
      <w:r>
        <w:rPr>
          <w:rFonts w:ascii="Times New Roman;sans-serif" w:hAnsi="Times New Roman;sans-serif"/>
          <w:b w:val="false"/>
          <w:color w:val="000000"/>
          <w:sz w:val="20"/>
        </w:rPr>
        <w:t xml:space="preserve">Historically, business combinations have been accounted for at fair value using the acquisition method of accounting. Effective January 1, 2023, the Company accounts for business combinations in accordance with updated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Topic 805. Contract assets and contract liabilities acquired in a business combination are recognized in accordance with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Topic 606. At the acquisition date, related revenue contracts with customers are accounted for as if the Company had originated the contracts. The acquired contract assets and liabilities are recognized and measured consistent with how they were recognized and measured in the acquiree's financial statements, if those financial statements were prepared in accordance with U.S. GAAP. Contract assets and contract liabilities from other contracts to which Topic 606 applies are similarly recognized and measured. In circumstances where it is unable to assess whether the financial statements were prepared in accordance with U.S. GAAP, the Company considers contract terms and specifications to determine what should be recorded at the acquisition date. Other assets or liabilities that arise from revenue contracts with customers in accordance with Topic 606 are accounted for at fair value.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associated acquisition costs are expensed as incurred and recorded as acquisition and integration-related costs. Restructuring costs associated with a business combination are expensed. The results of the acquired businesses' operations are included in the consolidated statements of operations and comprehensive (loss) income of the combined entity beginning on the date of acquisition. See Note 4 -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Goodwill, Trade Names, and Other Intangible Assets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purchase price and related costs over the fair value assigned to the net tangible and identifiable intangible assets of businesses acquired. Other identifiable intangible assets with definite lives are being amortized using the straight-line method over their estimated useful lives which have ranged from 2 to 16 years. Goodwill and certain intangible assets with indefinite lives are not amortized. Instead, these assets are reviewed for impairment annually at the beginning of the fourth quarter, and whenever circumstances change that would more likely than not reduce the fair value of a reporting unit below its carrying amount.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When reviewed, the Company has the option to first assess qualitative factors to determine whether it is more likely than not that the fair value of a reporting unit is less than its carrying amount, as a basis for determining whether it is necessary to perform the quantitative testing. If it is determined that a quantitative test is necessary or more efficient than a qualitative approach, the Company measures the fair value of its reporting units using a combination of income and market approaches.</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color w:val="000000"/>
          <w:sz w:val="20"/>
        </w:rPr>
        <w:t>The Company performs its annual review on October 1</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If the quantitative analysis is performed and the reporting unit’s carrying value exceeds its fair value, an impairment charge is recognized for the amount by which the carrying amount exceeds the reporting unit’s fair value not to exceed the total amount of goodwill allocated to that reporting unit. Additionally, income tax effects from any tax-deductible goodwill on the carrying amount of the reporting unit when measuring the goodwill impairment loss is considered, if applicable.</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its reporting units by identifying its operating segments and any component businesses and aggregates the component businesses if they have similar economic characteristics.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considers historical experience and all available information at the time the fair values of its reporting units are estimated. However, fair values that could be realized in an actual transaction may have differed from those used to evaluate the potential impairment of goodwill.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and identifiable intangible assets with definite lives are evaluated for impairment. Long-lived assets and definite-lived intangible assets are reviewed for impairment whenever events or changes in circumstances indicate the carrying amount may not be recoverable.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Recoverability of long-lived assets is measured by a comparison of the carrying amount of the asset group to the future undiscounted net cash flow that is expected to be generated by those assets. If such assets are considered to be impaired, the impairment charge recognized is the amount by which the carrying amount of the assets exceeds the fair value of the assets.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Any related impairment losses are recognized in earnings and included in the caption impairment charges in the consolidated statements of operations and comprehensive (loss) income. See Note 5 - Goodwill, Trade Names, and Other Intangible Assets.</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Debt Discount and Debt Issuance Costs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Stated discounts on proceeds and other fees reimbursed to lenders were treated as a discount associated with the respective debt instrument and presented in the balance sheet as an offset to the carrying amount of the debt. Debt issuance costs associated with the revolving line-of-credit are presented as an asset, included in other assets on the balance sheet. Discounts are amortized to interest expense using the effective interest rate method, or a method that approximates the effective interest rate method, over the expected life of the debt.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Sales and Other State Non-Income Tax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sales and other state non-income tax filings are subject to routine audits by authorities in the jurisdictions where it conducts business in the United States which may result in assessments of additional taxes. The Company accrues sales and other state non-income tax liabilities based on the Company’s best estimate of its probable liability utilizing currently available information and interpretation of relevant tax regulations. Given the nature of the Company’s business, some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consolidated statements of operations and comprehensive (loss) income and the liability is reflected in sales tax payable within other current liabilities in the consolidated balance sheets.</w:t>
      </w:r>
    </w:p>
    <w:p>
      <w:pPr>
        <w:pStyle w:val="TextBody"/>
        <w:bidi w:val="0"/>
        <w:spacing w:lineRule="auto" w:line="288" w:before="0" w:after="0"/>
        <w:jc w:val="both"/>
        <w:rPr/>
      </w:pPr>
      <w:r>
        <w:rPr>
          <w:rFonts w:ascii="Times New Roman;sans-serif" w:hAnsi="Times New Roman;sans-serif"/>
          <w:b/>
          <w:i/>
          <w:color w:val="000000"/>
          <w:sz w:val="20"/>
          <w:shd w:fill="FFFFFF" w:val="clear"/>
        </w:rPr>
        <w:t>Insurance Claims</w:t>
      </w:r>
      <w:r>
        <w:rPr>
          <w:color w:val="000000"/>
          <w:shd w:fill="FFFFFF" w:val="clear"/>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workers’ compensation insurance coverage, professional liability coverage, and healthcare benefits for eligible employees. The Company records its estimate of the ultimate cost of, and reserves for, workers' compensation and professional liability benefits based on actuarial models prepared or reviewed by an independent actuary using the Company’s loss history as well as industry statistics. The healthcare insurance accrual is for estimated claims that have occurred but have not been reported and is based on the Company’s historical claim submission patterns. Furthermore, in determining its reserves, the Company includes reserves for estimated claims incurred but not reported as well as unfavorable claims development.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to the claimant should be classified separately on a gross basis with a separate related receivable from the insurer recognized as being due from insurance carriers. Accordingly, the Company’s consolidated balance sheets as of December 31, 2024 and 2023 reflect the related short-term liabilities in accrued compensation and benefits and the related</w:t>
      </w:r>
      <w:r>
        <w:rPr>
          <w:color w:val="000000"/>
        </w:rPr>
        <w:t> </w:t>
      </w:r>
      <w:r>
        <w:rPr>
          <w:rFonts w:ascii="Times New Roman;sans-serif" w:hAnsi="Times New Roman;sans-serif"/>
          <w:b w:val="false"/>
          <w:color w:val="000000"/>
          <w:sz w:val="20"/>
        </w:rPr>
        <w:t>long-term liabilities as accrued claims, and the short-term and long-term receivable portion as insurance recovery receivable - current and insurance recovery receivable - non-current, respectively. See Note 7 - Balance Sheet Details. The ultimate cost of workers’ compensation, professional liability, and health insurance claims will depend on actual amounts incurred to settle those claims and may differ from the amounts reserved by the Company for those claims.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 benefits are provided under a partially self-insured plan. The Company has letters of credit to guarantee payments of claims. At December 31, 2024 and 2023, the Company had outstanding approximately $14.7 million and $13.5 million, respectively, of standby letters of credit as collateral to secure the self-insured portion of this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the Company has claims-made primary professional liability policies that provide the Company and each working professional in its nurse and allied healthcare business with coverage. The Company has a claims-made professional liability policy for its physicians and advanced practitioners. At December 31, 2024 and 2023, the Company had outstanding $0.3 million of standby letters of credit as collateral to secure reimbursement of expenses under the existing plan.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certain limitations, the Company also has umbrella liability coverage for its working nurses and allied healthcare professionals. While this umbrella coverage does not extend to professional liability claims against its independent contractor physicians and advanced practitioners, it does cover claims brought against all of the Company’s subsidiaries for non-patient general liability.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Revenue Recognition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Revenue</w:t>
      </w:r>
      <w:r>
        <w:rPr>
          <w:color w:val="000000"/>
        </w:rPr>
        <w:t xml:space="preserve"> </w:t>
      </w:r>
      <w:r>
        <w:rPr>
          <w:rFonts w:ascii="Times New Roman;sans-serif" w:hAnsi="Times New Roman;sans-serif"/>
          <w:b w:val="false"/>
          <w:color w:val="000000"/>
          <w:sz w:val="20"/>
        </w:rPr>
        <w:t>from the Company’s services is recognized when control of the promised services is transferred to the Company’s customers, in an amount that reflects the consideration it expects to receive in exchange for the service. The Company has concluded that transfer of control of its staffing services, which represents the majority of its revenues, occurs over time as the services are provided.</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nature, amount, timing, and uncertainty of revenue and cash flows from which the Company generates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417"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Temporary Staffing Revenue</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temporary staffing is recognized as control of the services is transferred over time and is based on hours worked by the Company’s field staff. The Company recognizes the majority of its revenue at the contractual amount the Company has the right to invoice for services 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2024 and 2023 the Company's estimate of amounts that had been worked but had not been billed totaled $60.4 million and $89.9 million, respectively, and are included in accounts receivable in the consolidated balance sheets.</w:t>
      </w:r>
    </w:p>
    <w:p>
      <w:pPr>
        <w:pStyle w:val="TextBody"/>
        <w:bidi w:val="0"/>
        <w:spacing w:lineRule="auto" w:line="417"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Services Revenue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other optional services to its customers that are transferred over time including: managed service programs (MSP) providing agency services (as further described below in Gross Versus Net Policies), recruitment process outsourcing (RPO), other outsourcing services, and retained search services, as well as separately billable travel and housing costs, which in total amount to less than 5% of its consolidated revenue for the years ended December 31, 2024, 2023, and 2022. Generally, billing and payment terms for MSP agency services are consistent with temporary staffing as the customers are similar or the same. Revenue from these services is recognized based on the contractual amount for services completed to date which best depicts the transfer of control of services. The Company does not, in the ordinary course of business, offer warranties or refunds.</w:t>
      </w:r>
    </w:p>
    <w:p>
      <w:pPr>
        <w:pStyle w:val="TextBody"/>
        <w:bidi w:val="0"/>
        <w:spacing w:before="0" w:after="0"/>
        <w:jc w:val="left"/>
        <w:rPr/>
      </w:pPr>
      <w:r>
        <w:rPr/>
      </w:r>
    </w:p>
    <w:p>
      <w:pPr>
        <w:pStyle w:val="TextBody"/>
        <w:bidi w:val="0"/>
        <w:spacing w:lineRule="auto" w:line="417"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Versus Net Policies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revenue on a gross basis as a principal or on a net basis as an agent depending on the contracted arrangement, as follows:</w:t>
      </w:r>
    </w:p>
    <w:p>
      <w:pPr>
        <w:pStyle w:val="TextBody"/>
        <w:bidi w:val="0"/>
        <w:spacing w:lineRule="auto" w:line="417"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Managed Service Programs (MSP)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contracts with healthcare facilities to provide comprehensive services through its MSPs. Under these contractual arrangements, the customer’s orders are filled with either one of the Company’s healthcare professionals or a third party’s healthcare professionals (subcontractors).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When its healthcare professional is staffed, the Company determined that it acts as a principal in the arrangement, as it is considered the employer of record. Accordingly, revenue is reported on a gross basis in the consolidated statements of operations and comprehensive (loss) income.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Alternatively, the Company determined that it acts as an agent in the arrangement when a subcontracted healthcare professional is staffed, as the Company does not control the services before they are transferred to the customer. Accordingly, revenue is reported on a net basis in the consolidated statements of operations and comprehensive (loss) income. The customer is invoiced for the hours worked by the subcontracted healthcare professional multiplied by the hourly bill rate. A subcontractor liability is recognized as a reduction of revenue, net of an administrative fee, and is generally payable after the Company has received payment from its customer. The Company’s administrative fee is calculated as a percentage of the customer’s invoice and is recognized over time as the services are rendered by the subcontracted healthcare professional. The Company does not collect or recognize an upfront placement fee.</w:t>
      </w:r>
    </w:p>
    <w:p>
      <w:pPr>
        <w:pStyle w:val="TextBody"/>
        <w:bidi w:val="0"/>
        <w:spacing w:lineRule="auto" w:line="417"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Physician Staffing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Physician Staffing business has contracts with its healthcare customers to provide temporary staffing services. The Company uses independent contractors for these services. The Company determined that it acts as a principal in these arrangements and, therefore, revenue is reported on a gross basis in the consolidated statements of operations and comprehensive (loss)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3 - Revenue Recognition for the Company’s revenues disaggregated by revenue source. Sales and usage-based taxes are excluded from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contract fulfillment costs are expensed as incurred to direct operating expenses. There were no contract assets or material contract liabilities as of December 31, 2024 and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Practical Expedients and Exemptions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Company’s contracts that have an original duration of one year or less, the Company uses the practical expedients and has elected to recognize any incremental costs of obtaining these contracts as expensed when incurred. Further, the Company does not disclose the value of unsatisfied performance obligations for: (i) contracts with an original expected length of one year or less; and (ii) contracts for which it recognizes revenue at the amount to which it has the right to invoice for services performed.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Share-Based Compensation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2023, and 2022, the Company granted performance-based stock awards and restricted stock for a fixed number of common shares to employees. The Company values its restricted stock awards and the fair value of its performance-based stock awards by reference to its stock price on the date of grant. The Company has elected to recognize compensation expense on a straight-line basis over the requisite service period of the entire award.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granted performance-based stock awards to certain key personnel pursuant to its 2014 Omnibus Incentive Plan, amended and restated on May 23, 2017 (2017 Plan), replaced by the 2020 Omnibus Incentive Plan, effective for awards granted after May 19, 2020, and the 2024 Omnibus Incentive Plan, effective for awards granted after May 14, 2024, as described in Note 14 - Stockholders' Equity. Pursuant to the plans, the number of target shares that vest are determined based on the level of attainment of the targets. If a minimum level of performance is attained for the awards, restricted stock is issued based on the level of attainment. The Company recognizes performance-based restricted stock as compensation expense based on the most likely probability of attaining the prescribed performance and over the requisite service period beginning at its grant date and through the date the restricted stock vests.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Compensation expense related to share-based payments is included in selling, general and administrative expenses in the consolidated statements of operations and comprehensive (loss) income, and totaled $6.0 million, $6.6 million, and $7.4 million during the years ended December 31, 2024, 2023, and 2022, respectively. See Note 14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Stockholders’ Equity.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Advertising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advertising expense consists of programmatic advertising, display, search, internet, social media, video, and promotional aids and materials. Advertising costs are expensed as incurred and totaled $8.5 million, $11.5 million, and $16.1 million for the years ended December 31, 2024, 2023, and 2022, respectively, and are included in selling, general and administrative expenses in the consolidated statements of operations and comprehensive (loss)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Restructuring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and comprehensive (loss) income primarily include employee termination costs and lease-related exit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Reconciliations of the employee termination costs and lease-related exit costs beginning and ending liability balance is presented below:</w:t>
      </w:r>
    </w:p>
    <w:tbl>
      <w:tblPr>
        <w:tblW w:w="10205" w:type="dxa"/>
        <w:jc w:val="center"/>
        <w:tblInd w:w="0" w:type="dxa"/>
        <w:tblLayout w:type="fixed"/>
        <w:tblCellMar>
          <w:top w:w="28" w:type="dxa"/>
          <w:left w:w="28" w:type="dxa"/>
          <w:bottom w:w="28" w:type="dxa"/>
          <w:right w:w="28" w:type="dxa"/>
        </w:tblCellMar>
      </w:tblPr>
      <w:tblGrid>
        <w:gridCol w:w="586"/>
        <w:gridCol w:w="361"/>
        <w:gridCol w:w="363"/>
        <w:gridCol w:w="357"/>
        <w:gridCol w:w="789"/>
        <w:gridCol w:w="185"/>
        <w:gridCol w:w="315"/>
        <w:gridCol w:w="920"/>
        <w:gridCol w:w="163"/>
        <w:gridCol w:w="109"/>
        <w:gridCol w:w="109"/>
        <w:gridCol w:w="109"/>
        <w:gridCol w:w="357"/>
        <w:gridCol w:w="789"/>
        <w:gridCol w:w="185"/>
        <w:gridCol w:w="315"/>
        <w:gridCol w:w="920"/>
        <w:gridCol w:w="163"/>
        <w:gridCol w:w="109"/>
        <w:gridCol w:w="109"/>
        <w:gridCol w:w="109"/>
        <w:gridCol w:w="357"/>
        <w:gridCol w:w="789"/>
        <w:gridCol w:w="185"/>
        <w:gridCol w:w="310"/>
        <w:gridCol w:w="906"/>
        <w:gridCol w:w="236"/>
      </w:tblGrid>
      <w:tr>
        <w:trPr/>
        <w:tc>
          <w:tcPr>
            <w:tcW w:w="5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2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Costs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Lease-Related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Costs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Lease-Related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Costs</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Lease-Related Exit Costs</w:t>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restructuring</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and adjustments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assets and liabilities are determined based upon differences between the financial reporting and tax basis of assets and liabilities, and are measured using the enacted tax rates and laws that will be in effect when the differences are expected to reverse.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in its financial statements the impact of a tax position if that position is more likely than not of being sustained on audit, based on the technical merits of the position. The Company recognizes interest and penalties related to unrecognized tax benefits in the provision for income taxes.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need for a valuation allowance by assessing the probability of realizing deferred tax assets, taking into consideration all available positive and negative evidence, including historical operating results, expectations of future taxable income, carryforward periods available to the Company for tax reporting purposes, the evaluation of various income tax planning strategies, and other relevant factors. The Company maintains a valuation allowance when it is more likely than not that all or a portion of a deferred tax asset will not be realized based on consideration of all available evidence. Adjustments to the deferred tax valuation allowances are made to earnings in the period when such assessments are made. Significant judgment is required in making this assessment. See Note 13 -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Comprehensive (Loss) Income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income includes net income or loss and foreign currency translation adjustments, net of any related deferred taxes, and is included within the accompanying consolidated statements of operations and comprehensive (loss) income.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consolidated balance sheets and was an unrealized loss of $1.5 million at December 31, 2024 and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impact related to components of other comprehensive (loss) income for the years ended December 31, 2024, 2023 and 2022 is included in unrealized foreign currency translation (loss) income, net of tax in the consolidated statements of operations and comprehensive (loss) income.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Fair Value Measurements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 (FASB) guidance defines fair value, establishes a framework for measuring fair value under U.S. GAAP, and expands disclosures about fair value measurements. The Company’s financial assets and liabilities required to be measured at fair value on a recurring basis were its: (i) deferred compensation asset and (ii) deferred compensation liability as of December 31, 2024. See Note 10 - Fair Value Measurements.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Earnings Per Share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(loss) income available to common stockholders (numerator) by the weighted average number of vested unrestricted common shares outstanding during the period (denominator). Diluted earnings per share gives effect to all dilutive potential common shares outstanding during the period including stock appreciation rights and options and unvested restricted stock, as calculated utilizing the treasury stock method. See Note 15 - Earnings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Recently Adopted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On November 27, 2023, the FASB issued Accounting Standards Update (ASU) No. 2023-07, </w:t>
      </w:r>
      <w:r>
        <w:rPr>
          <w:rFonts w:ascii="Times New Roman;sans-serif" w:hAnsi="Times New Roman;sans-serif"/>
          <w:b w:val="false"/>
          <w:i/>
          <w:color w:val="000000"/>
          <w:sz w:val="20"/>
          <w:shd w:fill="FFFFFF" w:val="clear"/>
        </w:rPr>
        <w:t>Segment Reporting (Topic 280): Improvements to Reportable Segment Disclosures</w:t>
      </w:r>
      <w:r>
        <w:rPr>
          <w:rFonts w:ascii="Times New Roman;sans-serif" w:hAnsi="Times New Roman;sans-serif"/>
          <w:b w:val="false"/>
          <w:color w:val="000000"/>
          <w:sz w:val="20"/>
          <w:shd w:fill="FFFFFF" w:val="clear"/>
        </w:rPr>
        <w:t>, which improves reportable segment disclosure requirements, primarily through enhanced disclosures about significant segment expenses, enhances interim disclosure requirements, clarifies circumstances in which an entity can disclose multiple segment measures of profit or loss, provides new segment disclosure requirements for entities with a single reportable segment, and requires certain disclosures related to the chief operating decision maker. The Company adopted this standard for its fiscal year ended December 31, 2024, and applied the guidance retrospectively to all prior periods presented in the financial statements. This standard only expanded the Company's disclosures with no impact to results of operations, cash flows, and financial condition. See Note 17 - Segment Data.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November 4, 2024, the FASB issued ASU No. 2024-03,</w:t>
      </w:r>
      <w:r>
        <w:rPr>
          <w:color w:val="000000"/>
        </w:rPr>
        <w:t xml:space="preserve"> </w:t>
      </w:r>
      <w:r>
        <w:rPr>
          <w:rFonts w:ascii="Times New Roman;sans-serif" w:hAnsi="Times New Roman;sans-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ans-serif" w:hAnsi="Times New Roman;sans-serif"/>
          <w:b w:val="false"/>
          <w:color w:val="000000"/>
          <w:sz w:val="20"/>
        </w:rPr>
        <w:t>which is intended to improve decision usefulness of business entities’ income statements through the disaggregation of certain expense captions, such as employee compensation, depreciation, and intangible asset amortization, with required disclosure in a single note to the financial statements. This guidance is effective for fiscal years beginning after December 15, 2026, and interim periods within fiscal years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In January 2025, the FASB issued ASU No. 2025-01,</w:t>
      </w:r>
      <w:r>
        <w:rPr>
          <w:color w:val="000000"/>
        </w:rPr>
        <w:t xml:space="preserve"> </w:t>
      </w:r>
      <w:r>
        <w:rPr>
          <w:rFonts w:ascii="Times New Roman;sans-serif" w:hAnsi="Times New Roman;sans-serif"/>
          <w:b w:val="false"/>
          <w:i/>
          <w:color w:val="000000"/>
          <w:sz w:val="20"/>
        </w:rPr>
        <w:t xml:space="preserve">Income Statement—Reporting Comprehensive Income—Expense Disaggregation Disclosures (Subtopic 220-40): Clarifying the Effective Date, </w:t>
      </w:r>
      <w:r>
        <w:rPr>
          <w:rFonts w:ascii="Times New Roman;sans-serif" w:hAnsi="Times New Roman;sans-serif"/>
          <w:b w:val="false"/>
          <w:color w:val="000000"/>
          <w:sz w:val="20"/>
        </w:rPr>
        <w:t>which clarifies the effective date of the guidance for non-calendar-year end entities, stating that entities are required to adopt the guidance in annual reporting periods beginning after December 15, 2026, and interim periods within annual reporting periods beginning after December 15, 2027. The Company expects to adopt this standard for its annual report for the fiscal year ending December 31, 2027. The Company expects this ASU to only impact its disclosures with no impacts to results of operations, cash flows,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On December 14,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which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(or loss) by the applicable statutory income tax rate). The amendments also require that all entities disclose, on an annual basis, disaggregated information regarding income taxes paid and income tax expense. This guidance is effective for annual periods beginning after December 15, 2024. The amendments should be applied prospectively, but retrospective application is permitted. Early adoption is permitted for annual financial statements that have not yet been issued or made available for issuance. The Company expects to adopt this standard for its annual report for the fiscal year ending December 31, 2025. The Company expects this ASU to only impact its disclosures with no impacts to results of operations,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lineRule="auto" w:line="417" w:before="0" w:after="160"/>
        <w:jc w:val="left"/>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from customer contracts are generated from temporary staffing services and other services. Revenue is disaggregated by segment in the following table. See Note 2 - Summary of Significant Accounting Policies.</w:t>
      </w:r>
    </w:p>
    <w:tbl>
      <w:tblPr>
        <w:tblW w:w="6966" w:type="dxa"/>
        <w:jc w:val="left"/>
        <w:tblInd w:w="0" w:type="dxa"/>
        <w:tblLayout w:type="fixed"/>
        <w:tblCellMar>
          <w:top w:w="28" w:type="dxa"/>
          <w:left w:w="28" w:type="dxa"/>
          <w:bottom w:w="28" w:type="dxa"/>
          <w:right w:w="28" w:type="dxa"/>
        </w:tblCellMar>
      </w:tblPr>
      <w:tblGrid>
        <w:gridCol w:w="874"/>
        <w:gridCol w:w="768"/>
        <w:gridCol w:w="773"/>
        <w:gridCol w:w="211"/>
        <w:gridCol w:w="976"/>
        <w:gridCol w:w="109"/>
        <w:gridCol w:w="109"/>
        <w:gridCol w:w="109"/>
        <w:gridCol w:w="109"/>
        <w:gridCol w:w="211"/>
        <w:gridCol w:w="826"/>
        <w:gridCol w:w="109"/>
        <w:gridCol w:w="109"/>
        <w:gridCol w:w="109"/>
        <w:gridCol w:w="109"/>
        <w:gridCol w:w="229"/>
        <w:gridCol w:w="1059"/>
        <w:gridCol w:w="167"/>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Temporary Staffing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1,302,354 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1,344,004 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66" w:type="dxa"/>
        <w:jc w:val="center"/>
        <w:tblInd w:w="0" w:type="dxa"/>
        <w:tblLayout w:type="fixed"/>
        <w:tblCellMar>
          <w:top w:w="28" w:type="dxa"/>
          <w:left w:w="28" w:type="dxa"/>
          <w:bottom w:w="28" w:type="dxa"/>
          <w:right w:w="28" w:type="dxa"/>
        </w:tblCellMar>
      </w:tblPr>
      <w:tblGrid>
        <w:gridCol w:w="874"/>
        <w:gridCol w:w="768"/>
        <w:gridCol w:w="773"/>
        <w:gridCol w:w="211"/>
        <w:gridCol w:w="976"/>
        <w:gridCol w:w="109"/>
        <w:gridCol w:w="109"/>
        <w:gridCol w:w="109"/>
        <w:gridCol w:w="109"/>
        <w:gridCol w:w="211"/>
        <w:gridCol w:w="826"/>
        <w:gridCol w:w="109"/>
        <w:gridCol w:w="109"/>
        <w:gridCol w:w="109"/>
        <w:gridCol w:w="109"/>
        <w:gridCol w:w="229"/>
        <w:gridCol w:w="1059"/>
        <w:gridCol w:w="167"/>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Temporary Staffing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1,963,566 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2,019,728 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66" w:type="dxa"/>
        <w:jc w:val="center"/>
        <w:tblInd w:w="0" w:type="dxa"/>
        <w:tblLayout w:type="fixed"/>
        <w:tblCellMar>
          <w:top w:w="28" w:type="dxa"/>
          <w:left w:w="28" w:type="dxa"/>
          <w:bottom w:w="28" w:type="dxa"/>
          <w:right w:w="28" w:type="dxa"/>
        </w:tblCellMar>
      </w:tblPr>
      <w:tblGrid>
        <w:gridCol w:w="874"/>
        <w:gridCol w:w="768"/>
        <w:gridCol w:w="773"/>
        <w:gridCol w:w="211"/>
        <w:gridCol w:w="976"/>
        <w:gridCol w:w="109"/>
        <w:gridCol w:w="109"/>
        <w:gridCol w:w="109"/>
        <w:gridCol w:w="109"/>
        <w:gridCol w:w="211"/>
        <w:gridCol w:w="826"/>
        <w:gridCol w:w="109"/>
        <w:gridCol w:w="109"/>
        <w:gridCol w:w="109"/>
        <w:gridCol w:w="109"/>
        <w:gridCol w:w="229"/>
        <w:gridCol w:w="1059"/>
        <w:gridCol w:w="167"/>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55" w:type="dxa"/>
            <w:gridSpan w:val="12"/>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55" w:type="dxa"/>
            <w:gridSpan w:val="12"/>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Temporary Staffing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2,727,300 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2,803,381 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17 - Segment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HireUp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13, 2022, the Company purchased and acquired substantially all of the assets and assumed certain liabilities of HireUp Leadership Inc. (HireUp) for a purchase price of $6.0 million in cash, subject to adjustment, and $0.8 million in shares (or 29,811 shares) of the Company's common stock. The transaction was treated as a purchase of assets for income tax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sellers were eligible to receive up to an additional $8.0 million in earnout cash consideration based on HireUp's revenues and Adjusted EBITDA for each of the twelve-month periods ending on the first and second anniversaries of the first day after the closing date. Quarterly throughout 2023, and during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and the first quarter of 2024. The Company paid the remaining earnout liability of $1.7 million in the first quarter of 2024. See Note 10 - Fair Value Measurements.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Acquisitions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the Company assigned the following values to other identifiable intangible assets: (i) $0.9 million to trade names with a weighted average estimated useful life of 2 years; (ii) $2.5 million to a customer list with a weighted average estimated useful life of 10 years; and (iii) $3.5 million to a database with a weighted average estimated useful life of 7 years, for a total of $6.9 million in definite life intangible assets with a weighted average estimated useful life of 7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excess purchase price over the fair value of net assets acquired of $1.6 million was recorded as goodwill on the Company's consolidated balance sheets. See Note 5 - Goodwill, Trade Names, and Other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Mint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sellers were eligible to receive up to an additional $10.0 million in earnout cash consideration based on Mint's revenues and gross profit for each of the twelve-month periods ending on the first and second anniversaries of the first day of the calendar month following the closing date. In the fourth quarter of 2023, the Company performed a calculation for the first measurement period, resulting in the achievement of a $4.9 million earnout, which was paid in the first quarter of 2024. During the fourth quarter of 2024, the Company performed a calculation for the second measurement period, resulting in the achievement of a $4.4 million earnout. This remaining liability was paid in the first quarter of 2025. See Note 10 -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the Company assigned the following values to other identifiable intangible assets: (i) $0.4 million to trade names with a weighted average estimated useful life of 1 year; (ii) $2.3 million to a customer list with a weighted average estimated useful life of 11 years; and (iii) $12.4 million to a database with a weighted average estimated useful life of 7 years, for a total of $15.1 million in definite life intangible assets with a weighted average estimated useful life of 7 years.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excess purchase price over the fair value of net assets acquired of $20.1 million was recorded as goodwill on the Company's consolidated balance sheets. See Note 5 - Goodwill, Trade Names, and Other Intangible Assets.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Local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purchased and acquired certain assets and assumed certain liabilities of an Ohio based business for a purchase price of $2.0 million in cash, subject to customary post-closing adjustments. The transaction was treated as a purchase of assets for income tax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an immaterial amount was recorded as goodwill on the Company's consolidated balance sheets. See Note 5 - Goodwill, Trade Names, and Other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above acquisitions made in 2022, HireUp, Mint, and a local business, both individually and in the aggregate, were not significant and have been accounted for using the acquisition method of accounting. The pro-forma impact on the Company's consolidated revenue from services and net income, including the pro forma effect of events that are directly attributable to the acquisitions, was not significant.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Cross Country Workforce Solutions Group (CCWSG)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2021, the Company purchased and acquired substantially all of the assets and assumed certain liabilities of Workforce Solutions Group, Inc. (WSG) for a purchase price of $25.0 million in cash and $5.0 million in shares (or 307,730 shares) of the Company's common stock. The transaction was treated as a purchase of assets for income tax purposes.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sellers were eligible to receive an earnout based on the business’ performance through three years after the acquisition date that could provide up to an additiona</w:t>
      </w:r>
      <w:r>
        <w:rPr>
          <w:rFonts w:ascii="Times New Roman;sans-serif" w:hAnsi="Times New Roman;sans-serif"/>
          <w:b w:val="false"/>
          <w:color w:val="000000"/>
          <w:sz w:val="20"/>
          <w:shd w:fill="FFFFFF" w:val="clear"/>
        </w:rPr>
        <w:t xml:space="preserve">l $15.0 million in cash. In the third quarter of 2022, the Company determined that the contingent consideration earnout was achieved for the 2021 through 2022 period and, as a result, the Company made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Acquisitions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$7.5 million earnout payment. In the third quarter of 2023, the Company determined that the contingent consideration earnout was achieved for the 2022 through 2023 period and, as a result, the Company made the final $7.5 million earnout payment.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Acquisition-related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fees associated with the pending acquisition of the Company as discussed on Note 1 - Organization and Basis of Presentation, the Company recorded an immaterial amount of acquisition-related costs associated with the Company's acquisitions for the years ended December 31, 2024, 2023, and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Goodwill, Trade Names, and Other Intangible Assets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acquired intangible assets:</w:t>
      </w:r>
    </w:p>
    <w:tbl>
      <w:tblPr>
        <w:tblW w:w="10205" w:type="dxa"/>
        <w:jc w:val="left"/>
        <w:tblInd w:w="0" w:type="dxa"/>
        <w:tblLayout w:type="fixed"/>
        <w:tblCellMar>
          <w:top w:w="28" w:type="dxa"/>
          <w:left w:w="28" w:type="dxa"/>
          <w:bottom w:w="28" w:type="dxa"/>
          <w:right w:w="28" w:type="dxa"/>
        </w:tblCellMar>
      </w:tblPr>
      <w:tblGrid>
        <w:gridCol w:w="637"/>
        <w:gridCol w:w="560"/>
        <w:gridCol w:w="566"/>
        <w:gridCol w:w="211"/>
        <w:gridCol w:w="721"/>
        <w:gridCol w:w="109"/>
        <w:gridCol w:w="109"/>
        <w:gridCol w:w="109"/>
        <w:gridCol w:w="109"/>
        <w:gridCol w:w="252"/>
        <w:gridCol w:w="862"/>
        <w:gridCol w:w="132"/>
        <w:gridCol w:w="109"/>
        <w:gridCol w:w="109"/>
        <w:gridCol w:w="109"/>
        <w:gridCol w:w="211"/>
        <w:gridCol w:w="721"/>
        <w:gridCol w:w="109"/>
        <w:gridCol w:w="109"/>
        <w:gridCol w:w="109"/>
        <w:gridCol w:w="109"/>
        <w:gridCol w:w="211"/>
        <w:gridCol w:w="826"/>
        <w:gridCol w:w="109"/>
        <w:gridCol w:w="109"/>
        <w:gridCol w:w="109"/>
        <w:gridCol w:w="109"/>
        <w:gridCol w:w="252"/>
        <w:gridCol w:w="862"/>
        <w:gridCol w:w="132"/>
        <w:gridCol w:w="109"/>
        <w:gridCol w:w="109"/>
        <w:gridCol w:w="109"/>
        <w:gridCol w:w="211"/>
        <w:gridCol w:w="721"/>
        <w:gridCol w:w="155"/>
      </w:tblGrid>
      <w:tr>
        <w:trPr/>
        <w:tc>
          <w:tcPr>
            <w:tcW w:w="6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2" w:type="dxa"/>
            <w:gridSpan w:val="3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Databases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r>
      <w:tr>
        <w:trPr/>
        <w:tc>
          <w:tcPr>
            <w:tcW w:w="437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indefinite-lived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fully amortized intangible assets of $6.5 million related to databases and $0.9 million related to trade names, along with the related accumulated amortization, were removed from the table above.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estimated annual amortization expense was as follows:</w:t>
      </w:r>
    </w:p>
    <w:tbl>
      <w:tblPr>
        <w:tblW w:w="4304" w:type="dxa"/>
        <w:jc w:val="left"/>
        <w:tblInd w:w="0" w:type="dxa"/>
        <w:tblLayout w:type="fixed"/>
        <w:tblCellMar>
          <w:top w:w="28" w:type="dxa"/>
          <w:left w:w="28" w:type="dxa"/>
          <w:bottom w:w="28" w:type="dxa"/>
          <w:right w:w="28" w:type="dxa"/>
        </w:tblCellMar>
      </w:tblPr>
      <w:tblGrid>
        <w:gridCol w:w="902"/>
        <w:gridCol w:w="793"/>
        <w:gridCol w:w="795"/>
        <w:gridCol w:w="352"/>
        <w:gridCol w:w="1205"/>
        <w:gridCol w:w="257"/>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36,286 </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Goodwill, Trade Names, and Other Intangible Assets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reportable segment are as follows:</w:t>
      </w:r>
    </w:p>
    <w:p>
      <w:pPr>
        <w:pStyle w:val="TextBody"/>
        <w:bidi w:val="0"/>
        <w:spacing w:before="0" w:after="0"/>
        <w:jc w:val="left"/>
        <w:rPr/>
      </w:pPr>
      <w:r>
        <w:rPr/>
      </w:r>
    </w:p>
    <w:tbl>
      <w:tblPr>
        <w:tblW w:w="7436" w:type="dxa"/>
        <w:jc w:val="left"/>
        <w:tblInd w:w="0" w:type="dxa"/>
        <w:tblLayout w:type="fixed"/>
        <w:tblCellMar>
          <w:top w:w="28" w:type="dxa"/>
          <w:left w:w="28" w:type="dxa"/>
          <w:bottom w:w="28" w:type="dxa"/>
          <w:right w:w="28" w:type="dxa"/>
        </w:tblCellMar>
      </w:tblPr>
      <w:tblGrid>
        <w:gridCol w:w="1231"/>
        <w:gridCol w:w="1085"/>
        <w:gridCol w:w="1088"/>
        <w:gridCol w:w="211"/>
        <w:gridCol w:w="826"/>
        <w:gridCol w:w="109"/>
        <w:gridCol w:w="109"/>
        <w:gridCol w:w="109"/>
        <w:gridCol w:w="109"/>
        <w:gridCol w:w="211"/>
        <w:gridCol w:w="721"/>
        <w:gridCol w:w="109"/>
        <w:gridCol w:w="109"/>
        <w:gridCol w:w="109"/>
        <w:gridCol w:w="109"/>
        <w:gridCol w:w="211"/>
        <w:gridCol w:w="826"/>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December 31, 2023</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goodwill acquired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 of impairment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to aggregate goodwill in 2024</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Impairment charges </w:t>
            </w:r>
            <w:r>
              <w:rPr>
                <w:rFonts w:ascii="Times New Roman;sans-serif" w:hAnsi="Times New Roman;sans-serif"/>
                <w:b w:val="false"/>
                <w:color w:val="000000"/>
                <w:sz w:val="13"/>
              </w:rPr>
              <w:t>(a)</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December 31, 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goodwill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 of impairment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________________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Represents the write-off of the relative fair value of the goodwill associated with Selected.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Trade Names, and Other Intangible Assets Impairment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performed its annual quantitative impairment test of goodwill and its indefinite-lived trade name as of October 1, 2024 and 2023, and determined that the estimated fair value of its reporting units and its indefinite-lived trade name exceeded their respective carrying values. Although management believes that the Company’s current estimates and assumptions utilized in its quantitative testing are reasonable and supportable, there can be no assurance that the estimates and assumptions management used for purposes of its assessment as of December 31, 2024 will prove to be accurate predictions of future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end of December 2024, the Company discontinued use of the Selected software and associated business. Selected was an asset acquisition completed in December of 2021. As a result, at the end of the fourth quarter of 2024, the Company wrote off goodwill of $0.4 million.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its long-lived assets and definite-lived intangible assets, the Company reviews for impairment whenever events or changes in circumstances indicate that the carrying amount may not be recoverable. As of December 31, 2024, the Company wrote off the database and software intangible assets associated with Selected, and recorded impairment charges of $1.8 million. The Company wrote off certain IT projects and recorded immaterial impairment charges during the year ended December 31, 2023, and impairment charges of $1.9 million during the year ended December 31, 2022.</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Property and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property and equipment consists of the following: </w:t>
      </w:r>
    </w:p>
    <w:tbl>
      <w:tblPr>
        <w:tblW w:w="7970" w:type="dxa"/>
        <w:jc w:val="left"/>
        <w:tblInd w:w="0" w:type="dxa"/>
        <w:tblLayout w:type="fixed"/>
        <w:tblCellMar>
          <w:top w:w="28" w:type="dxa"/>
          <w:left w:w="28" w:type="dxa"/>
          <w:bottom w:w="28" w:type="dxa"/>
          <w:right w:w="28" w:type="dxa"/>
        </w:tblCellMar>
      </w:tblPr>
      <w:tblGrid>
        <w:gridCol w:w="1467"/>
        <w:gridCol w:w="1287"/>
        <w:gridCol w:w="1296"/>
        <w:gridCol w:w="379"/>
        <w:gridCol w:w="379"/>
        <w:gridCol w:w="381"/>
        <w:gridCol w:w="109"/>
        <w:gridCol w:w="109"/>
        <w:gridCol w:w="109"/>
        <w:gridCol w:w="211"/>
        <w:gridCol w:w="721"/>
        <w:gridCol w:w="109"/>
        <w:gridCol w:w="109"/>
        <w:gridCol w:w="109"/>
        <w:gridCol w:w="109"/>
        <w:gridCol w:w="211"/>
        <w:gridCol w:w="721"/>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Primarily related to software development.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See Note 2 – Summary of Significant Accounting Policies.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Balance Sheet Details</w:t>
      </w:r>
    </w:p>
    <w:tbl>
      <w:tblPr>
        <w:tblW w:w="6144" w:type="dxa"/>
        <w:jc w:val="center"/>
        <w:tblInd w:w="0" w:type="dxa"/>
        <w:tblLayout w:type="fixed"/>
        <w:tblCellMar>
          <w:top w:w="28" w:type="dxa"/>
          <w:left w:w="28" w:type="dxa"/>
          <w:bottom w:w="28" w:type="dxa"/>
          <w:right w:w="28" w:type="dxa"/>
        </w:tblCellMar>
      </w:tblPr>
      <w:tblGrid>
        <w:gridCol w:w="1336"/>
        <w:gridCol w:w="1175"/>
        <w:gridCol w:w="1179"/>
        <w:gridCol w:w="211"/>
        <w:gridCol w:w="721"/>
        <w:gridCol w:w="109"/>
        <w:gridCol w:w="109"/>
        <w:gridCol w:w="109"/>
        <w:gridCol w:w="109"/>
        <w:gridCol w:w="211"/>
        <w:gridCol w:w="721"/>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recovery receivable - current: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recovery receivable - non-current:</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 employment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Subcontractor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payroll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Bonuses and 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claims: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debt consists of the following:</w:t>
      </w:r>
    </w:p>
    <w:tbl>
      <w:tblPr>
        <w:tblW w:w="10205" w:type="dxa"/>
        <w:jc w:val="left"/>
        <w:tblInd w:w="0" w:type="dxa"/>
        <w:tblLayout w:type="fixed"/>
        <w:tblCellMar>
          <w:top w:w="28" w:type="dxa"/>
          <w:left w:w="28" w:type="dxa"/>
          <w:bottom w:w="28" w:type="dxa"/>
          <w:right w:w="28" w:type="dxa"/>
        </w:tblCellMar>
      </w:tblPr>
      <w:tblGrid>
        <w:gridCol w:w="1711"/>
        <w:gridCol w:w="1507"/>
        <w:gridCol w:w="1511"/>
        <w:gridCol w:w="261"/>
        <w:gridCol w:w="503"/>
        <w:gridCol w:w="137"/>
        <w:gridCol w:w="109"/>
        <w:gridCol w:w="109"/>
        <w:gridCol w:w="109"/>
        <w:gridCol w:w="282"/>
        <w:gridCol w:w="894"/>
        <w:gridCol w:w="146"/>
        <w:gridCol w:w="109"/>
        <w:gridCol w:w="109"/>
        <w:gridCol w:w="109"/>
        <w:gridCol w:w="261"/>
        <w:gridCol w:w="503"/>
        <w:gridCol w:w="137"/>
        <w:gridCol w:w="109"/>
        <w:gridCol w:w="109"/>
        <w:gridCol w:w="109"/>
        <w:gridCol w:w="279"/>
        <w:gridCol w:w="884"/>
        <w:gridCol w:w="208"/>
      </w:tblGrid>
      <w:tr>
        <w:trPr/>
        <w:tc>
          <w:tcPr>
            <w:tcW w:w="171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Asset-Based Loan, interest of 6.31% and 6.99% at December 31, 2024 and 2023, respectively</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there was no debt outstanding on the consolidated balance sheets. The Company has elected to present the debt issuance costs associated with its senior secured asset-based credit facility as an asset, included in other assets on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2021 Term Loan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18, 2021, the Company amended the Term Loan Agreement (Term Loan First Amendment), which provided the Company an incremental borrowing in an aggregate amount equal to $75.0 million. Additionally, the Term Loan First Amendment increased the aggregate amount of all increases (as defined in the Term Loan Agreement) to be no greater than $115.0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April 14, 2023, the Company amended the Term Loan Agreement (Term Loan Second Amendment), which provided the option for all or a portion of the borrowings to bear interest at a rate based on the Secured Overnight Financing Rate (SOFR) or the Base Rate (as defined in the Term Loan Agreement), at the election of the borrowers, plus an applicable margin.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and fourth quarters of 2022, the Company made early prepayments totaling $100.0 million, and incurred prepayment premiums of $1.0 million pursuant to the Term Loan Agreement. Debt issuance costs of $1.4 million and $1.3 million were written off in the second and fourth quarters of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30, 2023, the Company repaid all outstanding obligations of $73.9 million under the term loan and terminated the Term Loan Agreement. As a result, debt issuance costs of $1.7 million were written off in the second quarter of 2023. There were no prepayment premiums associated with the payoff and all subsidiary guarantees of the term loan were automatically released.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prepayment premiums and write-off of debt issuance costs were included as loss on early extinguishment of debt in the consolidated statements of operations and comprehensive (loss) income.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2019 Asset-Based Loan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October 25, 2019, the Company terminated its prior senior credit facility and entered into an asset-based loan agreement, by and among the Company and certain of its domestic subsidiaries, as borrowers or guarantors, Wells Fargo Bank, N.A., and PNC Bank N.A., as well as other Lenders (as defined therein) from time to time parties thereto (Loan Agreement). The Loan Agreement provided for a five-year revolving senior secured asset-based credit facility (ABL) in the aggregate principal amount of up to $120.0 million, including a sublimit for swing loans up to $15.0 million and a $35.0 million sublimit for standby letters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Debt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2020, the Company amended the Loan Agreement (First Amendment), which increased the current aggregate committed size of the ABL from $120.0 million to $130.0 million. All other terms, conditions, covenants, and pricing of the Loan Agreement remained the same.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8, 2021, the Company amended the Loan Agreement (Second Amendment), which increased the current aggregate committed size of the ABL from $130.0 million to $150.0 million, increased certain borrowing base sub-limits, and decreased both the cash dominion event and financial reporting triggers.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2021, the Company amended the Loan Agreement (Third Amendment), which permitted the incurrence of indebtedness and grant of security as set forth in the Loan Agreement and in accordance with the Intercreditor Agreement (as defined in the Loan Agreement), and provides mechanics relating to a transition away from LIBOR as a benchmark interest rate to a replacement alternative benchmark rate or mechanism for loans made in U.S. dollars.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18, 2021, the Company amended the Loan Agreement (Fourth Amendment), whereby the permitted indebtedness (as defined in the Loan Agreement), was increased to $175.0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21, 2022, the Company amended the Loan Agreement (Fifth Amendment), which increased the current aggregate committed size of the ABL from $150.0 million to $300.0 million, extended the term of the credit facility for an additional five years, through March 21, 2027, and increased certain borrowing base sub-limits. In addition, the agreement provides the option for all or a portion of the borrowings to bear interest at a rate based on the SOFR or the Base Rate (as defined in the Loan Agreement), at the election of the borrowers, plus an applicable margin. The applicable margin increased 10 basis points due to the credit spread associated with the transition to SOFR.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29, 2023, the Company amended the Loan Agreement (Sixth Amendment), which changed the minimum fixed charge coverage ratio from a maintenance covenant to a springing covenant based on excess availability, which provides for compliance with the covenant only during a compliance period (any time that excess availability falls below a certain threshold), and in such case, the financial covenant shall be tested during this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July 29, 2024, the Company amended the Loan Agreement (Seventh Amendment), which allows for all share repurchases paid in cash prior to June 30, 2024 and thereafter to be excluded as restricted payments in the fixed charge coverage ratio calculation, if as of the date of the share repurchase, there is no revolving ABL balance (except for interest and fees payable in accordance with the terms of the Loan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amendments were treated as modifications of debt and, as a result, the associated fees and costs were included in debt issuance costs and are amortized ratably over the remaining term of the Loan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ABL availability is subject to a borrowing base of up to 85% of secured eligible accounts receivable, subject to adjustment at certain quality levels, minus customary reserves and subject to customary adjustments. Revolving loans and letters of credit issued under the Loan Agreement reduce availability under the ABL on a dollar-for-dollar basis. At December 31, 2024, there were no borrowings drawn under the ABL, and borrowing base availability under the ABL was $146.9 million, with $132.0 million of availability net of $14.9 million of letters of credit outstanding related to workers' compensation and professional liability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interest rate spreads and fees under the ABL were based on SOFR plus 1.85% for the revolving portion of the borrowing base. The Base Rate margin would have been 0.75% for the revolving portion. The SOFR and Base Rate margins are subject to monthly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Loan Agreement contains various restrictions applicable to the Company and its subsidiaries. For the three months ended December 31, 2024, the excess availability did not fall below the stated threshold and, as a result, there was no covenant compliance period. Obligations under the ABL are secured by substantially all the assets of the borrowers and guarantors, subject to customary exceptions.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Debt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Loan Agreement also contains customary events of default. If an event of default under the Loan Agreement occurs and remains uncured, then the administrative agent or the requisite lenders may declare any outstanding obligations to be immediately due and payable. In addition, if the Company or any of its subsidiaries becomes the subject of voluntary or involuntary proceedings under any bankruptcy, insolvency or similar law, then any outstanding obligations under the Agreement will automatically become due and payable.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 See Note 2 - Summary of Significant Accounting Policies.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During the years ended December 31, 2024, 2023, and 2022, the Company reduced or fully vacated leased office space in certain offices, which resulted in a right-of-use asset impairment charge of</w:t>
      </w:r>
      <w:r>
        <w:rPr>
          <w:color w:val="000000"/>
          <w:shd w:fill="FFFFFF" w:val="clear"/>
        </w:rPr>
        <w:t xml:space="preserve"> </w:t>
      </w:r>
      <w:r>
        <w:rPr>
          <w:rFonts w:ascii="Times New Roman;sans-serif" w:hAnsi="Times New Roman;sans-serif"/>
          <w:b w:val="false"/>
          <w:color w:val="000000"/>
          <w:sz w:val="20"/>
          <w:shd w:fill="FFFFFF" w:val="clear"/>
        </w:rPr>
        <w:t>$2.8 million for the year ended December 31, 2022, and an immaterial right-of-use asset impairment charge for the years ended December 31, 2024 and 2023.</w:t>
      </w:r>
      <w:r>
        <w:rPr>
          <w:color w:val="000000"/>
        </w:rPr>
        <w:t xml:space="preserve"> </w:t>
      </w:r>
      <w:r>
        <w:rPr>
          <w:rFonts w:ascii="Times New Roman;sans-serif" w:hAnsi="Times New Roman;sans-serif"/>
          <w:b w:val="false"/>
          <w:color w:val="000000"/>
          <w:sz w:val="20"/>
        </w:rPr>
        <w:t xml:space="preserve">The fair value of the right-of-use assets was based on the estimated sublease income for the space taking into consideration the time period it will take to obtain a subtenant, the applicable discount rate, and the sublease rate. For the years ended December 31, 2024, 2023, and 2022, the Company wrote off </w:t>
      </w:r>
      <w:r>
        <w:rPr>
          <w:rFonts w:ascii="Times New Roman;sans-serif" w:hAnsi="Times New Roman;sans-serif"/>
          <w:b w:val="false"/>
          <w:color w:val="000000"/>
          <w:sz w:val="20"/>
          <w:shd w:fill="FFFFFF" w:val="clear"/>
        </w:rPr>
        <w:t xml:space="preserve">an immaterial amount </w:t>
      </w:r>
      <w:r>
        <w:rPr>
          <w:rFonts w:ascii="Times New Roman;sans-serif" w:hAnsi="Times New Roman;sans-serif"/>
          <w:b w:val="false"/>
          <w:color w:val="000000"/>
          <w:sz w:val="20"/>
        </w:rPr>
        <w:t>of leasehold improvements and other property and equipment related to these locations. The measurement of the right-of-use asset impairments, using the assumptions described, is a Level 3 fair value measurement. See Note 10 - Fair Value Measurements for a description of Level 3 inputs.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lease-related assets and liabilities included on the consolidated balance sheets:</w:t>
      </w:r>
    </w:p>
    <w:tbl>
      <w:tblPr>
        <w:tblW w:w="7870" w:type="dxa"/>
        <w:jc w:val="center"/>
        <w:tblInd w:w="0" w:type="dxa"/>
        <w:tblLayout w:type="fixed"/>
        <w:tblCellMar>
          <w:top w:w="28" w:type="dxa"/>
          <w:left w:w="28" w:type="dxa"/>
          <w:bottom w:w="28" w:type="dxa"/>
          <w:right w:w="28" w:type="dxa"/>
        </w:tblCellMar>
      </w:tblPr>
      <w:tblGrid>
        <w:gridCol w:w="1466"/>
        <w:gridCol w:w="1288"/>
        <w:gridCol w:w="1295"/>
        <w:gridCol w:w="616"/>
        <w:gridCol w:w="317"/>
        <w:gridCol w:w="792"/>
        <w:gridCol w:w="109"/>
        <w:gridCol w:w="109"/>
        <w:gridCol w:w="109"/>
        <w:gridCol w:w="586"/>
        <w:gridCol w:w="302"/>
        <w:gridCol w:w="881"/>
      </w:tblGrid>
      <w:tr>
        <w:trPr/>
        <w:tc>
          <w:tcPr>
            <w:tcW w:w="14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Classification on Consolidated Balance Sheets: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years</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Leases (continued)</w: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undiscounted cash flows for each of, and total of, the remaining years to the operating lease liabilities (which do not include short-term leases) recorded on the consolidated balance sheets as of December 31, 2024:</w:t>
      </w:r>
    </w:p>
    <w:tbl>
      <w:tblPr>
        <w:tblW w:w="6419" w:type="dxa"/>
        <w:jc w:val="left"/>
        <w:tblInd w:w="0" w:type="dxa"/>
        <w:tblLayout w:type="fixed"/>
        <w:tblCellMar>
          <w:top w:w="28" w:type="dxa"/>
          <w:left w:w="28" w:type="dxa"/>
          <w:bottom w:w="28" w:type="dxa"/>
          <w:right w:w="28" w:type="dxa"/>
        </w:tblCellMar>
      </w:tblPr>
      <w:tblGrid>
        <w:gridCol w:w="1587"/>
        <w:gridCol w:w="1394"/>
        <w:gridCol w:w="1399"/>
        <w:gridCol w:w="438"/>
        <w:gridCol w:w="1281"/>
        <w:gridCol w:w="320"/>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of lease payments representing interest</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1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 current</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regarding supplemental cash flows:</w:t>
      </w:r>
    </w:p>
    <w:tbl>
      <w:tblPr>
        <w:tblW w:w="10136" w:type="dxa"/>
        <w:jc w:val="center"/>
        <w:tblInd w:w="0" w:type="dxa"/>
        <w:tblLayout w:type="fixed"/>
        <w:tblCellMar>
          <w:top w:w="28" w:type="dxa"/>
          <w:left w:w="28" w:type="dxa"/>
          <w:bottom w:w="28" w:type="dxa"/>
          <w:right w:w="28" w:type="dxa"/>
        </w:tblCellMar>
      </w:tblPr>
      <w:tblGrid>
        <w:gridCol w:w="2401"/>
        <w:gridCol w:w="2109"/>
        <w:gridCol w:w="2119"/>
        <w:gridCol w:w="211"/>
        <w:gridCol w:w="616"/>
        <w:gridCol w:w="109"/>
        <w:gridCol w:w="109"/>
        <w:gridCol w:w="109"/>
        <w:gridCol w:w="109"/>
        <w:gridCol w:w="211"/>
        <w:gridCol w:w="616"/>
        <w:gridCol w:w="109"/>
        <w:gridCol w:w="109"/>
        <w:gridCol w:w="109"/>
        <w:gridCol w:w="109"/>
        <w:gridCol w:w="211"/>
        <w:gridCol w:w="616"/>
        <w:gridCol w:w="154"/>
      </w:tblGrid>
      <w:tr>
        <w:trPr/>
        <w:tc>
          <w:tcPr>
            <w:tcW w:w="240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acquired under operating lease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tbl>
      <w:tblPr>
        <w:tblW w:w="10205" w:type="dxa"/>
        <w:jc w:val="left"/>
        <w:tblInd w:w="0" w:type="dxa"/>
        <w:tblLayout w:type="fixed"/>
        <w:tblCellMar>
          <w:top w:w="28" w:type="dxa"/>
          <w:left w:w="28" w:type="dxa"/>
          <w:bottom w:w="28" w:type="dxa"/>
          <w:right w:w="28" w:type="dxa"/>
        </w:tblCellMar>
      </w:tblPr>
      <w:tblGrid>
        <w:gridCol w:w="2426"/>
        <w:gridCol w:w="2133"/>
        <w:gridCol w:w="2137"/>
        <w:gridCol w:w="211"/>
        <w:gridCol w:w="616"/>
        <w:gridCol w:w="109"/>
        <w:gridCol w:w="109"/>
        <w:gridCol w:w="109"/>
        <w:gridCol w:w="109"/>
        <w:gridCol w:w="211"/>
        <w:gridCol w:w="616"/>
        <w:gridCol w:w="109"/>
        <w:gridCol w:w="109"/>
        <w:gridCol w:w="109"/>
        <w:gridCol w:w="109"/>
        <w:gridCol w:w="211"/>
        <w:gridCol w:w="616"/>
        <w:gridCol w:w="156"/>
      </w:tblGrid>
      <w:tr>
        <w:trPr/>
        <w:tc>
          <w:tcPr>
            <w:tcW w:w="242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Included in Consolidated Statements of Operations and Comprehensive (Loss)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and other lease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short-term lease expense, and variable and other lease costs are included in selling, general and administrative expenses, direct operating expenses, and restructuring costs in the consolidated statements of operations and comprehensive (loss) income, depending on the nature of the leased asset. Operating lease expense is reported net of sublease income, which is not material. Variable and other lease costs for the year ended December 31, 2022 include a benefit associated with the early termination of a lease for one of the Company's corporate offices which was previously restructured.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did not have any material operating leases that had not yet commenced, and does not have any finance lease contracts.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Level 1</w:t>
      </w:r>
      <w:r>
        <w:rPr>
          <w:color w:val="000000"/>
        </w:rPr>
        <w:t>—</w:t>
      </w:r>
      <w:r>
        <w:rPr>
          <w:rFonts w:ascii="Times New Roman;sans-serif" w:hAnsi="Times New Roman;sans-serif"/>
          <w:b w:val="false"/>
          <w:color w:val="000000"/>
          <w:sz w:val="20"/>
        </w:rPr>
        <w:t>Quoted prices in active markets for identical assets or liabilities.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Level 2</w:t>
      </w:r>
      <w:r>
        <w:rPr>
          <w:color w:val="000000"/>
        </w:rPr>
        <w:t>—</w:t>
      </w:r>
      <w:r>
        <w:rPr>
          <w:rFonts w:ascii="Times New Roman;sans-serif" w:hAnsi="Times New Roman;sans-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i/>
          <w:color w:val="000000"/>
          <w:sz w:val="20"/>
        </w:rPr>
        <w:t>Level 3</w:t>
      </w:r>
      <w:r>
        <w:rPr>
          <w:color w:val="000000"/>
        </w:rPr>
        <w:t>—</w:t>
      </w:r>
      <w:r>
        <w:rPr>
          <w:rFonts w:ascii="Times New Roman;sans-serif" w:hAnsi="Times New Roman;sans-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Items Measured at Fair Value on a Recurring Basis: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assets/liabilities required to be measured on a recurring basis were primarily its: (i) deferred compensation asset included in other assets; and (ii) deferred compensation liability included in other liabilities on its consolidated balance sheets.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Deferred compensation</w:t>
      </w:r>
      <w:r>
        <w:rPr>
          <w:color w:val="000000"/>
        </w:rPr>
        <w:t>—</w:t>
      </w:r>
      <w:r>
        <w:rPr>
          <w:rFonts w:ascii="Times New Roman;sans-serif" w:hAnsi="Times New Roman;sans-serif"/>
          <w:b w:val="false"/>
          <w:color w:val="000000"/>
          <w:sz w:val="20"/>
        </w:rPr>
        <w:t>The Company utilizes Level 1 inputs to value its deferred compensation assets and liabilities. The Company’s deferred compensation assets and liabilities are measured using publicly available indices, as per the plan documents.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Company’s financial assets and liabilities measured on a recurring basis is as follows: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w:t>
      </w:r>
    </w:p>
    <w:tbl>
      <w:tblPr>
        <w:tblW w:w="6520" w:type="dxa"/>
        <w:jc w:val="center"/>
        <w:tblInd w:w="0" w:type="dxa"/>
        <w:tblLayout w:type="fixed"/>
        <w:tblCellMar>
          <w:top w:w="28" w:type="dxa"/>
          <w:left w:w="28" w:type="dxa"/>
          <w:bottom w:w="28" w:type="dxa"/>
          <w:right w:w="28" w:type="dxa"/>
        </w:tblCellMar>
      </w:tblPr>
      <w:tblGrid>
        <w:gridCol w:w="978"/>
        <w:gridCol w:w="859"/>
        <w:gridCol w:w="863"/>
        <w:gridCol w:w="387"/>
        <w:gridCol w:w="1135"/>
        <w:gridCol w:w="202"/>
        <w:gridCol w:w="109"/>
        <w:gridCol w:w="109"/>
        <w:gridCol w:w="109"/>
        <w:gridCol w:w="380"/>
        <w:gridCol w:w="1110"/>
        <w:gridCol w:w="2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asset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820" w:type="dxa"/>
            <w:gridSpan w:val="9"/>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liability</w:t>
            </w:r>
          </w:p>
        </w:tc>
        <w:tc>
          <w:tcPr>
            <w:tcW w:w="3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2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Items Measured at Fair Value on a Non-recurring Basis: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non-financial assets, such as goodwill, trade names, other intangible assets, right-of-use assets, and property and equipment, are measured at fair value when there is an indicator of impairment and are recorded at fair value only when an impairment charge is recognized.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years ended December 31, 2024, 2023, and 2022 included impairment charges to right-of-use assets along with related property and equipment in connection with leases that were vacated during those years. The year ended December 31, 2024 also included the write-off of goodwill and intangible assets associated with the impairment of the previous asset acquisition Selected. During the years ended December 31, 2023 and 2022, certain IT projects were written off, resulting in an impairment of the related IT assets. Accordingly, as of December 31, 2024, 2023, and 2022, these assets were recorded at fair value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Fair Value Measurements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inputs. See Note 5 - Goodwill, Trade Names, and Other Intangible Assets and Note 9 - Leases for more information about these impairments.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Fair Value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not measured or recorded at fair value in the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financial instruments not measured or recorded at fair value include earnout liabilities related to the (i) Mint and (ii) HireUp acquisitions, as discussed below.</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w:t>
      </w:r>
      <w:r>
        <w:rPr>
          <w:color w:val="000000"/>
        </w:rPr>
        <w:t xml:space="preserve"> </w:t>
      </w:r>
      <w:r>
        <w:rPr>
          <w:rFonts w:ascii="Times New Roman;sans-serif" w:hAnsi="Times New Roman;sans-serif"/>
          <w:b w:val="false"/>
          <w:color w:val="000000"/>
          <w:sz w:val="20"/>
        </w:rPr>
        <w:t>Potential earnout payments related to the Mint acquisition are contingent upon meeting certain performance requirements based on 2022 through 2024 performance. On a quarterly basis, the Company performs an analysis using multiple forecasted scenarios to determine the fair value of the earnout liability. In the fourth quarter of 2023, the Company performed the earnout calculation for the first measurement period, resulting in an earnout of $4.9 million, which was paid in the first quarter of 2024. During the fourth quarter of 2024, the Company performed a calculation for the second measurement period, resulting in the achievement of a $4.4 million earnout, included in the current portion of earnout liability on the consolidated balance sheets. This remaining liability was paid in the first quarter of 2025. The carrying amount of the earnout liability approximates fair value. See Note 4 - Acquisitions.</w:t>
      </w:r>
    </w:p>
    <w:p>
      <w:pPr>
        <w:pStyle w:val="TextBody"/>
        <w:bidi w:val="0"/>
        <w:spacing w:lineRule="auto" w:line="288" w:before="0" w:after="0"/>
        <w:jc w:val="left"/>
        <w:rPr/>
      </w:pPr>
      <w:r>
        <w:rPr>
          <w:rFonts w:ascii="Times New Roman;sans-serif" w:hAnsi="Times New Roman;sans-serif"/>
          <w:b/>
          <w:color w:val="000000"/>
          <w:sz w:val="20"/>
        </w:rPr>
        <w:t>(ii)</w:t>
      </w:r>
      <w:r>
        <w:rPr>
          <w:color w:val="000000"/>
        </w:rPr>
        <w:t xml:space="preserve"> </w:t>
      </w:r>
      <w:r>
        <w:rPr>
          <w:rFonts w:ascii="Times New Roman;sans-serif" w:hAnsi="Times New Roman;sans-serif"/>
          <w:b w:val="false"/>
          <w:color w:val="000000"/>
          <w:sz w:val="20"/>
        </w:rPr>
        <w:t>Potential earnout payments related to the HireUp acquisition were contingent upon meeting certain performance requirements based on 2022 through 2024 performance. Quarterly throughout 2023 and in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and the first quarter of 2024. The remaining liability of $1.7 million was paid in the first quarter of 2024. See Note 4 -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credit losses and allowance for credit losses in Note 2 - Summary of Significant Accounting Policies. Overall, based on the large number of customers in differing geographic areas, primarily throughout the United States and its territories, the Company believes that the concentration of credit risk is limited.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Employee Benefit Plans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by the Company, net of forfeitures, under this plan were $1.5 million for the year ended December 31, 2024 and $2.6 million for the years ended December 31, 2023 and 2022. Eligible employees who elect to participate in the plan are generally vested in any existing matching contribution after three years of service with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2003 Deferred Compensation Plan, which was frozen effective December 31, 2017, and a 2017 Nonqualified Deferred Compensation Plan, each a non-qualified deferred compensation arrangement, intended to comply with Section 409A of the Internal Revenue Code of 1986, as amended (Code). Under the deferred compensation plans, certain designated key employees may elect to defer the receipt of a portion of their annual base salary, bonus and commission to the deferred compensation plans. Generally, payments under the deferred compensation plans automatically commence upon a participant’s retirement, termination of employment, or death during employment. Under certain circumstances described in the deferred compensation plans, participants may receive distributions during employment. In connection with the deferred compensation plans, the Company elected to invest in amounts consistent with the participants' choices of allocations to funds. Participants of the deferred compensation plans are the Company’s unsecured general creditors with respect to the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Employee Benefits Plans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plan benefits. The liability for the deferred compensation is included in other long-term liabilities in the consolidated balance sheets and was $2.9 million and $3.3 million at December 31, 2024 and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During the year ended December 31, 2024, the Company recorded approximately $4.7 million of legal settlement charges related to the resolution of several class action lawsuits, which</w:t>
      </w:r>
      <w:r>
        <w:rPr>
          <w:color w:val="000000"/>
        </w:rPr>
        <w:t xml:space="preserve"> </w:t>
      </w:r>
      <w:r>
        <w:rPr>
          <w:rFonts w:ascii="Times New Roman;sans-serif" w:hAnsi="Times New Roman;sans-serif"/>
          <w:b w:val="false"/>
          <w:color w:val="000000"/>
          <w:sz w:val="20"/>
        </w:rPr>
        <w:t>is included in legal and other losses on its consolidated statements of operations and comprehensive (loss) income</w:t>
      </w:r>
      <w:r>
        <w:rPr>
          <w:rFonts w:ascii="Times New Roman;sans-serif" w:hAnsi="Times New Roman;sans-serif"/>
          <w:b w:val="false"/>
          <w:color w:val="000000"/>
          <w:sz w:val="20"/>
        </w:rPr>
        <w:t xml:space="preserve">. In addition, the Company recorded $3.6 million of estimated costs, partially offset by a recovery of $1.8 million, related to a previously unrecoverable asset. The Company believes that the outcome of any outstanding loss contingencies as of December 31, 2024 will not have a material adverse effect on its business, financial condition,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Other State Non-Income Tax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operates in all 50 states and numerous local jurisdictions, some of which assess sales and other state non-income taxes on our services. In the past, it has been subject to routine audits by authorities in the jurisdictions which have resulted in assessments of additional taxes, interest and penalties. The Company accrues sales and other state non-income tax liabilities based on its best estimate of the probable liability utilizing currently available information and interpretation of relevant tax regulations. Given the nature of the Company’s services offered, subjectivity exists as to both whether sales and other state non-income taxes can be assessed. The Company makes a determination for each reporting period whether the estimates for sales and other non-income taxes in certain states and local jurisdictions are materially accurate. The expense is included in selling, general and administrative expenses in its consolidated statements of operations and comprehensive (loss) income and the liability is reflected in sales tax payable within other current liabilities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(loss) income before income taxes are as follows:</w:t>
      </w:r>
    </w:p>
    <w:tbl>
      <w:tblPr>
        <w:tblW w:w="7031" w:type="dxa"/>
        <w:jc w:val="left"/>
        <w:tblInd w:w="0" w:type="dxa"/>
        <w:tblLayout w:type="fixed"/>
        <w:tblCellMar>
          <w:top w:w="28" w:type="dxa"/>
          <w:left w:w="28" w:type="dxa"/>
          <w:bottom w:w="28" w:type="dxa"/>
          <w:right w:w="28" w:type="dxa"/>
        </w:tblCellMar>
      </w:tblPr>
      <w:tblGrid>
        <w:gridCol w:w="1061"/>
        <w:gridCol w:w="929"/>
        <w:gridCol w:w="934"/>
        <w:gridCol w:w="211"/>
        <w:gridCol w:w="796"/>
        <w:gridCol w:w="109"/>
        <w:gridCol w:w="109"/>
        <w:gridCol w:w="109"/>
        <w:gridCol w:w="109"/>
        <w:gridCol w:w="211"/>
        <w:gridCol w:w="826"/>
        <w:gridCol w:w="109"/>
        <w:gridCol w:w="109"/>
        <w:gridCol w:w="109"/>
        <w:gridCol w:w="109"/>
        <w:gridCol w:w="211"/>
        <w:gridCol w:w="826"/>
        <w:gridCol w:w="154"/>
      </w:tblGrid>
      <w:tr>
        <w:trPr/>
        <w:tc>
          <w:tcPr>
            <w:tcW w:w="10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components of the Company’s income tax (benefit) expense are as follows:</w:t>
      </w:r>
    </w:p>
    <w:tbl>
      <w:tblPr>
        <w:tblW w:w="6252" w:type="dxa"/>
        <w:jc w:val="left"/>
        <w:tblInd w:w="0" w:type="dxa"/>
        <w:tblLayout w:type="fixed"/>
        <w:tblCellMar>
          <w:top w:w="28" w:type="dxa"/>
          <w:left w:w="28" w:type="dxa"/>
          <w:bottom w:w="28" w:type="dxa"/>
          <w:right w:w="28" w:type="dxa"/>
        </w:tblCellMar>
      </w:tblPr>
      <w:tblGrid>
        <w:gridCol w:w="919"/>
        <w:gridCol w:w="766"/>
        <w:gridCol w:w="775"/>
        <w:gridCol w:w="211"/>
        <w:gridCol w:w="691"/>
        <w:gridCol w:w="109"/>
        <w:gridCol w:w="109"/>
        <w:gridCol w:w="109"/>
        <w:gridCol w:w="109"/>
        <w:gridCol w:w="211"/>
        <w:gridCol w:w="721"/>
        <w:gridCol w:w="109"/>
        <w:gridCol w:w="109"/>
        <w:gridCol w:w="109"/>
        <w:gridCol w:w="109"/>
        <w:gridCol w:w="211"/>
        <w:gridCol w:w="721"/>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reflect the Company's net tax effect of temporary differences between the carrying amount of assets and liabilities for financial reporting purposes and the amounts used for income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Income Taxes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and liabilities are as follows:</w:t>
      </w:r>
    </w:p>
    <w:tbl>
      <w:tblPr>
        <w:tblW w:w="5289" w:type="dxa"/>
        <w:jc w:val="left"/>
        <w:tblInd w:w="0" w:type="dxa"/>
        <w:tblLayout w:type="fixed"/>
        <w:tblCellMar>
          <w:top w:w="28" w:type="dxa"/>
          <w:left w:w="28" w:type="dxa"/>
          <w:bottom w:w="28" w:type="dxa"/>
          <w:right w:w="28" w:type="dxa"/>
        </w:tblCellMar>
      </w:tblPr>
      <w:tblGrid>
        <w:gridCol w:w="1104"/>
        <w:gridCol w:w="969"/>
        <w:gridCol w:w="972"/>
        <w:gridCol w:w="211"/>
        <w:gridCol w:w="616"/>
        <w:gridCol w:w="109"/>
        <w:gridCol w:w="109"/>
        <w:gridCol w:w="109"/>
        <w:gridCol w:w="109"/>
        <w:gridCol w:w="211"/>
        <w:gridCol w:w="616"/>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and 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workers’ compensation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carryforwards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on unrepatriated earnings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December 31, </w:t>
      </w:r>
      <w:r>
        <w:rPr>
          <w:rFonts w:ascii="Times New Roman;sans-serif" w:hAnsi="Times New Roman;sans-serif"/>
          <w:b w:val="false"/>
          <w:color w:val="000000"/>
          <w:sz w:val="20"/>
          <w:shd w:fill="FFFFFF" w:val="clear"/>
        </w:rPr>
        <w:t>2024</w:t>
      </w:r>
      <w:r>
        <w:rPr>
          <w:color w:val="000000"/>
        </w:rPr>
        <w:t xml:space="preserve"> </w:t>
      </w:r>
      <w:r>
        <w:rPr>
          <w:rFonts w:ascii="Times New Roman;sans-serif" w:hAnsi="Times New Roman;sans-serif"/>
          <w:b w:val="false"/>
          <w:color w:val="000000"/>
          <w:sz w:val="20"/>
        </w:rPr>
        <w:t xml:space="preserve">and 2023, the Company had </w:t>
      </w:r>
      <w:r>
        <w:rPr>
          <w:rFonts w:ascii="Times New Roman;sans-serif" w:hAnsi="Times New Roman;sans-serif"/>
          <w:b w:val="false"/>
          <w:color w:val="000000"/>
          <w:sz w:val="20"/>
          <w:shd w:fill="FFFFFF" w:val="clear"/>
        </w:rPr>
        <w:t xml:space="preserve">immaterial </w:t>
      </w:r>
      <w:r>
        <w:rPr>
          <w:rFonts w:ascii="Times New Roman;sans-serif" w:hAnsi="Times New Roman;sans-serif"/>
          <w:b w:val="false"/>
          <w:color w:val="000000"/>
          <w:sz w:val="20"/>
        </w:rPr>
        <w:t xml:space="preserve">valuation allowances on its deferred tax assets.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As of December 31,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 xml:space="preserve">, the Company had approximately $25.8 million of federal net operating loss carryforwards, $43.6 million of state net operating loss carryforwards, and an immaterial amount of foreign net operating loss carryforwards. The net operating losses (NOLs) expire as follows: state between 2026 and 2041 and foreign between 2025 and 2028. As a result of the Tax Cuts and Jobs Act of 2017 (2017 Tax Act), the federal NOL and certain state NOLs generated in 2024, 2020, 2019, and 2018 carry forward indefinitely.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Income Taxes (Continued)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income tax computed at the U.S. federal statutory rate to income tax (benefit) expense is as follows:</w:t>
      </w:r>
    </w:p>
    <w:tbl>
      <w:tblPr>
        <w:tblW w:w="6551" w:type="dxa"/>
        <w:jc w:val="left"/>
        <w:tblInd w:w="0" w:type="dxa"/>
        <w:tblLayout w:type="fixed"/>
        <w:tblCellMar>
          <w:top w:w="28" w:type="dxa"/>
          <w:left w:w="28" w:type="dxa"/>
          <w:bottom w:w="28" w:type="dxa"/>
          <w:right w:w="28" w:type="dxa"/>
        </w:tblCellMar>
      </w:tblPr>
      <w:tblGrid>
        <w:gridCol w:w="997"/>
        <w:gridCol w:w="880"/>
        <w:gridCol w:w="882"/>
        <w:gridCol w:w="211"/>
        <w:gridCol w:w="691"/>
        <w:gridCol w:w="109"/>
        <w:gridCol w:w="109"/>
        <w:gridCol w:w="109"/>
        <w:gridCol w:w="109"/>
        <w:gridCol w:w="211"/>
        <w:gridCol w:w="721"/>
        <w:gridCol w:w="109"/>
        <w:gridCol w:w="109"/>
        <w:gridCol w:w="109"/>
        <w:gridCol w:w="109"/>
        <w:gridCol w:w="211"/>
        <w:gridCol w:w="721"/>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U.S. statutory rate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Non-deductible items</w:t>
            </w:r>
            <w:r>
              <w:rPr>
                <w:rFonts w:ascii="Times New Roman;sans-serif" w:hAnsi="Times New Roman;sans-serif"/>
                <w:b w:val="false"/>
                <w:color w:val="000000"/>
                <w:sz w:val="13"/>
              </w:rPr>
              <w:t>(a)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to provision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Includes non-deductible meals and incidentals and other miscellaneous non-deductible items.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amounts of unrecognized tax benefits is as follows: </w:t>
      </w:r>
    </w:p>
    <w:tbl>
      <w:tblPr>
        <w:tblW w:w="9237" w:type="dxa"/>
        <w:jc w:val="left"/>
        <w:tblInd w:w="0" w:type="dxa"/>
        <w:tblLayout w:type="fixed"/>
        <w:tblCellMar>
          <w:top w:w="28" w:type="dxa"/>
          <w:left w:w="28" w:type="dxa"/>
          <w:bottom w:w="28" w:type="dxa"/>
          <w:right w:w="28" w:type="dxa"/>
        </w:tblCellMar>
      </w:tblPr>
      <w:tblGrid>
        <w:gridCol w:w="2000"/>
        <w:gridCol w:w="1754"/>
        <w:gridCol w:w="1766"/>
        <w:gridCol w:w="211"/>
        <w:gridCol w:w="721"/>
        <w:gridCol w:w="109"/>
        <w:gridCol w:w="109"/>
        <w:gridCol w:w="109"/>
        <w:gridCol w:w="109"/>
        <w:gridCol w:w="211"/>
        <w:gridCol w:w="721"/>
        <w:gridCol w:w="109"/>
        <w:gridCol w:w="109"/>
        <w:gridCol w:w="109"/>
        <w:gridCol w:w="109"/>
        <w:gridCol w:w="211"/>
        <w:gridCol w:w="616"/>
        <w:gridCol w:w="154"/>
      </w:tblGrid>
      <w:tr>
        <w:trPr/>
        <w:tc>
          <w:tcPr>
            <w:tcW w:w="2000"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January 1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(reductions) based on tax positions related to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There were no short-term unrecognized tax benefits as of December 31, </w:t>
      </w:r>
      <w:r>
        <w:rPr>
          <w:rFonts w:ascii="Times New Roman;sans-serif" w:hAnsi="Times New Roman;sans-serif"/>
          <w:b w:val="false"/>
          <w:color w:val="000000"/>
          <w:sz w:val="20"/>
          <w:shd w:fill="FFFFFF" w:val="clear"/>
        </w:rPr>
        <w:t>2024</w:t>
      </w:r>
      <w:r>
        <w:rPr>
          <w:color w:val="000000"/>
        </w:rPr>
        <w:t xml:space="preserve"> </w:t>
      </w:r>
      <w:r>
        <w:rPr>
          <w:rFonts w:ascii="Times New Roman;sans-serif" w:hAnsi="Times New Roman;sans-serif"/>
          <w:b w:val="false"/>
          <w:color w:val="000000"/>
          <w:sz w:val="20"/>
        </w:rPr>
        <w:t xml:space="preserve">and 2023. Long-term unrecognized tax benefits are included in uncertain tax positions in the consolidated balance sheets and were </w:t>
      </w:r>
      <w:r>
        <w:rPr>
          <w:rFonts w:ascii="Times New Roman;sans-serif" w:hAnsi="Times New Roman;sans-serif"/>
          <w:b w:val="false"/>
          <w:color w:val="000000"/>
          <w:sz w:val="20"/>
          <w:shd w:fill="FFFFFF" w:val="clear"/>
        </w:rPr>
        <w:t>$10.1 million</w:t>
      </w:r>
      <w:r>
        <w:rPr>
          <w:color w:val="000000"/>
        </w:rPr>
        <w:t xml:space="preserve"> </w:t>
      </w:r>
      <w:r>
        <w:rPr>
          <w:rFonts w:ascii="Times New Roman;sans-serif" w:hAnsi="Times New Roman;sans-serif"/>
          <w:b w:val="false"/>
          <w:color w:val="000000"/>
          <w:sz w:val="20"/>
        </w:rPr>
        <w:t xml:space="preserve">and $10.6 million as of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 xml:space="preserve">and 2023, respectively. As of December 31, 2024 and 2023, the Company had unrecognized tax benefits, which would affect the effective tax rate if recognized, of </w:t>
      </w:r>
      <w:r>
        <w:rPr>
          <w:rFonts w:ascii="Times New Roman;sans-serif" w:hAnsi="Times New Roman;sans-serif"/>
          <w:b w:val="false"/>
          <w:color w:val="000000"/>
          <w:sz w:val="20"/>
          <w:shd w:fill="FFFFFF" w:val="clear"/>
        </w:rPr>
        <w:t>$10.7 million</w:t>
      </w:r>
      <w:r>
        <w:rPr>
          <w:color w:val="000000"/>
        </w:rPr>
        <w:t xml:space="preserve"> </w:t>
      </w:r>
      <w:r>
        <w:rPr>
          <w:rFonts w:ascii="Times New Roman;sans-serif" w:hAnsi="Times New Roman;sans-serif"/>
          <w:b w:val="false"/>
          <w:color w:val="000000"/>
          <w:sz w:val="20"/>
        </w:rPr>
        <w:t>and $10.0 million, respectively.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The Company recognizes interest and penalties related to unrecognized tax benefits in the provision for income taxes. During the years ended December 31,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 2023, and 2022, interest and penalties, and accruals for the payment of interest and penalties, were immaterial. Tax years 2012 through 2024 remain open to examination by certain taxing jurisdictions to which the Company is subject to tax.</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An unrecognized tax benefit should be presented in the financial statements as a reduction to a deferred tax asset for a net operating loss carryforward if such carryforward would offset the disallowance of the tax position. As a result of the Company’s generation of a net operating loss, the Company reclassified </w:t>
      </w:r>
      <w:r>
        <w:rPr>
          <w:rFonts w:ascii="Times New Roman;sans-serif" w:hAnsi="Times New Roman;sans-serif"/>
          <w:b w:val="false"/>
          <w:color w:val="000000"/>
          <w:sz w:val="20"/>
          <w:shd w:fill="FFFFFF" w:val="clear"/>
        </w:rPr>
        <w:t>$1.3 million</w:t>
      </w:r>
      <w:r>
        <w:rPr>
          <w:color w:val="000000"/>
        </w:rPr>
        <w:t xml:space="preserve"> </w:t>
      </w:r>
      <w:r>
        <w:rPr>
          <w:rFonts w:ascii="Times New Roman;sans-serif" w:hAnsi="Times New Roman;sans-serif"/>
          <w:b w:val="false"/>
          <w:color w:val="000000"/>
          <w:sz w:val="20"/>
        </w:rPr>
        <w:t xml:space="preserve">of unrecognized tax benefits from long-term liabilities to deferred tax assets in the year ended December 31, 2024. As a result of the Company’s utilization of its federal net operating loss carryforward and a material amount of state net operating loss carryforwards, the Company reclassified $0.4 million of unrecognized tax benefits from deferred tax assets to long-term liabilities in the year ended December 31,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Stockholders’ Equity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the Company’s Board of Directors authorized a new stock repurchase program (the New Repurchase Program), whereby the Company could repurchase up to $100.0 million of its shares of common stock, subject to the terms of its current credit agreements. The Company was also authorized to continue to repurchase any remaining shares available for repurchase under the Company’s previous stock repurchase program, which was approved by the Board of Directors on February 28, 2008 (the Prior Repurchase Program). Upon completion of the authorized number of shares available for repurchase under the Prior Repurchase Program, the Company commenced repurchases under the New Repurchase Program during the third quarter of 2022.</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2023, the Company’s Board of Directors authorized approximately $59.0 million in additional share repurchases, such that, effective for trades made after May 3, 2023, the aggregate amount available for stock repurchases under the New Repurchase Program was set at $100.0 million (Repurchase Program). The shares can be repurchased from time-to-time in the open market or in privately negotiated transactions. The Repurchase Program does not obligate the Company to repurchase any particular number of shares of common stock and may be discontinued by the Board of Directors at any time. Decisions regarding the amount and the timing of repurchases under the Repurchase Program will be subject to the Company’s available liquidity and cash on hand, applicable legal requirements, the terms of the Company’s Loan Agreement, general market conditions, and other factors.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the Company entered into a Rule 10b5-1 Repurchase Plan to allow for share repurchases during the Company’s blackout periods, effective through November 2, 2023. During the third quarter of 2023, the Company entered into a new Rule 10b5-1 Repurchase Plan to allow for share repurchases during the Company's blackout periods, beginning on January 2, 2024 and effective through November 7, 2024.</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the Company repurchased and retired the following shares of common stock:</w:t>
      </w:r>
    </w:p>
    <w:tbl>
      <w:tblPr>
        <w:tblW w:w="10205" w:type="dxa"/>
        <w:jc w:val="left"/>
        <w:tblInd w:w="0" w:type="dxa"/>
        <w:tblLayout w:type="fixed"/>
        <w:tblCellMar>
          <w:top w:w="28" w:type="dxa"/>
          <w:left w:w="28" w:type="dxa"/>
          <w:bottom w:w="28" w:type="dxa"/>
          <w:right w:w="28" w:type="dxa"/>
        </w:tblCellMar>
      </w:tblPr>
      <w:tblGrid>
        <w:gridCol w:w="760"/>
        <w:gridCol w:w="668"/>
        <w:gridCol w:w="670"/>
        <w:gridCol w:w="868"/>
        <w:gridCol w:w="757"/>
        <w:gridCol w:w="760"/>
        <w:gridCol w:w="109"/>
        <w:gridCol w:w="109"/>
        <w:gridCol w:w="109"/>
        <w:gridCol w:w="443"/>
        <w:gridCol w:w="1294"/>
        <w:gridCol w:w="229"/>
        <w:gridCol w:w="109"/>
        <w:gridCol w:w="109"/>
        <w:gridCol w:w="109"/>
        <w:gridCol w:w="601"/>
        <w:gridCol w:w="2056"/>
        <w:gridCol w:w="445"/>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Approximate Dollar Value of Shares Purchased</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810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(dollar value in thousands, except per share data)</w:t>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2,401,924 </w:t>
            </w:r>
          </w:p>
        </w:tc>
        <w:tc>
          <w:tcPr>
            <w:tcW w:w="7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36,783 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2,343,583 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57,607 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1,364,815 </w:t>
            </w:r>
          </w:p>
        </w:tc>
        <w:tc>
          <w:tcPr>
            <w:tcW w:w="7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35,257 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$40.5 million remaining for share repurchase under the Repurchase Program, subject to certain conditions in the Company's Loan Agreement. As of December 31, 2024, the Company had 32,277,395 unrestricted shares of common stock outstanding. The Company may repurchase up to an aggregate amount not to exceed $5.0 million pursuant to its Loan Agreement, in any fiscal year, or an unlimited amount if the Company meets certain conditions as described in the agreement. In 2024, the conditions were met to repurchase an unlimited number of shares.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Share-Based Payments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19, 2020, the Company’s stockholders approved the Cross Country Healthcare, Inc. 2020 Omnibus Incentive Plan (2020 Plan), which replaced the 2017 Plan, and applies to awards granted after May 19, 2020. The remaining shares available for grant under the 2017 Plan were cancelled and no further awards were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14, 2024, the Company's stockholders approved the Cross Country Healthcare, Inc. 2024 Omnibus Incentive Plan (2024 Plan). The 2024 Plan was adopted principally to serve as a successor plan to the 2020 Plan and to increase the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Stockholders’ Equity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Company common stock reserved for equity-based awards to 2,400,000 shares (in addition to the share reserve amount that remained available under the 2020 Plan immediately prior to the adoption of the 2024 Plan and other eligible returning shares). No awards may be granted under the 2024 Plan after May 13, 2034.</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2020 Plan and 2024 Plan (Plans) provide for the issuance of stock options, stock appreciation rights, restricted stock, performance shares, and performance-based cash awards that may be granted with the intent to comply with the “performance-based compensation” exception under Section 162(m) of the Code, and other stock-based awards, all as defined by the Plans, to eligible employees, consultants, non-employee directors, and key advisors of the Company and its subsidiaries. The Plans include Section 162(m) performance goals so that certain incentive awards granted to certain executive officers of the Company may qualify as exempt performance-based compensation. However, Section 162(m) of the Code updated in conjunction with the 2017 Tax Act in November 2018 limits a publicly-held corporation’s federal tax deduction for compensation paid to “covered employees” to $1.0 million per year, for non-performance and performance shares.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 The shares vest ratably over a three-year period ending on the anniversary date of the grant, and vesting is subject to the employee’s continuing employment. There is no partial vesting, and any unvested portion is forfeited. Pursuant to the Plans, the number of target shares that are issued for performance-based stock awards are determined based on the level of attainment of the targets.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awards and performance stock awards activity issued under the Plans for the year ended December 31, 2024:</w:t>
      </w:r>
    </w:p>
    <w:tbl>
      <w:tblPr>
        <w:tblW w:w="10205" w:type="dxa"/>
        <w:jc w:val="center"/>
        <w:tblInd w:w="0" w:type="dxa"/>
        <w:tblLayout w:type="fixed"/>
        <w:tblCellMar>
          <w:top w:w="28" w:type="dxa"/>
          <w:left w:w="28" w:type="dxa"/>
          <w:bottom w:w="28" w:type="dxa"/>
          <w:right w:w="28" w:type="dxa"/>
        </w:tblCellMar>
      </w:tblPr>
      <w:tblGrid>
        <w:gridCol w:w="1328"/>
        <w:gridCol w:w="1168"/>
        <w:gridCol w:w="1171"/>
        <w:gridCol w:w="442"/>
        <w:gridCol w:w="444"/>
        <w:gridCol w:w="321"/>
        <w:gridCol w:w="139"/>
        <w:gridCol w:w="139"/>
        <w:gridCol w:w="139"/>
        <w:gridCol w:w="269"/>
        <w:gridCol w:w="789"/>
        <w:gridCol w:w="139"/>
        <w:gridCol w:w="109"/>
        <w:gridCol w:w="109"/>
        <w:gridCol w:w="109"/>
        <w:gridCol w:w="559"/>
        <w:gridCol w:w="499"/>
        <w:gridCol w:w="497"/>
        <w:gridCol w:w="152"/>
        <w:gridCol w:w="152"/>
        <w:gridCol w:w="152"/>
        <w:gridCol w:w="294"/>
        <w:gridCol w:w="860"/>
        <w:gridCol w:w="225"/>
      </w:tblGrid>
      <w:tr>
        <w:trPr/>
        <w:tc>
          <w:tcPr>
            <w:tcW w:w="13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Stock Awards</w:t>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Target </w:t>
              <w:br/>
              <w:t>Shares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 January 1, 2024</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547,534 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417,197 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375,377 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170,880 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(309,847)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(145,908)</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(32,471)</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 December 31, 2024</w:t>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538,589 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409,698 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to non-employee directors under the Plans will vest on the first anniversary of such grant date, or earlier subject to retirement eligibility. In addition, effective for the three months ended June 30, 2020, the Company implemented modified guidelines that provide for accelerated vesting of restricted stock grants on the last date of service when a retirement-eligible director retires.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2024, 2023, and 2022, the Company awarded performance stock totaling 169,447, 160,782, and 126,576 shares, respectively. The Company awarded an additional 16,921 shares of performance stock in the second quarter of 2022. If the minimum level of performance is attained for the 2024, 2023, and 2022 awards, restricted stock will be issued with a vesting date of the third anniversary of such grant date. The level of attainment will be certified within 30 days of the vest date. During the first quarter of 2024, the Company's Compensation Committee of the Board of Directors approved a 101% level of attainment for the 2021 performance-based share awards, resulting in the issuance of 145,908 performance shares that vested on March 31, 2024.</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December 31, 2024, the Company had approximately </w:t>
      </w:r>
      <w:r>
        <w:rPr>
          <w:rFonts w:ascii="Times New Roman;sans-serif" w:hAnsi="Times New Roman;sans-serif"/>
          <w:b w:val="false"/>
          <w:color w:val="000000"/>
          <w:sz w:val="20"/>
          <w:shd w:fill="FFFFFF" w:val="clear"/>
        </w:rPr>
        <w:t>$6.3 million</w:t>
      </w:r>
      <w:r>
        <w:rPr>
          <w:color w:val="000000"/>
        </w:rPr>
        <w:t xml:space="preserve"> </w:t>
      </w:r>
      <w:r>
        <w:rPr>
          <w:rFonts w:ascii="Times New Roman;sans-serif" w:hAnsi="Times New Roman;sans-serif"/>
          <w:b w:val="false"/>
          <w:color w:val="000000"/>
          <w:sz w:val="20"/>
        </w:rPr>
        <w:t xml:space="preserve">of total unrecognized compensation cost related to non-vested restricted stock awards which may be adjusted for future changes in forfeitures. The Company expects to recognize such cost over a weighted average period of </w:t>
      </w:r>
      <w:r>
        <w:rPr>
          <w:rFonts w:ascii="Times New Roman;sans-serif" w:hAnsi="Times New Roman;sans-serif"/>
          <w:b w:val="false"/>
          <w:color w:val="000000"/>
          <w:sz w:val="20"/>
          <w:shd w:fill="FFFFFF" w:val="clear"/>
        </w:rPr>
        <w:t>1.61 years</w:t>
      </w:r>
      <w:r>
        <w:rPr>
          <w:rFonts w:ascii="Times New Roman;sans-serif" w:hAnsi="Times New Roman;sans-serif"/>
          <w:b w:val="false"/>
          <w:color w:val="000000"/>
          <w:sz w:val="20"/>
        </w:rPr>
        <w:t>. The fair value of shares vested was approximately $5.6 million, $9.3 million, and $12.1 million for the years ended December 31, 2024, 2023, and 2022, respectively.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Stockholders’ Equity (continued)</w:t>
      </w:r>
    </w:p>
    <w:p>
      <w:pPr>
        <w:pStyle w:val="TextBody"/>
        <w:bidi w:val="0"/>
        <w:spacing w:lineRule="auto" w:line="288" w:before="0" w:after="0"/>
        <w:jc w:val="left"/>
        <w:rPr/>
      </w:pPr>
      <w:r>
        <w:rPr>
          <w:rFonts w:ascii="Times New Roman;sans-serif" w:hAnsi="Times New Roman;sans-serif"/>
          <w:b w:val="false"/>
          <w:color w:val="000000"/>
          <w:sz w:val="20"/>
        </w:rPr>
        <w:t xml:space="preserve">As of December 31, 2024, the Company had approximately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 xml:space="preserve">of total unrecognized compensation cost related to performance stock awards which may be adjusted for future changes in forfeitures. The Company expects to recognize such cost over a weighted average period of </w:t>
      </w:r>
      <w:r>
        <w:rPr>
          <w:rFonts w:ascii="Times New Roman;sans-serif" w:hAnsi="Times New Roman;sans-serif"/>
          <w:b w:val="false"/>
          <w:color w:val="000000"/>
          <w:sz w:val="20"/>
          <w:shd w:fill="FFFFFF" w:val="clear"/>
        </w:rPr>
        <w:t>1.38 years</w:t>
      </w:r>
      <w:r>
        <w:rPr>
          <w:rFonts w:ascii="Times New Roman;sans-serif" w:hAnsi="Times New Roman;sans-serif"/>
          <w:b w:val="false"/>
          <w:color w:val="000000"/>
          <w:sz w:val="20"/>
        </w:rPr>
        <w:t xml:space="preserve">, the remaining service period. The fair value of shares vested was approximately $2.7 million, $5.3 million, and $3.7 million for the years ended December 31, 2024, 2023, and 2022, respectively.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Earnings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numerator and denominator for the computation of the basic and diluted earnings per share:</w:t>
      </w:r>
    </w:p>
    <w:tbl>
      <w:tblPr>
        <w:tblW w:w="10166" w:type="dxa"/>
        <w:jc w:val="left"/>
        <w:tblInd w:w="0" w:type="dxa"/>
        <w:tblLayout w:type="fixed"/>
        <w:tblCellMar>
          <w:top w:w="28" w:type="dxa"/>
          <w:left w:w="28" w:type="dxa"/>
          <w:bottom w:w="28" w:type="dxa"/>
          <w:right w:w="28" w:type="dxa"/>
        </w:tblCellMar>
      </w:tblPr>
      <w:tblGrid>
        <w:gridCol w:w="2229"/>
        <w:gridCol w:w="1962"/>
        <w:gridCol w:w="1973"/>
        <w:gridCol w:w="211"/>
        <w:gridCol w:w="796"/>
        <w:gridCol w:w="109"/>
        <w:gridCol w:w="109"/>
        <w:gridCol w:w="109"/>
        <w:gridCol w:w="109"/>
        <w:gridCol w:w="211"/>
        <w:gridCol w:w="721"/>
        <w:gridCol w:w="109"/>
        <w:gridCol w:w="109"/>
        <w:gridCol w:w="109"/>
        <w:gridCol w:w="109"/>
        <w:gridCol w:w="211"/>
        <w:gridCol w:w="826"/>
        <w:gridCol w:w="154"/>
      </w:tblGrid>
      <w:tr>
        <w:trPr/>
        <w:tc>
          <w:tcPr>
            <w:tcW w:w="222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 except per share data)</w:t>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 Basic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of diluted shares: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Weighted average common shares - Diluted</w:t>
            </w:r>
            <w:r>
              <w:rPr>
                <w:rFonts w:ascii="Times New Roman;sans-serif" w:hAnsi="Times New Roman;sans-serif"/>
                <w:b w:val="false"/>
                <w:color w:val="000000"/>
                <w:sz w:val="13"/>
              </w:rPr>
              <w:t>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attributable to common stockholders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attributable to common stockholders - Diluted</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For the year ended December 31, 2024, the effect of diluted shares was not included in the weighted average share calculation due to the Company's net operating loss position.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share-based awards that could potentially dilute net (loss) income per share attributable to common stockholders in the future that were not included in the computation of diluted net (loss) income per share attributable to common stockholders because to do so would have been anti-dilutive for the periods presented.</w:t>
      </w:r>
    </w:p>
    <w:tbl>
      <w:tblPr>
        <w:tblW w:w="4373" w:type="dxa"/>
        <w:jc w:val="center"/>
        <w:tblInd w:w="0" w:type="dxa"/>
        <w:tblLayout w:type="fixed"/>
        <w:tblCellMar>
          <w:top w:w="28" w:type="dxa"/>
          <w:left w:w="28" w:type="dxa"/>
          <w:bottom w:w="28" w:type="dxa"/>
          <w:right w:w="28" w:type="dxa"/>
        </w:tblCellMar>
      </w:tblPr>
      <w:tblGrid>
        <w:gridCol w:w="614"/>
        <w:gridCol w:w="540"/>
        <w:gridCol w:w="541"/>
        <w:gridCol w:w="233"/>
        <w:gridCol w:w="233"/>
        <w:gridCol w:w="176"/>
        <w:gridCol w:w="152"/>
        <w:gridCol w:w="152"/>
        <w:gridCol w:w="152"/>
        <w:gridCol w:w="175"/>
        <w:gridCol w:w="175"/>
        <w:gridCol w:w="176"/>
        <w:gridCol w:w="152"/>
        <w:gridCol w:w="152"/>
        <w:gridCol w:w="152"/>
        <w:gridCol w:w="180"/>
        <w:gridCol w:w="181"/>
        <w:gridCol w:w="237"/>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46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3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an arrangement for digital marketing services provided by a firm that is related to a certain member of the Company's Board of Directors, who is a minority shareholder in the firm's parent company and is a member of the parent company's Board of Directors. Management believes that the terms of the arrangement are equivalent to those prevailing in an arm's-length transaction and have been approved by the Audit Committee of the Company's Board of Directors through the Company's related party transaction approval process. The digital marketing firm manages a limited number of digital publishers covering various Company brands for a monthly management fee. In 2024, 2023, and 2022, the Company incurred an immaterial amount in expenses. The Company had an immaterial payable balance at December 31, 2024 and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services to entities that are affiliated with certain members of the Company’s Board of Directors. Management believes that the services were conducted on terms equivalent to those prevailing in an arm's-length transaction. Revenue related to these transactions was $4.9 million, $1.2 million, and $1.8 million, respectively, for the years ended December 31, 2024, 2023 and 2022. Accounts receivable due from these entities was an immaterial amount at December 31, 2024 and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Related Party Transactions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WSG acquisition on June 8, 2021, the Company continued to rent WSG's headquarters. The Chief Executive Officer and Founder of WSG, who is currently a business unit president with the Company, was an agent of the lessor. The lease for WSG's headquarters was terminated at the end of the first quarter of 2023. The Company paid an immaterial amount in rent expense for these premises for the years ended December 31, 2023 and 2022, and had no payable balance at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Segment Data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and reportable segments, Nurse and Allied Staffing and Physician Staffing, which align with its management structure and reflect how the operating results are regularly reviewed by the Chief Executive Officer, who the Company has determined to be its Chief Operating Decision Maker (CODM). The Company’s segments offer services to its customers as described below: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Nurse and Allied Staffing - </w:t>
      </w:r>
      <w:r>
        <w:rPr>
          <w:rFonts w:ascii="Times New Roman;sans-serif" w:hAnsi="Times New Roman;sans-serif"/>
          <w:b w:val="false"/>
          <w:color w:val="000000"/>
          <w:sz w:val="20"/>
        </w:rPr>
        <w:t>Nurse and Allied Staffing provides traditional staffing, recruiting, and value-added total talent solutions including: temporary and permanent placement of travel nurse and allied professionals, per diem, and healthcare leaders within nursing, allied, human resources, and finance, MSP services, education healthcare services, in-home care services, and outsourcing services. In addition, Nurse and Allied Staffing provides executive search services for healthcare professionals, as well as contingent search and recruitment process outsourcing services, and offers the Company's SaaS-based, proprietary, vendor management technology, Intellify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to facilities to manage all or a portion of their agency services. Its customers include: public and private acute-care hospitals, non-acute care hospitals, government facilities, local healthcare plans, national healthcare plans, managed care providers, public schools, charter schools, academic medical centers, Programs of All-Inclusive Care for the Elderly (PACE) programs, outpatient clinics, ambulatory care facilities, physician practice groups, and many other healthcare providers throughout the United States.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Physician Staffing -</w:t>
      </w:r>
      <w:r>
        <w:rPr>
          <w:color w:val="000000"/>
        </w:rPr>
        <w:t xml:space="preserve"> </w:t>
      </w:r>
      <w:r>
        <w:rPr>
          <w:rFonts w:ascii="Times New Roman;sans-serif" w:hAnsi="Times New Roman;sans-serif"/>
          <w:b w:val="false"/>
          <w:color w:val="000000"/>
          <w:sz w:val="20"/>
        </w:rPr>
        <w:t>Physician Staffing provides physicians in many specialties, as well as certified registered nurse anesthetists, nurse 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and the profit and loss measure of contribution income, are reported to the CODM by each of the operating segments to assess performance. Contribution income is the profit and loss measure used by the CODM to allocate operating and capital resources to each segment. The Company defines contribution income as income (loss) from operations before depreciation and amortization, acquisition and integration-related (benefits) costs, restructuring (benefits) costs, legal and other losses, impairment charges, and corporate overhead. Management believes that its measure of contribution income is most consistent with that used to measure the corresponding amounts on its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the following tables is derived from the segments’ internal financial information as used for corporate management purposes. Certain corporate expenses are not allocated to and/or among the operating segments. Those include corporate overhead and the remaining line items below contribution income in the consolidated column in the tables below, and are presented to the CODM on a consolidated basis only.</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Segment Data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on reportable segments and a reconciliation to loss before income taxes for the period indicated are as follows:</w:t>
      </w:r>
    </w:p>
    <w:p>
      <w:pPr>
        <w:pStyle w:val="TextBody"/>
        <w:bidi w:val="0"/>
        <w:spacing w:before="0" w:after="0"/>
        <w:jc w:val="left"/>
        <w:rPr/>
      </w:pPr>
      <w:r>
        <w:rPr/>
      </w:r>
    </w:p>
    <w:tbl>
      <w:tblPr>
        <w:tblW w:w="9284" w:type="dxa"/>
        <w:jc w:val="left"/>
        <w:tblInd w:w="0" w:type="dxa"/>
        <w:tblLayout w:type="fixed"/>
        <w:tblCellMar>
          <w:top w:w="28" w:type="dxa"/>
          <w:left w:w="28" w:type="dxa"/>
          <w:bottom w:w="28" w:type="dxa"/>
          <w:right w:w="28" w:type="dxa"/>
        </w:tblCellMar>
      </w:tblPr>
      <w:tblGrid>
        <w:gridCol w:w="1241"/>
        <w:gridCol w:w="1095"/>
        <w:gridCol w:w="1099"/>
        <w:gridCol w:w="361"/>
        <w:gridCol w:w="1672"/>
        <w:gridCol w:w="186"/>
        <w:gridCol w:w="109"/>
        <w:gridCol w:w="109"/>
        <w:gridCol w:w="109"/>
        <w:gridCol w:w="301"/>
        <w:gridCol w:w="1179"/>
        <w:gridCol w:w="155"/>
        <w:gridCol w:w="109"/>
        <w:gridCol w:w="109"/>
        <w:gridCol w:w="109"/>
        <w:gridCol w:w="211"/>
        <w:gridCol w:w="97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 and Allied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9"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1,145,419 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w:t>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 (income)</w:t>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Divisional corporate G&amp;A</w:t>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(a)</w:t>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profit or loss: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 overhead</w:t>
            </w:r>
            <w:r>
              <w:rPr>
                <w:rFonts w:ascii="Times New Roman;sans-serif" w:hAnsi="Times New Roman;sans-serif"/>
                <w:b w:val="false"/>
                <w:color w:val="000000"/>
                <w:sz w:val="13"/>
              </w:rPr>
              <w:t>(b)</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losses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For each reportable segment, the other segment items category includes the following expenses: rent, insurance, maintenance, utilities, professional services, office, software and hardware, taxes, and miscellaneous employee expenses.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Corporate overhead includes unallocated executive leadership and other centralized corporate functional support costs such as finance, IT, legal, human resources, and marketing, as well as public company expenses and corporate-wide projects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Segment Data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on reportable segments and a reconciliation to income before income taxes for the period indicated are as follows:</w:t>
      </w:r>
    </w:p>
    <w:p>
      <w:pPr>
        <w:pStyle w:val="TextBody"/>
        <w:bidi w:val="0"/>
        <w:spacing w:before="0" w:after="0"/>
        <w:jc w:val="left"/>
        <w:rPr/>
      </w:pPr>
      <w:r>
        <w:rPr/>
      </w:r>
    </w:p>
    <w:tbl>
      <w:tblPr>
        <w:tblW w:w="9284" w:type="dxa"/>
        <w:jc w:val="left"/>
        <w:tblInd w:w="0" w:type="dxa"/>
        <w:tblLayout w:type="fixed"/>
        <w:tblCellMar>
          <w:top w:w="28" w:type="dxa"/>
          <w:left w:w="28" w:type="dxa"/>
          <w:bottom w:w="28" w:type="dxa"/>
          <w:right w:w="28" w:type="dxa"/>
        </w:tblCellMar>
      </w:tblPr>
      <w:tblGrid>
        <w:gridCol w:w="1241"/>
        <w:gridCol w:w="1095"/>
        <w:gridCol w:w="1099"/>
        <w:gridCol w:w="361"/>
        <w:gridCol w:w="1672"/>
        <w:gridCol w:w="186"/>
        <w:gridCol w:w="109"/>
        <w:gridCol w:w="109"/>
        <w:gridCol w:w="109"/>
        <w:gridCol w:w="301"/>
        <w:gridCol w:w="1179"/>
        <w:gridCol w:w="155"/>
        <w:gridCol w:w="109"/>
        <w:gridCol w:w="109"/>
        <w:gridCol w:w="109"/>
        <w:gridCol w:w="211"/>
        <w:gridCol w:w="97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 and Allied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9"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1,841,428 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1,430,128 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w:t>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Divisional corporate G&amp;A</w:t>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(a)</w:t>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196,777 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profit or loss: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 overhead</w:t>
            </w:r>
            <w:r>
              <w:rPr>
                <w:rFonts w:ascii="Times New Roman;sans-serif" w:hAnsi="Times New Roman;sans-serif"/>
                <w:b w:val="false"/>
                <w:color w:val="000000"/>
                <w:sz w:val="13"/>
              </w:rPr>
              <w:t>(b)</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losses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For each reportable segment, the other segment items category includes the following expenses: rent, insurance, maintenance, utilities, professional services, office, software and hardware, taxes, and miscellaneous employee expenses.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Corporate overhead includes unallocated executive leadership and other centralized corporate functional support costs such as finance, IT, legal, human resources, and marketing, as well as public company expenses and corporate-wide projects (initiatives).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Segment Data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on reportable segments and a reconciliation to income before income taxes for the period indicated are as follows:</w:t>
      </w:r>
    </w:p>
    <w:p>
      <w:pPr>
        <w:pStyle w:val="TextBody"/>
        <w:bidi w:val="0"/>
        <w:spacing w:before="0" w:after="0"/>
        <w:jc w:val="left"/>
        <w:rPr/>
      </w:pPr>
      <w:r>
        <w:rPr/>
      </w:r>
    </w:p>
    <w:tbl>
      <w:tblPr>
        <w:tblW w:w="9284" w:type="dxa"/>
        <w:jc w:val="left"/>
        <w:tblInd w:w="0" w:type="dxa"/>
        <w:tblLayout w:type="fixed"/>
        <w:tblCellMar>
          <w:top w:w="28" w:type="dxa"/>
          <w:left w:w="28" w:type="dxa"/>
          <w:bottom w:w="28" w:type="dxa"/>
          <w:right w:w="28" w:type="dxa"/>
        </w:tblCellMar>
      </w:tblPr>
      <w:tblGrid>
        <w:gridCol w:w="1241"/>
        <w:gridCol w:w="1095"/>
        <w:gridCol w:w="1099"/>
        <w:gridCol w:w="361"/>
        <w:gridCol w:w="1672"/>
        <w:gridCol w:w="186"/>
        <w:gridCol w:w="109"/>
        <w:gridCol w:w="109"/>
        <w:gridCol w:w="109"/>
        <w:gridCol w:w="301"/>
        <w:gridCol w:w="1179"/>
        <w:gridCol w:w="155"/>
        <w:gridCol w:w="109"/>
        <w:gridCol w:w="109"/>
        <w:gridCol w:w="109"/>
        <w:gridCol w:w="211"/>
        <w:gridCol w:w="97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 and Allied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9"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2,697,155 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2,098,219 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w:t>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Divisional corporate G&amp;A</w:t>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(a)</w:t>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352,219 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profit or loss: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 overhead</w:t>
            </w:r>
            <w:r>
              <w:rPr>
                <w:rFonts w:ascii="Times New Roman;sans-serif" w:hAnsi="Times New Roman;sans-serif"/>
                <w:b w:val="false"/>
                <w:color w:val="000000"/>
                <w:sz w:val="13"/>
              </w:rPr>
              <w:t>(b)</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For each reportable segment, the other segment items category includes the following expenses: rent, insurance, maintenance, utilities, professional services, office, software and hardware, taxes, and miscellaneous employee expenses.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Corporate overhead includes unallocated executive leadership and other centralized corporate functional support costs such as finance, IT, legal, human resources, and marketing, as well as public company expenses and corporate-wide projects (initiatives).</w:t>
      </w:r>
    </w:p>
    <w:p>
      <w:pPr>
        <w:pStyle w:val="TextBody"/>
        <w:bidi w:val="0"/>
        <w:spacing w:before="0" w:after="0"/>
        <w:jc w:val="left"/>
        <w:rPr/>
      </w:pPr>
      <w:r>
        <w:rPr/>
      </w:r>
    </w:p>
    <w:p>
      <w:pPr>
        <w:pStyle w:val="TextBody"/>
        <w:bidi w:val="0"/>
        <w:spacing w:before="100"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Segment Data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based on services provided. In 2024, 2023, and 2022, revenue was generated primarily in the U.S., and all of the Company’s long-lived assets were located in the U.S. and India. The Company provides its staffing services and workforce solutions in all 50 states. The India location is a cost center with no revenues and an immaterial amount of long-lived assets. The Company had no intersegment revenues between reportable segments for the years ended December 31, 2024, 2023, and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evaluate, manage, or measure performance of segments using asset information; accordingly, total asset information by segment is not prepared or disclosed.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the segments are the same as those described in Note 2 – Summary of Significant Accounting Policies, which also provides information about major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the tables in Note 3 - Revenue Recognition, which present segment revenues by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18.</w:t>
      </w:r>
      <w:r>
        <w:rPr>
          <w:color w:val="000000"/>
          <w:shd w:fill="FFFFFF" w:val="clear"/>
        </w:rPr>
        <w:t xml:space="preserve"> </w:t>
      </w:r>
      <w:r>
        <w:rPr>
          <w:rFonts w:ascii="Times New Roman;sans-serif" w:hAnsi="Times New Roman;sans-serif"/>
          <w:b/>
          <w:color w:val="000000"/>
          <w:sz w:val="20"/>
          <w:shd w:fill="FFFFFF" w:val="clear"/>
        </w:rPr>
        <w:t xml:space="preserve">Quarterly Financial Data </w:t>
      </w: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contain selected unaudited statements of operations and comprehensive income (loss) information for each quarter of 2024 and 2023. The following information reflects all normal recurring adjustments necessary for a fair presentation of the information for the periods presented. The operating results for any quarter are not necessarily indicative of results for any future period. </w:t>
      </w:r>
    </w:p>
    <w:tbl>
      <w:tblPr>
        <w:tblW w:w="10205" w:type="dxa"/>
        <w:jc w:val="left"/>
        <w:tblInd w:w="0" w:type="dxa"/>
        <w:tblLayout w:type="fixed"/>
        <w:tblCellMar>
          <w:top w:w="28" w:type="dxa"/>
          <w:left w:w="28" w:type="dxa"/>
          <w:bottom w:w="28" w:type="dxa"/>
          <w:right w:w="28" w:type="dxa"/>
        </w:tblCellMar>
      </w:tblPr>
      <w:tblGrid>
        <w:gridCol w:w="1832"/>
        <w:gridCol w:w="1584"/>
        <w:gridCol w:w="1597"/>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83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First</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Fourth</w:t>
              <w:br/>
              <w:t>Quarter</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5192"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 except per share data)</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Gross profit</w:t>
            </w:r>
            <w:r>
              <w:rPr>
                <w:rFonts w:ascii="Times New Roman;sans-serif" w:hAnsi="Times New Roman;sans-serif"/>
                <w:b w:val="false"/>
                <w:color w:val="000000"/>
                <w:sz w:val="12"/>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common stockholders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(loss) per share attributable to common stockholders - Basic</w:t>
            </w:r>
            <w:r>
              <w:rPr>
                <w:rFonts w:ascii="Times New Roman;sans-serif" w:hAnsi="Times New Roman;sans-serif"/>
                <w:b w:val="false"/>
                <w:color w:val="000000"/>
                <w:sz w:val="12"/>
              </w:rPr>
              <w:t>(b)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(loss) per share attributable to common stockholders - Diluted</w:t>
            </w:r>
            <w:r>
              <w:rPr>
                <w:rFonts w:ascii="Times New Roman;sans-serif" w:hAnsi="Times New Roman;sans-serif"/>
                <w:b w:val="false"/>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17"/>
        <w:gridCol w:w="1591"/>
        <w:gridCol w:w="1606"/>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181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First</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Fourth</w:t>
              <w:br/>
              <w:t>Quarter</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5191"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 except per share data)</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Gross profit</w:t>
            </w:r>
            <w:r>
              <w:rPr>
                <w:rFonts w:ascii="Times New Roman;sans-serif" w:hAnsi="Times New Roman;sans-serif"/>
                <w:b w:val="false"/>
                <w:color w:val="000000"/>
                <w:sz w:val="12"/>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per share attributable to common stockholders - Basic</w:t>
            </w:r>
            <w:r>
              <w:rPr>
                <w:rFonts w:ascii="Times New Roman;sans-serif" w:hAnsi="Times New Roman;sans-serif"/>
                <w:b w:val="false"/>
                <w:color w:val="000000"/>
                <w:sz w:val="12"/>
              </w:rPr>
              <w:t>(b)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income per share attributable to common stockholders - Diluted </w:t>
            </w:r>
            <w:r>
              <w:rPr>
                <w:rFonts w:ascii="Times New Roman;sans-serif" w:hAnsi="Times New Roman;sans-serif"/>
                <w:b w:val="false"/>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Excludes depreciation and amortization.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The sum of the quarterly per share amounts may not equal amounts reported for year-to-date due to the effects of rounding and changes in the number of weighted average shares outstanding used in the calculation.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items are the most significant items that impact the comparability and presentation of our consolidated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incurred restructuring costs primarily comprised of employee termination costs, lease-related exit costs, and reorganization costs as part of planned cost savings initiatives. In 2024, the Company recorded expenses of $0.9 million in the first quarter, $2.1 million in the second quarter, and $1.0 million in the third quarter. The Company recorded expenses of $0.9 million in both the second and fourth quarters of 2023.</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the second quarter of 2024, the Company recorded $19.4 million of credit loss expense driven by a bankruptcy filing by a single MSP customer. In 2024, the Company recorded legal and other losses of $3.7 million in the first quarter and $3.9 million in the second quarter, representing settlements of lawsuits, as well as estimated costs related to an unrecoverable asset. During the fourth quarter of 2024, the Company recorded legal and other losses of $1.2 million to settle an older class action lawsuit, as well as a recovery of $1.8 million related to a previously written off unrecoverable asset. During the first quarter of 2023, the Company incurred $1.1 million, including legal fees, to settle a wage and hour class action lawsuit.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the fourth quarter of 2024, the Company recorded impairment charges of $2.2 million related to the write-off of goodwill and intangible assets associated with the impairment of a previous asset acquisition. See Note 5 - Goodwill, Trade Names, and Other Intangible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recorded loss on early extinguishment of debt of $1.7 million in the second quarter of 2023, consisting of the write-off of debt issuance costs related to the payoff and termination of the term loan on June 30, 2023. See Note 8 - Debt.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the fourth quarter of 2024, the Company incurred $4.2 million in fees associated with the pending Aya Merger.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19. Immaterial Financial Restatement to Prior Period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2 – Summary of Significant Accounting Policies, the Company identified an error in the consolidated financial statements of prior periods that it concluded was not material to the previously-issued financial statements. A summary of the revisions to the impacted financial statement line items in the previously-issued Consolidated Balance Sheet as of December 31, 2022 and 2023, the Consolidated Statement of Stockholders’ Equity for the years ended December 31, 2022 and 2023, and the Consolidated Statement of Operations and Comprehensive Income and Consolidated Statement of Cash Flows for the year ended December 31, 2022 included in the Annual Report on Form 10-K for the fiscal year ended December 31, 2023, are provided below.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19. Immaterial Financial Restatement to Prior Period Financial Statements (continued)</w:t>
      </w:r>
    </w:p>
    <w:p>
      <w:pPr>
        <w:pStyle w:val="TextBody"/>
        <w:bidi w:val="0"/>
        <w:spacing w:before="0" w:after="0"/>
        <w:jc w:val="center"/>
        <w:rPr/>
      </w:pPr>
      <w:r>
        <w:rPr/>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7361" w:type="dxa"/>
        <w:jc w:val="center"/>
        <w:tblInd w:w="0" w:type="dxa"/>
        <w:tblLayout w:type="fixed"/>
        <w:tblCellMar>
          <w:top w:w="28" w:type="dxa"/>
          <w:left w:w="28" w:type="dxa"/>
          <w:bottom w:w="28" w:type="dxa"/>
          <w:right w:w="28" w:type="dxa"/>
        </w:tblCellMar>
      </w:tblPr>
      <w:tblGrid>
        <w:gridCol w:w="1236"/>
        <w:gridCol w:w="1092"/>
        <w:gridCol w:w="1106"/>
        <w:gridCol w:w="211"/>
        <w:gridCol w:w="826"/>
        <w:gridCol w:w="109"/>
        <w:gridCol w:w="109"/>
        <w:gridCol w:w="109"/>
        <w:gridCol w:w="109"/>
        <w:gridCol w:w="211"/>
        <w:gridCol w:w="616"/>
        <w:gridCol w:w="109"/>
        <w:gridCol w:w="109"/>
        <w:gridCol w:w="109"/>
        <w:gridCol w:w="109"/>
        <w:gridCol w:w="211"/>
        <w:gridCol w:w="826"/>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Revisions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Revised</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recovery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recovery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claims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19. Immaterial Financial Restatement to Prior Period Financial Statements (continued)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7361" w:type="dxa"/>
        <w:jc w:val="center"/>
        <w:tblInd w:w="0" w:type="dxa"/>
        <w:tblLayout w:type="fixed"/>
        <w:tblCellMar>
          <w:top w:w="28" w:type="dxa"/>
          <w:left w:w="28" w:type="dxa"/>
          <w:bottom w:w="28" w:type="dxa"/>
          <w:right w:w="28" w:type="dxa"/>
        </w:tblCellMar>
      </w:tblPr>
      <w:tblGrid>
        <w:gridCol w:w="1236"/>
        <w:gridCol w:w="1092"/>
        <w:gridCol w:w="1106"/>
        <w:gridCol w:w="211"/>
        <w:gridCol w:w="826"/>
        <w:gridCol w:w="109"/>
        <w:gridCol w:w="109"/>
        <w:gridCol w:w="109"/>
        <w:gridCol w:w="109"/>
        <w:gridCol w:w="211"/>
        <w:gridCol w:w="616"/>
        <w:gridCol w:w="109"/>
        <w:gridCol w:w="109"/>
        <w:gridCol w:w="109"/>
        <w:gridCol w:w="109"/>
        <w:gridCol w:w="211"/>
        <w:gridCol w:w="826"/>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Revisions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Revised</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recovery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recovery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claims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19. Immaterial Financial Restatement to Prior Period Financial Statements (continued)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per share data)</w:t>
      </w:r>
    </w:p>
    <w:tbl>
      <w:tblPr>
        <w:tblW w:w="9912" w:type="dxa"/>
        <w:jc w:val="center"/>
        <w:tblInd w:w="0" w:type="dxa"/>
        <w:tblLayout w:type="fixed"/>
        <w:tblCellMar>
          <w:top w:w="28" w:type="dxa"/>
          <w:left w:w="28" w:type="dxa"/>
          <w:bottom w:w="28" w:type="dxa"/>
          <w:right w:w="28" w:type="dxa"/>
        </w:tblCellMar>
      </w:tblPr>
      <w:tblGrid>
        <w:gridCol w:w="2028"/>
        <w:gridCol w:w="1787"/>
        <w:gridCol w:w="1795"/>
        <w:gridCol w:w="211"/>
        <w:gridCol w:w="976"/>
        <w:gridCol w:w="109"/>
        <w:gridCol w:w="109"/>
        <w:gridCol w:w="109"/>
        <w:gridCol w:w="109"/>
        <w:gridCol w:w="211"/>
        <w:gridCol w:w="691"/>
        <w:gridCol w:w="109"/>
        <w:gridCol w:w="109"/>
        <w:gridCol w:w="109"/>
        <w:gridCol w:w="109"/>
        <w:gridCol w:w="211"/>
        <w:gridCol w:w="976"/>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Revisions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Revised</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loss, net of tax</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19. Immaterial Financial Restatement to Prior Period Financial Statements (continued)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530"/>
        <w:gridCol w:w="465"/>
        <w:gridCol w:w="471"/>
        <w:gridCol w:w="323"/>
        <w:gridCol w:w="323"/>
        <w:gridCol w:w="196"/>
        <w:gridCol w:w="109"/>
        <w:gridCol w:w="109"/>
        <w:gridCol w:w="109"/>
        <w:gridCol w:w="226"/>
        <w:gridCol w:w="278"/>
        <w:gridCol w:w="127"/>
        <w:gridCol w:w="109"/>
        <w:gridCol w:w="109"/>
        <w:gridCol w:w="109"/>
        <w:gridCol w:w="200"/>
        <w:gridCol w:w="754"/>
        <w:gridCol w:w="111"/>
        <w:gridCol w:w="109"/>
        <w:gridCol w:w="109"/>
        <w:gridCol w:w="109"/>
        <w:gridCol w:w="292"/>
        <w:gridCol w:w="853"/>
        <w:gridCol w:w="163"/>
        <w:gridCol w:w="109"/>
        <w:gridCol w:w="109"/>
        <w:gridCol w:w="109"/>
        <w:gridCol w:w="260"/>
        <w:gridCol w:w="978"/>
        <w:gridCol w:w="145"/>
        <w:gridCol w:w="109"/>
        <w:gridCol w:w="109"/>
        <w:gridCol w:w="109"/>
        <w:gridCol w:w="109"/>
        <w:gridCol w:w="109"/>
        <w:gridCol w:w="109"/>
        <w:gridCol w:w="109"/>
        <w:gridCol w:w="109"/>
        <w:gridCol w:w="109"/>
        <w:gridCol w:w="218"/>
        <w:gridCol w:w="822"/>
        <w:gridCol w:w="181"/>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4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Accumulated Other </w:t>
              <w:br/>
              <w:t>Comprehensive Loss,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Stockholders’ Equity</w:t>
            </w:r>
          </w:p>
        </w:tc>
      </w:tr>
      <w:tr>
        <w:trPr/>
        <w:tc>
          <w:tcPr>
            <w:tcW w:w="1466"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Dollars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2022</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292,876 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165,726 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457,219 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(4,905)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and retirement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(57,654)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(57,654)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excise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adjustment, net of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72,631 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72,631 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236,417 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238,357 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473,393 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Revisions</w:t>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and retirement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excise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(5,742)</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 Revised</w:t>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2022</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292,876 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159,984 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451,477 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(4,905)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and retirement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(57,654)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(57,654)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excise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adjustment, net of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72,631 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72,631 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34,385 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236,417 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(1,385)</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232,615 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467,651 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19. Immaterial Financial Restatement to Prior Period Financial Statements (continued)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530"/>
        <w:gridCol w:w="465"/>
        <w:gridCol w:w="471"/>
        <w:gridCol w:w="323"/>
        <w:gridCol w:w="323"/>
        <w:gridCol w:w="196"/>
        <w:gridCol w:w="109"/>
        <w:gridCol w:w="109"/>
        <w:gridCol w:w="109"/>
        <w:gridCol w:w="226"/>
        <w:gridCol w:w="278"/>
        <w:gridCol w:w="127"/>
        <w:gridCol w:w="109"/>
        <w:gridCol w:w="109"/>
        <w:gridCol w:w="109"/>
        <w:gridCol w:w="200"/>
        <w:gridCol w:w="754"/>
        <w:gridCol w:w="111"/>
        <w:gridCol w:w="109"/>
        <w:gridCol w:w="109"/>
        <w:gridCol w:w="109"/>
        <w:gridCol w:w="292"/>
        <w:gridCol w:w="853"/>
        <w:gridCol w:w="163"/>
        <w:gridCol w:w="109"/>
        <w:gridCol w:w="109"/>
        <w:gridCol w:w="109"/>
        <w:gridCol w:w="260"/>
        <w:gridCol w:w="978"/>
        <w:gridCol w:w="145"/>
        <w:gridCol w:w="109"/>
        <w:gridCol w:w="109"/>
        <w:gridCol w:w="109"/>
        <w:gridCol w:w="109"/>
        <w:gridCol w:w="109"/>
        <w:gridCol w:w="109"/>
        <w:gridCol w:w="109"/>
        <w:gridCol w:w="109"/>
        <w:gridCol w:w="109"/>
        <w:gridCol w:w="218"/>
        <w:gridCol w:w="822"/>
        <w:gridCol w:w="181"/>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4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Accumulated Other </w:t>
              <w:br/>
              <w:t>Comprehensive Loss,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Stockholders’ Equity</w:t>
            </w:r>
          </w:p>
        </w:tc>
      </w:tr>
      <w:tr>
        <w:trPr/>
        <w:tc>
          <w:tcPr>
            <w:tcW w:w="1466"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Dollars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37,024 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321,552 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(22,735)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297,528 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and retirement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(35,285)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188,461 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188,461 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292,876 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165,726 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457,219 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Revisions</w:t>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and retirement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adjustment, net of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(5,742)</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 Revised</w:t>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37,024 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321,552 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(25,998)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294,265 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and retirement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(35,285)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185,982 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185,982 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36,303 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292,876 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(1,387)</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159,984 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451,477 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F- 50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19. Immaterial Financial Restatement to Prior Period Financial Statements (continued)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tbl>
      <w:tblPr>
        <w:tblW w:w="9457" w:type="dxa"/>
        <w:jc w:val="center"/>
        <w:tblInd w:w="0" w:type="dxa"/>
        <w:tblLayout w:type="fixed"/>
        <w:tblCellMar>
          <w:top w:w="28" w:type="dxa"/>
          <w:left w:w="28" w:type="dxa"/>
          <w:bottom w:w="28" w:type="dxa"/>
          <w:right w:w="28" w:type="dxa"/>
        </w:tblCellMar>
      </w:tblPr>
      <w:tblGrid>
        <w:gridCol w:w="2067"/>
        <w:gridCol w:w="1819"/>
        <w:gridCol w:w="1828"/>
        <w:gridCol w:w="198"/>
        <w:gridCol w:w="747"/>
        <w:gridCol w:w="109"/>
        <w:gridCol w:w="109"/>
        <w:gridCol w:w="109"/>
        <w:gridCol w:w="109"/>
        <w:gridCol w:w="196"/>
        <w:gridCol w:w="631"/>
        <w:gridCol w:w="109"/>
        <w:gridCol w:w="109"/>
        <w:gridCol w:w="109"/>
        <w:gridCol w:w="109"/>
        <w:gridCol w:w="198"/>
        <w:gridCol w:w="747"/>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in thousands)</w:t>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Revisions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Revised</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net income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allowances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expense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charges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early extinguishment of debt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costs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net of cash acquired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Acquisition-related settlements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term loan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note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Senior Secured Asset-Based revolving credit facility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on Senior Secured Asset-Based revolving credit facility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shares withheld for taxes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contingent consideration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 and retirement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and cash equivalents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year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year</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VALUATION AND QUALIFYING ACCOUNTS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2024, 2023, AND 2022</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24"/>
        <w:gridCol w:w="723"/>
        <w:gridCol w:w="727"/>
        <w:gridCol w:w="196"/>
        <w:gridCol w:w="646"/>
        <w:gridCol w:w="109"/>
        <w:gridCol w:w="109"/>
        <w:gridCol w:w="109"/>
        <w:gridCol w:w="109"/>
        <w:gridCol w:w="417"/>
        <w:gridCol w:w="1377"/>
        <w:gridCol w:w="232"/>
        <w:gridCol w:w="109"/>
        <w:gridCol w:w="109"/>
        <w:gridCol w:w="109"/>
        <w:gridCol w:w="319"/>
        <w:gridCol w:w="1150"/>
        <w:gridCol w:w="177"/>
        <w:gridCol w:w="109"/>
        <w:gridCol w:w="109"/>
        <w:gridCol w:w="109"/>
        <w:gridCol w:w="109"/>
        <w:gridCol w:w="109"/>
        <w:gridCol w:w="215"/>
        <w:gridCol w:w="445"/>
        <w:gridCol w:w="121"/>
        <w:gridCol w:w="109"/>
        <w:gridCol w:w="109"/>
        <w:gridCol w:w="109"/>
        <w:gridCol w:w="196"/>
        <w:gridCol w:w="646"/>
        <w:gridCol w:w="159"/>
      </w:tblGrid>
      <w:tr>
        <w:trPr/>
        <w:tc>
          <w:tcPr>
            <w:tcW w:w="8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Charged to (Released from) Operations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Write-Offs, Net of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br/>
              <w:t>Changes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w:t>
              <w:br/>
              <w:t>End</w:t>
              <w:br/>
              <w:t>of Period</w:t>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3" w:type="dxa"/>
            <w:gridSpan w:val="2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c>
          <w:tcPr>
            <w:tcW w:w="1328" w:type="dxa"/>
            <w:gridSpan w:val="6"/>
            <w:tcBorders/>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Allowances for Accounts Receivable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(33,323)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Valuation Allowance for Deferred Tax Assets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Uncollectible accounts written off, net of recoveries.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II- 1</w:t>
                      </w:r>
                    </w:p>
                  </w:txbxContent>
                </v:textbox>
                <w10:wrap type="none"/>
              </v:rect>
            </w:pict>
          </mc:Fallback>
        </mc:AlternateContent>
      </w:r>
    </w:p>
    <w:p>
      <w:pPr>
        <w:pStyle w:val="TextBody"/>
        <w:bidi w:val="0"/>
        <w:spacing w:before="0" w:after="0"/>
        <w:jc w:val="left"/>
        <w:rPr/>
      </w:pPr>
      <w:r>
        <w:rPr/>
        <w:drawing>
          <wp:inline distT="0" distB="0" distL="0" distR="0">
            <wp:extent cx="7762875" cy="1009650"/>
            <wp:effectExtent l="0" t="0" r="0" b="0"/>
            <wp:docPr id="10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 descr=""/>
                    <pic:cNvPicPr>
                      <a:picLocks noChangeAspect="1" noChangeArrowheads="1"/>
                    </pic:cNvPicPr>
                  </pic:nvPicPr>
                  <pic:blipFill>
                    <a:blip r:embed="rId65"/>
                    <a:stretch>
                      <a:fillRect/>
                    </a:stretch>
                  </pic:blipFill>
                  <pic:spPr bwMode="auto">
                    <a:xfrm>
                      <a:off x="0" y="0"/>
                      <a:ext cx="7762875" cy="1009650"/>
                    </a:xfrm>
                    <a:prstGeom prst="rect">
                      <a:avLst/>
                    </a:prstGeom>
                  </pic:spPr>
                </pic:pic>
              </a:graphicData>
            </a:graphic>
          </wp:inline>
        </w:drawing>
      </w:r>
    </w:p>
    <w:p>
      <w:pPr>
        <w:pStyle w:val="TextBody"/>
        <w:bidi w:val="0"/>
        <w:spacing w:lineRule="auto" w:line="240" w:before="0" w:after="0"/>
        <w:jc w:val="right"/>
        <w:rPr>
          <w:rFonts w:ascii="Calibri;sans-serif" w:hAnsi="Calibri;sans-serif"/>
          <w:b/>
          <w:color w:val="000000"/>
          <w:sz w:val="20"/>
        </w:rPr>
      </w:pPr>
      <w:r>
        <w:rPr>
          <w:rFonts w:ascii="Calibri;sans-serif" w:hAnsi="Calibri;sans-serif"/>
          <w:b/>
          <w:color w:val="000000"/>
          <w:sz w:val="20"/>
        </w:rPr>
        <w:t>Exhibit 19.1</w:t>
      </w:r>
    </w:p>
    <w:p>
      <w:pPr>
        <w:pStyle w:val="TextBody"/>
        <w:bidi w:val="0"/>
        <w:spacing w:before="0" w:after="0"/>
        <w:jc w:val="left"/>
        <w:rPr/>
      </w:pPr>
      <w:r>
        <w:rPr/>
      </w:r>
    </w:p>
    <w:p>
      <w:pPr>
        <w:pStyle w:val="TextBody"/>
        <w:bidi w:val="0"/>
        <w:spacing w:before="0" w:after="0"/>
        <w:jc w:val="center"/>
        <w:rPr/>
      </w:pPr>
      <w:r>
        <w:rPr/>
        <w:drawing>
          <wp:inline distT="0" distB="0" distL="0" distR="0">
            <wp:extent cx="7124700" cy="495300"/>
            <wp:effectExtent l="0" t="0" r="0" b="0"/>
            <wp:docPr id="10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 descr=""/>
                    <pic:cNvPicPr>
                      <a:picLocks noChangeAspect="1" noChangeArrowheads="1"/>
                    </pic:cNvPicPr>
                  </pic:nvPicPr>
                  <pic:blipFill>
                    <a:blip r:embed="rId66"/>
                    <a:stretch>
                      <a:fillRect/>
                    </a:stretch>
                  </pic:blipFill>
                  <pic:spPr bwMode="auto">
                    <a:xfrm>
                      <a:off x="0" y="0"/>
                      <a:ext cx="7124700" cy="495300"/>
                    </a:xfrm>
                    <a:prstGeom prst="rect">
                      <a:avLst/>
                    </a:prstGeom>
                  </pic:spPr>
                </pic:pic>
              </a:graphicData>
            </a:graphic>
          </wp:inline>
        </w:drawing>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300" w:before="56" w:after="283"/>
        <w:jc w:val="both"/>
        <w:rPr/>
      </w:pPr>
      <w:r>
        <w:rPr>
          <w:rFonts w:ascii="Calibri;sans-serif" w:hAnsi="Calibri;sans-serif"/>
          <w:b w:val="false"/>
          <w:color w:val="000000"/>
          <w:sz w:val="22"/>
        </w:rPr>
        <w:t xml:space="preserve">This memorandum sets forth the policies of Cross Country Healthcare, Inc. (the "Company") concerning restrictions on purchasing or selling the Common Stock of the Company (the "Common Stock") while in possession of "inside" information and the disclosure of such information and restrictions on transactions in the Common Stock. </w:t>
      </w:r>
      <w:r>
        <w:rPr>
          <w:rFonts w:ascii="Calibri;sans-serif" w:hAnsi="Calibri;sans-serif"/>
          <w:b/>
          <w:color w:val="000000"/>
          <w:sz w:val="22"/>
        </w:rPr>
        <w:t xml:space="preserve">All employees and non- employee directors of the Company and its subsidiaries and family members who reside in the same household with, or whose investment decisions are managed by, such employees or non-employee directors are subject to the policies set forth herein. </w:t>
      </w:r>
      <w:r>
        <w:rPr>
          <w:rFonts w:ascii="Calibri;sans-serif" w:hAnsi="Calibri;sans-serif"/>
          <w:b w:val="false"/>
          <w:color w:val="000000"/>
          <w:sz w:val="22"/>
          <w:u w:val="single"/>
        </w:rPr>
        <w:t>Please read this memorandum carefully, your electronic signature indicates your understanding and</w:t>
      </w:r>
      <w:r>
        <w:rPr>
          <w:color w:val="000000"/>
        </w:rPr>
        <w:t xml:space="preserve"> </w:t>
      </w:r>
      <w:r>
        <w:rPr>
          <w:rFonts w:ascii="Calibri;sans-serif" w:hAnsi="Calibri;sans-serif"/>
          <w:b w:val="false"/>
          <w:color w:val="000000"/>
          <w:sz w:val="22"/>
          <w:u w:val="single"/>
        </w:rPr>
        <w:t>agreement.</w:t>
      </w:r>
    </w:p>
    <w:p>
      <w:pPr>
        <w:pStyle w:val="TextBody"/>
        <w:bidi w:val="0"/>
        <w:spacing w:before="5" w:after="283"/>
        <w:jc w:val="left"/>
        <w:rPr/>
      </w:pPr>
      <w:r>
        <w:rPr/>
      </w:r>
    </w:p>
    <w:p>
      <w:pPr>
        <w:pStyle w:val="TextBody"/>
        <w:bidi w:val="0"/>
        <w:spacing w:lineRule="auto" w:line="240" w:before="57" w:after="283"/>
        <w:ind w:left="0" w:right="0" w:hanging="720"/>
        <w:jc w:val="left"/>
        <w:rPr/>
      </w:pPr>
      <w:r>
        <w:rPr>
          <w:rFonts w:ascii="Calibri;sans-serif" w:hAnsi="Calibri;sans-serif"/>
          <w:b/>
          <w:color w:val="000000"/>
          <w:sz w:val="22"/>
        </w:rPr>
        <w:t>I.</w:t>
      </w:r>
      <w:r>
        <w:rPr>
          <w:rFonts w:ascii="Calibri;sans-serif" w:hAnsi="Calibri;sans-serif"/>
          <w:b/>
          <w:color w:val="000000"/>
          <w:sz w:val="22"/>
          <w:u w:val="single"/>
        </w:rPr>
        <w:t>Prohibition on Use or Disclosure of Inside Information</w:t>
      </w:r>
    </w:p>
    <w:p>
      <w:pPr>
        <w:pStyle w:val="TextBody"/>
        <w:bidi w:val="0"/>
        <w:spacing w:before="5" w:after="283"/>
        <w:jc w:val="left"/>
        <w:rPr/>
      </w:pPr>
      <w:r>
        <w:rPr/>
      </w:r>
    </w:p>
    <w:p>
      <w:pPr>
        <w:pStyle w:val="TextBody"/>
        <w:bidi w:val="0"/>
        <w:spacing w:lineRule="auto" w:line="240" w:before="56" w:after="283"/>
        <w:ind w:left="0" w:right="0" w:firstLine="1620"/>
        <w:jc w:val="left"/>
        <w:rPr>
          <w:rFonts w:ascii="Calibri;sans-serif" w:hAnsi="Calibri;sans-serif"/>
          <w:b w:val="false"/>
          <w:color w:val="000000"/>
          <w:sz w:val="22"/>
        </w:rPr>
      </w:pPr>
      <w:r>
        <w:rPr>
          <w:rFonts w:ascii="Calibri;sans-serif" w:hAnsi="Calibri;sans-serif"/>
          <w:b w:val="false"/>
          <w:color w:val="000000"/>
          <w:sz w:val="22"/>
        </w:rPr>
        <w:t>All employees and non-employee directors of the Company and its subsidiaries are advised that the Company has a strict policy prohibiting employees and non-employee directors of the Company and its subsidiaries from:</w:t>
      </w:r>
    </w:p>
    <w:p>
      <w:pPr>
        <w:pStyle w:val="TextBody"/>
        <w:bidi w:val="0"/>
        <w:spacing w:before="11" w:after="283"/>
        <w:jc w:val="left"/>
        <w:rPr/>
      </w:pPr>
      <w:r>
        <w:rPr/>
      </w:r>
    </w:p>
    <w:p>
      <w:pPr>
        <w:pStyle w:val="TextBody"/>
        <w:bidi w:val="0"/>
        <w:spacing w:lineRule="auto" w:line="240" w:before="0" w:after="0"/>
        <w:ind w:left="0" w:right="0" w:hanging="410"/>
        <w:jc w:val="left"/>
        <w:rPr>
          <w:rFonts w:ascii="Calibri;sans-serif" w:hAnsi="Calibri;sans-serif"/>
          <w:b w:val="false"/>
          <w:color w:val="000000"/>
          <w:sz w:val="22"/>
        </w:rPr>
      </w:pPr>
      <w:r>
        <w:rPr>
          <w:rFonts w:ascii="Calibri;sans-serif" w:hAnsi="Calibri;sans-serif"/>
          <w:b w:val="false"/>
          <w:color w:val="000000"/>
          <w:sz w:val="22"/>
        </w:rPr>
        <w:t>A.buying or selling, or participating in a decision to buy or sell, the Company's</w:t>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Common Stock while in possession of material non-public information (sometimes called "inside" information); or</w:t>
      </w:r>
    </w:p>
    <w:p>
      <w:pPr>
        <w:pStyle w:val="TextBody"/>
        <w:bidi w:val="0"/>
        <w:spacing w:before="0" w:after="0"/>
        <w:jc w:val="left"/>
        <w:rPr/>
      </w:pPr>
      <w:r>
        <w:rPr/>
      </w:r>
    </w:p>
    <w:p>
      <w:pPr>
        <w:pStyle w:val="TextBody"/>
        <w:bidi w:val="0"/>
        <w:spacing w:lineRule="auto" w:line="240" w:before="0" w:after="0"/>
        <w:ind w:left="0" w:right="0" w:hanging="410"/>
        <w:jc w:val="left"/>
        <w:rPr>
          <w:rFonts w:ascii="Calibri;sans-serif" w:hAnsi="Calibri;sans-serif"/>
          <w:b w:val="false"/>
          <w:color w:val="000000"/>
          <w:sz w:val="22"/>
        </w:rPr>
      </w:pPr>
      <w:r>
        <w:rPr>
          <w:rFonts w:ascii="Calibri;sans-serif" w:hAnsi="Calibri;sans-serif"/>
          <w:b w:val="false"/>
          <w:color w:val="000000"/>
          <w:sz w:val="22"/>
        </w:rPr>
        <w:t>B.disclosing inside information to others (sometimes called "tipping").</w:t>
      </w:r>
    </w:p>
    <w:p>
      <w:pPr>
        <w:pStyle w:val="TextBody"/>
        <w:bidi w:val="0"/>
        <w:spacing w:before="1" w:after="283"/>
        <w:jc w:val="left"/>
        <w:rPr/>
      </w:pPr>
      <w:r>
        <w:rPr/>
      </w:r>
    </w:p>
    <w:p>
      <w:pPr>
        <w:pStyle w:val="TextBody"/>
        <w:bidi w:val="0"/>
        <w:spacing w:lineRule="auto" w:line="240" w:before="0" w:after="0"/>
        <w:ind w:left="0" w:right="0" w:firstLine="1351"/>
        <w:jc w:val="both"/>
        <w:rPr/>
      </w:pPr>
      <w:r>
        <w:rPr>
          <w:rFonts w:ascii="Calibri;sans-serif" w:hAnsi="Calibri;sans-serif"/>
          <w:b w:val="false"/>
          <w:color w:val="000000"/>
          <w:sz w:val="22"/>
        </w:rPr>
        <w:t xml:space="preserve">This policy is for the protection of the Company, its subsidiaries and their respective employees and non- employee directors. It is also designed to assist personnel in complying with applicable requirements of Federal law. </w:t>
      </w:r>
      <w:r>
        <w:rPr>
          <w:rFonts w:ascii="Calibri;sans-serif" w:hAnsi="Calibri;sans-serif"/>
          <w:b/>
          <w:color w:val="000000"/>
          <w:sz w:val="22"/>
        </w:rPr>
        <w:t>Any person who violates the Federal prohibitions on the use of material inside information in securities transactions or the communication of such information to others who use it in securities transactions may suffer severe consequences, including possible civil or criminal liability, injunctions, disgorgement of profits made or losses avoided, substantial penalties and exposure to private lawsuits.</w:t>
      </w:r>
    </w:p>
    <w:p>
      <w:pPr>
        <w:pStyle w:val="TextBody"/>
        <w:bidi w:val="0"/>
        <w:spacing w:before="12" w:after="283"/>
        <w:jc w:val="left"/>
        <w:rPr/>
      </w:pPr>
      <w:r>
        <w:rPr/>
      </w:r>
    </w:p>
    <w:p>
      <w:pPr>
        <w:pStyle w:val="TextBody"/>
        <w:bidi w:val="0"/>
        <w:spacing w:lineRule="auto" w:line="240" w:before="0" w:after="0"/>
        <w:ind w:left="0" w:right="0" w:firstLine="1260"/>
        <w:jc w:val="both"/>
        <w:rPr>
          <w:rFonts w:ascii="Calibri;sans-serif" w:hAnsi="Calibri;sans-serif"/>
          <w:b w:val="false"/>
          <w:color w:val="000000"/>
          <w:sz w:val="22"/>
        </w:rPr>
      </w:pPr>
      <w:r>
        <w:rPr>
          <w:rFonts w:ascii="Calibri;sans-serif" w:hAnsi="Calibri;sans-serif"/>
          <w:b w:val="false"/>
          <w:color w:val="000000"/>
          <w:sz w:val="22"/>
        </w:rPr>
        <w:t>Information concerning the Company or its subsidiaries is "inside" or "nonpublic" for purposes of this policy if it has not been made generally available to the public for at least two full days. Information would be deemed generally available to the public if it has been included in a filing made by the Company with the Securities and Exchange Commission or disclosed in a press release.</w:t>
      </w:r>
    </w:p>
    <w:p>
      <w:pPr>
        <w:pStyle w:val="TextBody"/>
        <w:bidi w:val="0"/>
        <w:spacing w:before="1" w:after="283"/>
        <w:jc w:val="left"/>
        <w:rPr/>
      </w:pPr>
      <w:r>
        <w:rPr/>
      </w:r>
    </w:p>
    <w:p>
      <w:pPr>
        <w:pStyle w:val="TextBody"/>
        <w:bidi w:val="0"/>
        <w:spacing w:lineRule="auto" w:line="240" w:before="0" w:after="0"/>
        <w:ind w:left="0" w:right="0" w:firstLine="1260"/>
        <w:jc w:val="both"/>
        <w:rPr>
          <w:rFonts w:ascii="Calibri;sans-serif" w:hAnsi="Calibri;sans-serif"/>
          <w:b w:val="false"/>
          <w:color w:val="000000"/>
          <w:sz w:val="22"/>
        </w:rPr>
      </w:pPr>
      <w:r>
        <w:rPr>
          <w:rFonts w:ascii="Calibri;sans-serif" w:hAnsi="Calibri;sans-serif"/>
          <w:b w:val="false"/>
          <w:color w:val="000000"/>
          <w:sz w:val="22"/>
        </w:rPr>
        <w:t>Inside information is "material" if it relates to the Company and its subsidiaries or their respective businesses, financial condition or prospects or the Company's Common Stock and its dissemination would be likely to affect the market price of the Company's Common Stock or if there is a substantial likelihood that a reasonable investor would consider it important in determining whether to buy, sell or hold the Company's Common Stock. Material inside information can also be related to new services, customers, sales, etc. Information concerning any of the following will generally be considered material:</w:t>
      </w:r>
    </w:p>
    <w:p>
      <w:pPr>
        <w:pStyle w:val="TextBody"/>
        <w:bidi w:val="0"/>
        <w:spacing w:before="0" w:after="0"/>
        <w:jc w:val="both"/>
        <w:rPr/>
      </w:pPr>
      <w:r>
        <w:rPr/>
      </w:r>
    </w:p>
    <w:p>
      <w:pPr>
        <w:pStyle w:val="TextBody"/>
        <w:bidi w:val="0"/>
        <w:spacing w:lineRule="auto" w:line="240"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(a)earnings information;</w:t>
      </w:r>
    </w:p>
    <w:p>
      <w:pPr>
        <w:pStyle w:val="TextBody"/>
        <w:bidi w:val="0"/>
        <w:spacing w:lineRule="auto" w:line="240"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(b)financial forecasts, especially estimates of earnings;</w:t>
      </w:r>
    </w:p>
    <w:p>
      <w:pPr>
        <w:pStyle w:val="TextBody"/>
        <w:bidi w:val="0"/>
        <w:spacing w:lineRule="auto" w:line="240"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(c)changes in previously disclosed financial information;</w:t>
      </w:r>
    </w:p>
    <w:p>
      <w:pPr>
        <w:pStyle w:val="TextBody"/>
        <w:bidi w:val="0"/>
        <w:spacing w:lineRule="auto" w:line="240"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(d)joint ventures, mergers or acquisitions of other companies and negotiations with respect thereto;</w:t>
      </w:r>
    </w:p>
    <w:p>
      <w:pPr>
        <w:pStyle w:val="TextBody"/>
        <w:bidi w:val="0"/>
        <w:spacing w:lineRule="auto" w:line="240"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(e)proposed issuances of new securities or repurchases of Common Stock by the Company;</w:t>
      </w:r>
    </w:p>
    <w:p>
      <w:pPr>
        <w:pStyle w:val="TextBody"/>
        <w:bidi w:val="0"/>
        <w:spacing w:lineRule="auto" w:line="240"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(f)significant changes in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925830"/>
                <wp:effectExtent l="0" t="0" r="0" b="0"/>
                <wp:wrapNone/>
                <wp:docPr id="106" name="Frame102"/>
                <a:graphic xmlns:a="http://schemas.openxmlformats.org/drawingml/2006/main">
                  <a:graphicData uri="http://schemas.microsoft.com/office/word/2010/wordprocessingShape">
                    <wps:wsp>
                      <wps:cNvSpPr txBox="1"/>
                      <wps:spPr>
                        <a:xfrm>
                          <a:off x="0" y="0"/>
                          <a:ext cx="6480175" cy="925830"/>
                        </a:xfrm>
                        <a:prstGeom prst="rect"/>
                        <a:solidFill>
                          <a:srgbClr val="FFFFFF"/>
                        </a:solidFill>
                      </wps:spPr>
                      <wps:txbx>
                        <w:txbxContent>
                          <w:p>
                            <w:pPr>
                              <w:pStyle w:val="TextBody"/>
                              <w:bidi w:val="0"/>
                              <w:spacing w:before="0" w:after="0"/>
                              <w:jc w:val="left"/>
                              <w:rPr/>
                            </w:pPr>
                            <w:r>
                              <w:rPr/>
                              <w:drawing>
                                <wp:inline distT="0" distB="0" distL="0" distR="0">
                                  <wp:extent cx="7772400" cy="266700"/>
                                  <wp:effectExtent l="0" t="0" r="0" b="0"/>
                                  <wp:docPr id="10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 descr=""/>
                                          <pic:cNvPicPr>
                                            <a:picLocks noChangeAspect="1" noChangeArrowheads="1"/>
                                          </pic:cNvPicPr>
                                        </pic:nvPicPr>
                                        <pic:blipFill>
                                          <a:blip r:embed="rId67"/>
                                          <a:stretch>
                                            <a:fillRect/>
                                          </a:stretch>
                                        </pic:blipFill>
                                        <pic:spPr bwMode="auto">
                                          <a:xfrm>
                                            <a:off x="0" y="0"/>
                                            <a:ext cx="7772400" cy="266700"/>
                                          </a:xfrm>
                                          <a:prstGeom prst="rect">
                                            <a:avLst/>
                                          </a:prstGeom>
                                        </pic:spPr>
                                      </pic:pic>
                                    </a:graphicData>
                                  </a:graphic>
                                </wp:inline>
                              </w:drawing>
                            </w:r>
                            <w:r>
                              <w:br w:type="page"/>
                            </w:r>
                          </w:p>
                          <w:tbl>
                            <w:tblPr>
                              <w:tblW w:w="2160" w:type="dxa"/>
                              <w:jc w:val="left"/>
                              <w:tblInd w:w="0" w:type="dxa"/>
                              <w:tblLayout w:type="fixed"/>
                              <w:tblCellMar>
                                <w:top w:w="28" w:type="dxa"/>
                                <w:left w:w="28" w:type="dxa"/>
                                <w:bottom w:w="28" w:type="dxa"/>
                                <w:right w:w="28" w:type="dxa"/>
                              </w:tblCellMar>
                            </w:tblPr>
                            <w:tblGrid>
                              <w:gridCol w:w="691"/>
                              <w:gridCol w:w="606"/>
                              <w:gridCol w:w="863"/>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Calibri;sans-serif" w:hAnsi="Calibri;sans-serif"/>
                                      <w:b w:val="false"/>
                                      <w:color w:val="FFFFFF"/>
                                      <w:sz w:val="20"/>
                                    </w:rPr>
                                    <w:t xml:space="preserve">Page </w:t>
                                  </w:r>
                                  <w:r>
                                    <w:rPr>
                                      <w:rFonts w:ascii="Calibri;sans-serif" w:hAnsi="Calibri;sans-serif"/>
                                      <w:b/>
                                      <w:color w:val="FFFFFF"/>
                                      <w:sz w:val="20"/>
                                    </w:rPr>
                                    <w:t xml:space="preserve">1 </w:t>
                                  </w:r>
                                  <w:r>
                                    <w:rPr>
                                      <w:rFonts w:ascii="Calibri;sans-serif" w:hAnsi="Calibri;sans-serif"/>
                                      <w:b w:val="false"/>
                                      <w:color w:val="FFFFFF"/>
                                      <w:sz w:val="20"/>
                                    </w:rPr>
                                    <w:t xml:space="preserve">of </w:t>
                                  </w:r>
                                  <w:r>
                                    <w:rPr>
                                      <w:rFonts w:ascii="Calibri;sans-serif" w:hAnsi="Calibri;sans-serif"/>
                                      <w:b/>
                                      <w:color w:val="FFFFFF"/>
                                      <w:sz w:val="20"/>
                                    </w:rPr>
                                    <w:t>#NUM_PAGES#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7772400" cy="266700"/>
                            <wp:effectExtent l="0" t="0" r="0" b="0"/>
                            <wp:docPr id="10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 descr=""/>
                                    <pic:cNvPicPr>
                                      <a:picLocks noChangeAspect="1" noChangeArrowheads="1"/>
                                    </pic:cNvPicPr>
                                  </pic:nvPicPr>
                                  <pic:blipFill>
                                    <a:blip r:embed="rId68"/>
                                    <a:stretch>
                                      <a:fillRect/>
                                    </a:stretch>
                                  </pic:blipFill>
                                  <pic:spPr bwMode="auto">
                                    <a:xfrm>
                                      <a:off x="0" y="0"/>
                                      <a:ext cx="7772400" cy="266700"/>
                                    </a:xfrm>
                                    <a:prstGeom prst="rect">
                                      <a:avLst/>
                                    </a:prstGeom>
                                  </pic:spPr>
                                </pic:pic>
                              </a:graphicData>
                            </a:graphic>
                          </wp:inline>
                        </w:drawing>
                      </w:r>
                    </w:p>
                    <w:tbl>
                      <w:tblPr>
                        <w:tblW w:w="2160" w:type="dxa"/>
                        <w:jc w:val="left"/>
                        <w:tblInd w:w="0" w:type="dxa"/>
                        <w:tblLayout w:type="fixed"/>
                        <w:tblCellMar>
                          <w:top w:w="28" w:type="dxa"/>
                          <w:left w:w="28" w:type="dxa"/>
                          <w:bottom w:w="28" w:type="dxa"/>
                          <w:right w:w="28" w:type="dxa"/>
                        </w:tblCellMar>
                      </w:tblPr>
                      <w:tblGrid>
                        <w:gridCol w:w="691"/>
                        <w:gridCol w:w="606"/>
                        <w:gridCol w:w="863"/>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Calibri;sans-serif" w:hAnsi="Calibri;sans-serif"/>
                                <w:b w:val="false"/>
                                <w:color w:val="FFFFFF"/>
                                <w:sz w:val="20"/>
                              </w:rPr>
                              <w:t xml:space="preserve">Page </w:t>
                            </w:r>
                            <w:r>
                              <w:rPr>
                                <w:rFonts w:ascii="Calibri;sans-serif" w:hAnsi="Calibri;sans-serif"/>
                                <w:b/>
                                <w:color w:val="FFFFFF"/>
                                <w:sz w:val="20"/>
                              </w:rPr>
                              <w:t xml:space="preserve">1 </w:t>
                            </w:r>
                            <w:r>
                              <w:rPr>
                                <w:rFonts w:ascii="Calibri;sans-serif" w:hAnsi="Calibri;sans-serif"/>
                                <w:b w:val="false"/>
                                <w:color w:val="FFFFFF"/>
                                <w:sz w:val="20"/>
                              </w:rPr>
                              <w:t xml:space="preserve">of </w:t>
                            </w:r>
                            <w:r>
                              <w:rPr>
                                <w:rFonts w:ascii="Calibri;sans-serif" w:hAnsi="Calibri;sans-serif"/>
                                <w:b/>
                                <w:color w:val="FFFFFF"/>
                                <w:sz w:val="20"/>
                              </w:rPr>
                              <w:t>#NUM_PAGES#</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(g)significant increases or decreases in customers;</w:t>
      </w:r>
    </w:p>
    <w:p>
      <w:pPr>
        <w:pStyle w:val="TextBody"/>
        <w:bidi w:val="0"/>
        <w:spacing w:lineRule="auto" w:line="240"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(h)extraordinary borrowings;</w:t>
      </w:r>
    </w:p>
    <w:p>
      <w:pPr>
        <w:pStyle w:val="TextBody"/>
        <w:bidi w:val="0"/>
        <w:spacing w:lineRule="auto" w:line="240"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(i)the commencement of major litigation or governmental investigations;</w:t>
      </w:r>
    </w:p>
    <w:p>
      <w:pPr>
        <w:pStyle w:val="TextBody"/>
        <w:bidi w:val="0"/>
        <w:spacing w:lineRule="auto" w:line="240"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(j)financial liquidity problems;</w:t>
      </w:r>
    </w:p>
    <w:p>
      <w:pPr>
        <w:pStyle w:val="TextBody"/>
        <w:bidi w:val="0"/>
        <w:spacing w:lineRule="auto" w:line="240"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(k)significant changes in management; and</w:t>
      </w:r>
    </w:p>
    <w:p>
      <w:pPr>
        <w:pStyle w:val="TextBody"/>
        <w:bidi w:val="0"/>
        <w:spacing w:lineRule="auto" w:line="240"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(l)declarations of stock splits, stock dividends and cash dividends.</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When in doubt, information concerning the Company or its subsidiaries should be presumed to be material and not to have been disclosed to the public.</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Calibri;sans-serif" w:hAnsi="Calibri;sans-serif"/>
          <w:b/>
          <w:color w:val="000000"/>
          <w:sz w:val="22"/>
        </w:rPr>
        <w:t>II.</w:t>
      </w:r>
      <w:r>
        <w:rPr>
          <w:rFonts w:ascii="Calibri;sans-serif" w:hAnsi="Calibri;sans-serif"/>
          <w:b/>
          <w:color w:val="000000"/>
          <w:sz w:val="22"/>
          <w:u w:val="single"/>
        </w:rPr>
        <w:t>Restrictions on Transactions in Company Common Stock</w:t>
      </w:r>
    </w:p>
    <w:p>
      <w:pPr>
        <w:pStyle w:val="TextBody"/>
        <w:bidi w:val="0"/>
        <w:spacing w:before="3" w:after="283"/>
        <w:jc w:val="left"/>
        <w:rPr/>
      </w:pPr>
      <w:r>
        <w:rPr/>
      </w:r>
    </w:p>
    <w:p>
      <w:pPr>
        <w:pStyle w:val="TextBody"/>
        <w:bidi w:val="0"/>
        <w:spacing w:lineRule="auto" w:line="240" w:before="56" w:after="283"/>
        <w:jc w:val="left"/>
        <w:rPr>
          <w:rFonts w:ascii="Calibri;sans-serif" w:hAnsi="Calibri;sans-serif"/>
          <w:b w:val="false"/>
          <w:color w:val="000000"/>
          <w:sz w:val="22"/>
        </w:rPr>
      </w:pPr>
      <w:r>
        <w:rPr>
          <w:rFonts w:ascii="Calibri;sans-serif" w:hAnsi="Calibri;sans-serif"/>
          <w:b w:val="false"/>
          <w:color w:val="000000"/>
          <w:sz w:val="22"/>
        </w:rPr>
        <w:t>The Company has adopted the following policies with respect to transactions by</w:t>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employees and non-employee directors of the Company and its subsidiaries in the Company's Common Stock:</w:t>
      </w:r>
    </w:p>
    <w:p>
      <w:pPr>
        <w:pStyle w:val="TextBody"/>
        <w:bidi w:val="0"/>
        <w:spacing w:before="1" w:after="283"/>
        <w:jc w:val="left"/>
        <w:rPr/>
      </w:pPr>
      <w:r>
        <w:rPr/>
      </w:r>
    </w:p>
    <w:p>
      <w:pPr>
        <w:pStyle w:val="TextBody"/>
        <w:bidi w:val="0"/>
        <w:spacing w:lineRule="auto" w:line="240" w:before="0" w:after="0"/>
        <w:ind w:left="0" w:right="0" w:firstLine="1440"/>
        <w:jc w:val="both"/>
        <w:rPr>
          <w:rFonts w:ascii="Calibri;sans-serif" w:hAnsi="Calibri;sans-serif"/>
          <w:b w:val="false"/>
          <w:color w:val="000000"/>
          <w:sz w:val="22"/>
        </w:rPr>
      </w:pPr>
      <w:r>
        <w:rPr>
          <w:rFonts w:ascii="Calibri;sans-serif" w:hAnsi="Calibri;sans-serif"/>
          <w:b w:val="false"/>
          <w:color w:val="000000"/>
          <w:sz w:val="22"/>
        </w:rPr>
        <w:t>(i)Employees and non-employee directors may not buy or sell the Company’s Common Stock within the period from fifteen days prior to the end of each fiscal quarter (i.e., March 31, June 30, September 30 and December 31) until the second day after the announcement of the earnings of the Company for such quarter.</w:t>
      </w:r>
    </w:p>
    <w:p>
      <w:pPr>
        <w:pStyle w:val="TextBody"/>
        <w:bidi w:val="0"/>
        <w:spacing w:before="1" w:after="283"/>
        <w:jc w:val="left"/>
        <w:rPr/>
      </w:pPr>
      <w:r>
        <w:rPr/>
      </w:r>
    </w:p>
    <w:p>
      <w:pPr>
        <w:pStyle w:val="TextBody"/>
        <w:bidi w:val="0"/>
        <w:spacing w:lineRule="auto" w:line="240" w:before="0" w:after="0"/>
        <w:ind w:left="0" w:right="0" w:firstLine="1440"/>
        <w:jc w:val="both"/>
        <w:rPr>
          <w:rFonts w:ascii="Calibri;sans-serif" w:hAnsi="Calibri;sans-serif"/>
          <w:b w:val="false"/>
          <w:color w:val="000000"/>
          <w:sz w:val="22"/>
        </w:rPr>
      </w:pPr>
      <w:r>
        <w:rPr>
          <w:rFonts w:ascii="Calibri;sans-serif" w:hAnsi="Calibri;sans-serif"/>
          <w:b w:val="false"/>
          <w:color w:val="000000"/>
          <w:sz w:val="22"/>
        </w:rPr>
        <w:t>(ii)Employees and non-employee directors may not buy or sell the Company's Common Stock at any time while in possession of material, non-public information.</w:t>
      </w:r>
    </w:p>
    <w:p>
      <w:pPr>
        <w:pStyle w:val="TextBody"/>
        <w:bidi w:val="0"/>
        <w:spacing w:before="11" w:after="283"/>
        <w:jc w:val="left"/>
        <w:rPr/>
      </w:pPr>
      <w:r>
        <w:rPr/>
      </w:r>
    </w:p>
    <w:p>
      <w:pPr>
        <w:pStyle w:val="TextBody"/>
        <w:bidi w:val="0"/>
        <w:spacing w:lineRule="auto" w:line="240" w:before="0" w:after="0"/>
        <w:ind w:left="0" w:right="0" w:firstLine="1440"/>
        <w:jc w:val="both"/>
        <w:rPr>
          <w:rFonts w:ascii="Calibri;sans-serif" w:hAnsi="Calibri;sans-serif"/>
          <w:b w:val="false"/>
          <w:color w:val="000000"/>
          <w:sz w:val="22"/>
        </w:rPr>
      </w:pPr>
      <w:r>
        <w:rPr>
          <w:rFonts w:ascii="Calibri;sans-serif" w:hAnsi="Calibri;sans-serif"/>
          <w:b w:val="false"/>
          <w:color w:val="000000"/>
          <w:sz w:val="22"/>
        </w:rPr>
        <w:t>(iii)Employees and non-employee directors may not buy or sell or deal in puts, calls, transferable options or other speculative rights or obligations with respect to equity securities of the Company.</w:t>
      </w:r>
    </w:p>
    <w:p>
      <w:pPr>
        <w:pStyle w:val="TextBody"/>
        <w:bidi w:val="0"/>
        <w:spacing w:before="1" w:after="283"/>
        <w:jc w:val="left"/>
        <w:rPr/>
      </w:pPr>
      <w:r>
        <w:rPr/>
      </w:r>
    </w:p>
    <w:p>
      <w:pPr>
        <w:pStyle w:val="TextBody"/>
        <w:bidi w:val="0"/>
        <w:spacing w:lineRule="auto" w:line="240" w:before="0" w:after="0"/>
        <w:ind w:left="0" w:right="0" w:firstLine="1620"/>
        <w:jc w:val="both"/>
        <w:rPr/>
      </w:pPr>
      <w:r>
        <w:rPr>
          <w:rFonts w:ascii="Calibri;sans-serif" w:hAnsi="Calibri;sans-serif"/>
          <w:b w:val="false"/>
          <w:color w:val="000000"/>
          <w:sz w:val="22"/>
        </w:rPr>
        <w:t xml:space="preserve">To facilitate compliance with the foregoing policies, prior to any purchase or sale of Common Stock, employees and non-employee directors should give notice to the Company’s General Counsel of their intent to purchase or sell Cross Country Healthcare, Inc. securities. Prior to any exercise of options and/or subsequent sale thereafter of Cross Country Healthcare, Inc. securities an employee or non-employee director must complete a </w:t>
      </w:r>
      <w:r>
        <w:rPr>
          <w:rFonts w:ascii="Calibri;sans-serif" w:hAnsi="Calibri;sans-serif"/>
          <w:b w:val="false"/>
          <w:i/>
          <w:color w:val="000000"/>
          <w:sz w:val="22"/>
        </w:rPr>
        <w:t>Prior Transaction Notification Form</w:t>
      </w:r>
      <w:r>
        <w:rPr>
          <w:rFonts w:ascii="Calibri;sans-serif" w:hAnsi="Calibri;sans-serif"/>
          <w:b w:val="false"/>
          <w:color w:val="000000"/>
          <w:sz w:val="22"/>
        </w:rPr>
        <w:t>. The completed form must be sent to the General Counsel at least 48 hours prior to the intended transaction date.</w:t>
      </w:r>
    </w:p>
    <w:p>
      <w:pPr>
        <w:pStyle w:val="TextBody"/>
        <w:bidi w:val="0"/>
        <w:spacing w:before="11" w:after="283"/>
        <w:jc w:val="left"/>
        <w:rPr/>
      </w:pPr>
      <w:r>
        <w:rPr/>
      </w:r>
    </w:p>
    <w:p>
      <w:pPr>
        <w:pStyle w:val="TextBody"/>
        <w:bidi w:val="0"/>
        <w:spacing w:lineRule="auto" w:line="240" w:before="0" w:after="0"/>
        <w:ind w:left="0" w:right="0" w:firstLine="1620"/>
        <w:jc w:val="left"/>
        <w:rPr>
          <w:rFonts w:ascii="Calibri;sans-serif" w:hAnsi="Calibri;sans-serif"/>
          <w:b w:val="false"/>
          <w:color w:val="000000"/>
          <w:sz w:val="22"/>
        </w:rPr>
      </w:pPr>
      <w:r>
        <w:rPr>
          <w:rFonts w:ascii="Calibri;sans-serif" w:hAnsi="Calibri;sans-serif"/>
          <w:b w:val="false"/>
          <w:color w:val="000000"/>
          <w:sz w:val="22"/>
        </w:rPr>
        <w:t>You may either fax or email the form. If you fax the form, it must reflect your signature. Fax in confidence to 800-565-9774 Attention: General Counsel. If you email the form, send to Cross Country Healthcare, Inc.’s General Counsel at sball@crosscountry.com.</w:t>
      </w:r>
    </w:p>
    <w:p>
      <w:pPr>
        <w:pStyle w:val="TextBody"/>
        <w:bidi w:val="0"/>
        <w:spacing w:before="1" w:after="283"/>
        <w:jc w:val="left"/>
        <w:rPr/>
      </w:pPr>
      <w:r>
        <w:rPr/>
      </w:r>
    </w:p>
    <w:p>
      <w:pPr>
        <w:pStyle w:val="TextBody"/>
        <w:bidi w:val="0"/>
        <w:spacing w:lineRule="auto" w:line="240" w:before="0" w:after="0"/>
        <w:jc w:val="left"/>
        <w:rPr/>
      </w:pPr>
      <w:r>
        <w:rPr>
          <w:rFonts w:ascii="Calibri;sans-serif" w:hAnsi="Calibri;sans-serif"/>
          <w:b/>
          <w:color w:val="000000"/>
          <w:sz w:val="22"/>
        </w:rPr>
        <w:t xml:space="preserve">Note: </w:t>
      </w:r>
      <w:r>
        <w:rPr>
          <w:rFonts w:ascii="Calibri;sans-serif" w:hAnsi="Calibri;sans-serif"/>
          <w:b w:val="false"/>
          <w:color w:val="000000"/>
          <w:sz w:val="22"/>
        </w:rPr>
        <w:t xml:space="preserve">To change or cancel information submitted on a </w:t>
      </w:r>
      <w:r>
        <w:rPr>
          <w:rFonts w:ascii="Calibri;sans-serif" w:hAnsi="Calibri;sans-serif"/>
          <w:b w:val="false"/>
          <w:i/>
          <w:color w:val="000000"/>
          <w:sz w:val="22"/>
        </w:rPr>
        <w:t>Prior Transaction Notification Form</w:t>
      </w:r>
      <w:r>
        <w:rPr>
          <w:rFonts w:ascii="Calibri;sans-serif" w:hAnsi="Calibri;sans-serif"/>
          <w:b w:val="false"/>
          <w:color w:val="000000"/>
          <w:sz w:val="22"/>
        </w:rPr>
        <w:t>, fill out a</w:t>
      </w:r>
    </w:p>
    <w:p>
      <w:pPr>
        <w:pStyle w:val="TextBody"/>
        <w:bidi w:val="0"/>
        <w:spacing w:lineRule="auto" w:line="240" w:before="1" w:after="283"/>
        <w:jc w:val="left"/>
        <w:rPr/>
      </w:pPr>
      <w:r>
        <w:rPr>
          <w:rFonts w:ascii="Calibri;sans-serif" w:hAnsi="Calibri;sans-serif"/>
          <w:b w:val="false"/>
          <w:i/>
          <w:color w:val="000000"/>
          <w:sz w:val="22"/>
        </w:rPr>
        <w:t xml:space="preserve">Change or Cancel Notification Form </w:t>
      </w:r>
      <w:r>
        <w:rPr>
          <w:rFonts w:ascii="Calibri;sans-serif" w:hAnsi="Calibri;sans-serif"/>
          <w:b w:val="false"/>
          <w:color w:val="000000"/>
          <w:sz w:val="22"/>
        </w:rPr>
        <w:t>and forward to the Company’s General Counsel immediately.</w:t>
      </w:r>
    </w:p>
    <w:p>
      <w:pPr>
        <w:pStyle w:val="TextBody"/>
        <w:bidi w:val="0"/>
        <w:spacing w:before="0" w:after="0"/>
        <w:jc w:val="left"/>
        <w:rPr/>
      </w:pPr>
      <w:r>
        <w:rPr/>
      </w:r>
    </w:p>
    <w:p>
      <w:pPr>
        <w:pStyle w:val="TextBody"/>
        <w:bidi w:val="0"/>
        <w:spacing w:lineRule="auto" w:line="240" w:before="0" w:after="0"/>
        <w:ind w:left="0" w:right="0" w:firstLine="1620"/>
        <w:jc w:val="left"/>
        <w:rPr/>
      </w:pPr>
      <w:r>
        <w:rPr>
          <w:rFonts w:ascii="Calibri;sans-serif" w:hAnsi="Calibri;sans-serif"/>
          <w:b w:val="false"/>
          <w:color w:val="000000"/>
          <w:sz w:val="22"/>
        </w:rPr>
        <w:t xml:space="preserve">No later than 1 day after any exercise, purchase or sale of Cross Country Healthcare, Inc. securities, you must complete a </w:t>
      </w:r>
      <w:r>
        <w:rPr>
          <w:rFonts w:ascii="Calibri;sans-serif" w:hAnsi="Calibri;sans-serif"/>
          <w:b w:val="false"/>
          <w:i/>
          <w:color w:val="000000"/>
          <w:sz w:val="22"/>
        </w:rPr>
        <w:t xml:space="preserve">Post Transaction Notification Form </w:t>
      </w:r>
      <w:r>
        <w:rPr>
          <w:rFonts w:ascii="Calibri;sans-serif" w:hAnsi="Calibri;sans-serif"/>
          <w:b w:val="false"/>
          <w:color w:val="000000"/>
          <w:sz w:val="22"/>
        </w:rPr>
        <w:t>and forward to the Company’s General Counsel.</w:t>
      </w:r>
    </w:p>
    <w:p>
      <w:pPr>
        <w:pStyle w:val="TextBody"/>
        <w:bidi w:val="0"/>
        <w:spacing w:before="0" w:after="0"/>
        <w:jc w:val="left"/>
        <w:rPr/>
      </w:pPr>
      <w:r>
        <w:rPr/>
      </w:r>
    </w:p>
    <w:p>
      <w:pPr>
        <w:pStyle w:val="TextBody"/>
        <w:bidi w:val="0"/>
        <w:spacing w:lineRule="auto" w:line="240" w:before="0" w:after="0"/>
        <w:ind w:left="0" w:right="0" w:hanging="540"/>
        <w:jc w:val="left"/>
        <w:rPr/>
      </w:pPr>
      <w:r>
        <w:rPr>
          <w:rFonts w:ascii="Calibri;sans-serif" w:hAnsi="Calibri;sans-serif"/>
          <w:b/>
          <w:color w:val="000000"/>
          <w:sz w:val="22"/>
        </w:rPr>
        <w:t>III.</w:t>
      </w:r>
      <w:r>
        <w:rPr>
          <w:rFonts w:ascii="Calibri;sans-serif" w:hAnsi="Calibri;sans-serif"/>
          <w:b/>
          <w:color w:val="000000"/>
          <w:sz w:val="22"/>
          <w:u w:val="single"/>
        </w:rPr>
        <w:t>Confidentiality</w:t>
      </w:r>
    </w:p>
    <w:p>
      <w:pPr>
        <w:pStyle w:val="TextBody"/>
        <w:bidi w:val="0"/>
        <w:spacing w:before="6" w:after="283"/>
        <w:jc w:val="left"/>
        <w:rPr/>
      </w:pPr>
      <w:r>
        <w:rPr/>
      </w:r>
    </w:p>
    <w:p>
      <w:pPr>
        <w:pStyle w:val="TextBody"/>
        <w:bidi w:val="0"/>
        <w:spacing w:lineRule="auto" w:line="240" w:before="56" w:after="283"/>
        <w:ind w:left="0" w:right="0" w:firstLine="1620"/>
        <w:jc w:val="both"/>
        <w:rPr/>
      </w:pPr>
      <w:r>
        <w:rPr>
          <w:rFonts w:ascii="Calibri;sans-serif" w:hAnsi="Calibri;sans-serif"/>
          <w:b w:val="false"/>
          <w:color w:val="000000"/>
          <w:sz w:val="22"/>
        </w:rPr>
        <w:t xml:space="preserve">The unauthorized disclosure of material information concerning the Company or its subsidiaries may cause serious harm, whether or not such disclosure is for the purpose of facilitating improper trading in the Company's Common Stock. </w:t>
      </w:r>
      <w:r>
        <w:rPr>
          <w:rFonts w:ascii="Calibri;sans-serif" w:hAnsi="Calibri;sans-serif"/>
          <w:b/>
          <w:color w:val="000000"/>
          <w:sz w:val="22"/>
        </w:rPr>
        <w:t>Therefore, employees and non-employee directors should not discuss any non-public information concerning the Company or its subsidiaries with anyone outside of the Company</w:t>
      </w:r>
      <w:r>
        <w:rPr>
          <w:rFonts w:ascii="Calibri;sans-serif" w:hAnsi="Calibri;sans-serif"/>
          <w:b w:val="false"/>
          <w:color w:val="000000"/>
          <w:sz w:val="22"/>
        </w:rPr>
        <w:t>. This prohibition applies specifically, but not exclusively, to inquiries about the Company or its subsidiaries which may be made by the financial press, investment analysts or others in the financial community or any stockholder. It is important that all such communications on behalf of the Company or its subsidiaries be made through an appropriately designated officer under carefully controlled circumstances. If you receive any inquiries of this nature, you should decline comment and refer the inquirer to the Company’s General Counsel, unless you are expressly authorized to the contrary.</w:t>
      </w:r>
    </w:p>
    <w:p>
      <w:pPr>
        <w:pStyle w:val="TextBody"/>
        <w:bidi w:val="0"/>
        <w:spacing w:before="0" w:after="0"/>
        <w:jc w:val="both"/>
        <w:rPr/>
      </w:pPr>
      <w:r>
        <w:rPr/>
      </w:r>
    </w:p>
    <w:p>
      <w:pPr>
        <w:pStyle w:val="TextBody"/>
        <w:bidi w:val="0"/>
        <w:spacing w:lineRule="auto" w:line="240" w:before="32" w:after="283"/>
        <w:ind w:left="0" w:right="0" w:hanging="720"/>
        <w:jc w:val="left"/>
        <w:rPr/>
      </w:pPr>
      <w:r>
        <w:rPr>
          <w:rFonts w:ascii="Calibri;sans-serif" w:hAnsi="Calibri;sans-serif"/>
          <w:b/>
          <w:color w:val="000000"/>
          <w:sz w:val="22"/>
        </w:rPr>
        <w:t>IV.</w:t>
      </w:r>
      <w:r>
        <w:rPr>
          <w:rFonts w:ascii="Calibri;sans-serif" w:hAnsi="Calibri;sans-serif"/>
          <w:b/>
          <w:color w:val="000000"/>
          <w:sz w:val="22"/>
          <w:u w:val="single"/>
        </w:rPr>
        <w:t>Conclusion</w:t>
      </w:r>
    </w:p>
    <w:p>
      <w:pPr>
        <w:pStyle w:val="TextBody"/>
        <w:bidi w:val="0"/>
        <w:spacing w:before="5" w:after="283"/>
        <w:jc w:val="left"/>
        <w:rPr/>
      </w:pPr>
      <w:r>
        <w:rPr/>
      </w:r>
    </w:p>
    <w:p>
      <w:pPr>
        <w:pStyle w:val="TextBody"/>
        <w:bidi w:val="0"/>
        <w:spacing w:lineRule="auto" w:line="240" w:before="57" w:after="283"/>
        <w:ind w:left="0" w:right="0" w:firstLine="1260"/>
        <w:jc w:val="left"/>
        <w:rPr/>
      </w:pPr>
      <w:r>
        <w:rPr>
          <w:rFonts w:ascii="Calibri;sans-serif" w:hAnsi="Calibri;sans-serif"/>
          <w:b w:val="false"/>
          <w:color w:val="000000"/>
          <w:sz w:val="22"/>
        </w:rPr>
        <w:t xml:space="preserve">Adherence to the policies set forth in this memorandum is essential. </w:t>
      </w:r>
      <w:r>
        <w:rPr>
          <w:rFonts w:ascii="Calibri;sans-serif" w:hAnsi="Calibri;sans-serif"/>
          <w:b/>
          <w:color w:val="000000"/>
          <w:sz w:val="22"/>
        </w:rPr>
        <w:t>Any violation of the Company's policies as set forth in this memorandum will be regarded as a serious matter and may result in termination of employment.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25830"/>
                <wp:effectExtent l="0" t="0" r="0" b="0"/>
                <wp:wrapNone/>
                <wp:docPr id="109" name="Frame103"/>
                <a:graphic xmlns:a="http://schemas.openxmlformats.org/drawingml/2006/main">
                  <a:graphicData uri="http://schemas.microsoft.com/office/word/2010/wordprocessingShape">
                    <wps:wsp>
                      <wps:cNvSpPr txBox="1"/>
                      <wps:spPr>
                        <a:xfrm>
                          <a:off x="0" y="0"/>
                          <a:ext cx="6480175" cy="925830"/>
                        </a:xfrm>
                        <a:prstGeom prst="rect"/>
                        <a:solidFill>
                          <a:srgbClr val="FFFFFF"/>
                        </a:solidFill>
                      </wps:spPr>
                      <wps:txbx>
                        <w:txbxContent>
                          <w:p>
                            <w:pPr>
                              <w:pStyle w:val="TextBody"/>
                              <w:bidi w:val="0"/>
                              <w:spacing w:before="0" w:after="0"/>
                              <w:jc w:val="left"/>
                              <w:rPr/>
                            </w:pPr>
                            <w:r>
                              <w:rPr/>
                              <w:drawing>
                                <wp:inline distT="0" distB="0" distL="0" distR="0">
                                  <wp:extent cx="7772400" cy="266700"/>
                                  <wp:effectExtent l="0" t="0" r="0" b="0"/>
                                  <wp:docPr id="1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 descr=""/>
                                          <pic:cNvPicPr>
                                            <a:picLocks noChangeAspect="1" noChangeArrowheads="1"/>
                                          </pic:cNvPicPr>
                                        </pic:nvPicPr>
                                        <pic:blipFill>
                                          <a:blip r:embed="rId69"/>
                                          <a:stretch>
                                            <a:fillRect/>
                                          </a:stretch>
                                        </pic:blipFill>
                                        <pic:spPr bwMode="auto">
                                          <a:xfrm>
                                            <a:off x="0" y="0"/>
                                            <a:ext cx="7772400" cy="266700"/>
                                          </a:xfrm>
                                          <a:prstGeom prst="rect">
                                            <a:avLst/>
                                          </a:prstGeom>
                                        </pic:spPr>
                                      </pic:pic>
                                    </a:graphicData>
                                  </a:graphic>
                                </wp:inline>
                              </w:drawing>
                            </w:r>
                          </w:p>
                          <w:tbl>
                            <w:tblPr>
                              <w:tblW w:w="2160" w:type="dxa"/>
                              <w:jc w:val="left"/>
                              <w:tblInd w:w="0" w:type="dxa"/>
                              <w:tblLayout w:type="fixed"/>
                              <w:tblCellMar>
                                <w:top w:w="28" w:type="dxa"/>
                                <w:left w:w="28" w:type="dxa"/>
                                <w:bottom w:w="28" w:type="dxa"/>
                                <w:right w:w="28" w:type="dxa"/>
                              </w:tblCellMar>
                            </w:tblPr>
                            <w:tblGrid>
                              <w:gridCol w:w="691"/>
                              <w:gridCol w:w="606"/>
                              <w:gridCol w:w="863"/>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Calibri;sans-serif" w:hAnsi="Calibri;sans-serif"/>
                                      <w:b w:val="false"/>
                                      <w:color w:val="FFFFFF"/>
                                      <w:sz w:val="20"/>
                                    </w:rPr>
                                    <w:t xml:space="preserve">Page </w:t>
                                  </w:r>
                                  <w:r>
                                    <w:rPr>
                                      <w:rFonts w:ascii="Calibri;sans-serif" w:hAnsi="Calibri;sans-serif"/>
                                      <w:b/>
                                      <w:color w:val="FFFFFF"/>
                                      <w:sz w:val="20"/>
                                    </w:rPr>
                                    <w:t xml:space="preserve">2 </w:t>
                                  </w:r>
                                  <w:r>
                                    <w:rPr>
                                      <w:rFonts w:ascii="Calibri;sans-serif" w:hAnsi="Calibri;sans-serif"/>
                                      <w:b w:val="false"/>
                                      <w:color w:val="FFFFFF"/>
                                      <w:sz w:val="20"/>
                                    </w:rPr>
                                    <w:t xml:space="preserve">of </w:t>
                                  </w:r>
                                  <w:r>
                                    <w:rPr>
                                      <w:rFonts w:ascii="Calibri;sans-serif" w:hAnsi="Calibri;sans-serif"/>
                                      <w:b/>
                                      <w:color w:val="FFFFFF"/>
                                      <w:sz w:val="20"/>
                                    </w:rPr>
                                    <w:t>#NUM_PAGES#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7772400" cy="266700"/>
                            <wp:effectExtent l="0" t="0" r="0" b="0"/>
                            <wp:docPr id="1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 descr=""/>
                                    <pic:cNvPicPr>
                                      <a:picLocks noChangeAspect="1" noChangeArrowheads="1"/>
                                    </pic:cNvPicPr>
                                  </pic:nvPicPr>
                                  <pic:blipFill>
                                    <a:blip r:embed="rId70"/>
                                    <a:stretch>
                                      <a:fillRect/>
                                    </a:stretch>
                                  </pic:blipFill>
                                  <pic:spPr bwMode="auto">
                                    <a:xfrm>
                                      <a:off x="0" y="0"/>
                                      <a:ext cx="7772400" cy="266700"/>
                                    </a:xfrm>
                                    <a:prstGeom prst="rect">
                                      <a:avLst/>
                                    </a:prstGeom>
                                  </pic:spPr>
                                </pic:pic>
                              </a:graphicData>
                            </a:graphic>
                          </wp:inline>
                        </w:drawing>
                      </w:r>
                    </w:p>
                    <w:tbl>
                      <w:tblPr>
                        <w:tblW w:w="2160" w:type="dxa"/>
                        <w:jc w:val="left"/>
                        <w:tblInd w:w="0" w:type="dxa"/>
                        <w:tblLayout w:type="fixed"/>
                        <w:tblCellMar>
                          <w:top w:w="28" w:type="dxa"/>
                          <w:left w:w="28" w:type="dxa"/>
                          <w:bottom w:w="28" w:type="dxa"/>
                          <w:right w:w="28" w:type="dxa"/>
                        </w:tblCellMar>
                      </w:tblPr>
                      <w:tblGrid>
                        <w:gridCol w:w="691"/>
                        <w:gridCol w:w="606"/>
                        <w:gridCol w:w="863"/>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Calibri;sans-serif" w:hAnsi="Calibri;sans-serif"/>
                                <w:b w:val="false"/>
                                <w:color w:val="FFFFFF"/>
                                <w:sz w:val="20"/>
                              </w:rPr>
                              <w:t xml:space="preserve">Page </w:t>
                            </w:r>
                            <w:r>
                              <w:rPr>
                                <w:rFonts w:ascii="Calibri;sans-serif" w:hAnsi="Calibri;sans-serif"/>
                                <w:b/>
                                <w:color w:val="FFFFFF"/>
                                <w:sz w:val="20"/>
                              </w:rPr>
                              <w:t xml:space="preserve">2 </w:t>
                            </w:r>
                            <w:r>
                              <w:rPr>
                                <w:rFonts w:ascii="Calibri;sans-serif" w:hAnsi="Calibri;sans-serif"/>
                                <w:b w:val="false"/>
                                <w:color w:val="FFFFFF"/>
                                <w:sz w:val="20"/>
                              </w:rPr>
                              <w:t xml:space="preserve">of </w:t>
                            </w:r>
                            <w:r>
                              <w:rPr>
                                <w:rFonts w:ascii="Calibri;sans-serif" w:hAnsi="Calibri;sans-serif"/>
                                <w:b/>
                                <w:color w:val="FFFFFF"/>
                                <w:sz w:val="20"/>
                              </w:rPr>
                              <w:t>#NUM_PAGES#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w:t>
      </w:r>
    </w:p>
    <w:p>
      <w:pPr>
        <w:pStyle w:val="TextBody"/>
        <w:bidi w:val="0"/>
        <w:spacing w:before="0" w:after="0"/>
        <w:jc w:val="left"/>
        <w:rPr/>
      </w:pPr>
      <w:r>
        <w:rPr/>
      </w:r>
    </w:p>
    <w:tbl>
      <w:tblPr>
        <w:tblW w:w="6566" w:type="dxa"/>
        <w:jc w:val="center"/>
        <w:tblInd w:w="0" w:type="dxa"/>
        <w:tblLayout w:type="fixed"/>
        <w:tblCellMar>
          <w:top w:w="28" w:type="dxa"/>
          <w:left w:w="28" w:type="dxa"/>
          <w:bottom w:w="28" w:type="dxa"/>
          <w:right w:w="28" w:type="dxa"/>
        </w:tblCellMar>
      </w:tblPr>
      <w:tblGrid>
        <w:gridCol w:w="1508"/>
        <w:gridCol w:w="1327"/>
        <w:gridCol w:w="1335"/>
        <w:gridCol w:w="109"/>
        <w:gridCol w:w="109"/>
        <w:gridCol w:w="109"/>
        <w:gridCol w:w="605"/>
        <w:gridCol w:w="605"/>
        <w:gridCol w:w="859"/>
      </w:tblGrid>
      <w:tr>
        <w:trPr/>
        <w:tc>
          <w:tcPr>
            <w:tcW w:w="150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Place of Incorporation</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Assignment America,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Cejka Search,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Credent Verification and Licensing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 Country DAS,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Cross Country Holdco (Cyprus) Limited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Cyprus</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 Country Infotech, Pvt.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 Country Staffing,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 Country Tech,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Intellify Talent Solutions,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Doctor Associates,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Mediscan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Staff,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2"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CONSENT OF INDEPENDENT REGISTERED PUBLIC ACCOUNTING FIRM</w:t>
      </w:r>
    </w:p>
    <w:p>
      <w:pPr>
        <w:pStyle w:val="TextBody"/>
        <w:bidi w:val="0"/>
        <w:spacing w:before="0" w:after="0"/>
        <w:jc w:val="center"/>
        <w:rPr/>
      </w:pPr>
      <w:r>
        <w:rPr/>
      </w:r>
    </w:p>
    <w:p>
      <w:pPr>
        <w:pStyle w:val="TextBody"/>
        <w:bidi w:val="0"/>
        <w:spacing w:before="160" w:after="283"/>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We consent to the incorporation by reference in Registration Statement Nos. 333-279632, 333-74862, 333-145484, 333-188519, 333-196639, 333-218557 and 333-238719 on Form S-8 and Registration Statement No. 333-263433 on Form S-3 of our report dated March 5, 2025, relating to the consolidated financial statements of Cross Country Healthcare, Inc. and subsidiaries and the effectiveness of Cross Country Healthcare, Inc. and subsidiaries’</w:t>
      </w:r>
      <w:r>
        <w:rPr>
          <w:color w:val="3B3A3B"/>
        </w:rPr>
        <w:t xml:space="preserve"> </w:t>
      </w:r>
      <w:r>
        <w:rPr>
          <w:rFonts w:ascii="Times New Roman;sans-serif" w:hAnsi="Times New Roman;sans-serif"/>
          <w:b w:val="false"/>
          <w:color w:val="000000"/>
          <w:sz w:val="20"/>
        </w:rPr>
        <w:t xml:space="preserve">internal control over financial reporting appearing in this Annual Report on Form 10-K for the year ended December 31, 2024. </w:t>
      </w:r>
    </w:p>
    <w:p>
      <w:pPr>
        <w:pStyle w:val="TextBody"/>
        <w:bidi w:val="0"/>
        <w:spacing w:before="0" w:after="0"/>
        <w:jc w:val="center"/>
        <w:rPr/>
      </w:pPr>
      <w:r>
        <w:rPr/>
      </w:r>
    </w:p>
    <w:tbl>
      <w:tblPr>
        <w:tblW w:w="2309" w:type="dxa"/>
        <w:jc w:val="center"/>
        <w:tblInd w:w="0" w:type="dxa"/>
        <w:tblLayout w:type="fixed"/>
        <w:tblCellMar>
          <w:top w:w="28" w:type="dxa"/>
          <w:left w:w="28" w:type="dxa"/>
          <w:bottom w:w="28" w:type="dxa"/>
          <w:right w:w="28" w:type="dxa"/>
        </w:tblCellMar>
      </w:tblPr>
      <w:tblGrid>
        <w:gridCol w:w="738"/>
        <w:gridCol w:w="648"/>
        <w:gridCol w:w="923"/>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Boca Raton, Florida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5,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3"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John A. Martins, certify that:</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Cross Country Healthcare, Inc.;</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904"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893"/>
        <w:gridCol w:w="893"/>
        <w:gridCol w:w="127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 Martins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 Martins</w:t>
              <w:br/>
              <w:t>President &amp; Chief Executive Officer</w:t>
              <w:b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4"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William J. Burns, certify that:</w:t>
      </w:r>
    </w:p>
    <w:p>
      <w:pPr>
        <w:pStyle w:val="TextBody"/>
        <w:bidi w:val="0"/>
        <w:spacing w:before="0" w:after="12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Cross Country Healthcare, Inc.;</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6134"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251"/>
        <w:gridCol w:w="1251"/>
        <w:gridCol w:w="178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Burns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Burns</w:t>
              <w:br/>
              <w:t>Executive Vice President &amp; 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5"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Annual Report on Form 10-K of Cross Country Healthcare, Inc. (the Company) for the year ended December 31, 2024, (the "Periodic Report"), I, John A. Martins, President and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4798" w:type="dxa"/>
        <w:jc w:val="left"/>
        <w:tblInd w:w="0" w:type="dxa"/>
        <w:tblLayout w:type="fixed"/>
        <w:tblCellMar>
          <w:top w:w="28" w:type="dxa"/>
          <w:left w:w="28" w:type="dxa"/>
          <w:bottom w:w="28" w:type="dxa"/>
          <w:right w:w="28" w:type="dxa"/>
        </w:tblCellMar>
      </w:tblPr>
      <w:tblGrid>
        <w:gridCol w:w="216"/>
        <w:gridCol w:w="191"/>
        <w:gridCol w:w="192"/>
        <w:gridCol w:w="429"/>
        <w:gridCol w:w="429"/>
        <w:gridCol w:w="431"/>
        <w:gridCol w:w="849"/>
        <w:gridCol w:w="849"/>
        <w:gridCol w:w="1212"/>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 Martins</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 Martins</w:t>
              <w:br/>
              <w:t>President, Chief Executive Officer</w:t>
              <w:br/>
              <w:t>(Principal Executive Officer)</w:t>
            </w:r>
          </w:p>
        </w:tc>
      </w:tr>
    </w:tbl>
    <w:p>
      <w:pPr>
        <w:pStyle w:val="TextBody"/>
        <w:bidi w:val="0"/>
        <w:spacing w:before="0" w:after="0"/>
        <w:ind w:left="0" w:right="0" w:firstLine="72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provided solely for purposes of complying with the provisions of Section 906 of the Sarbanes-Oxley Act of 2002.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6"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Annual Report on Form 10-K of Cross Country Healthcare, Inc. (the "Company") for the year ended December 31, 2024,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5984"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207"/>
        <w:gridCol w:w="1207"/>
        <w:gridCol w:w="17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Burns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Burns</w:t>
              <w:br/>
              <w:t>Executive Vice President, Chief Financial Officer</w:t>
              <w:br/>
              <w:t>(Principal Financial Officer)</w:t>
            </w:r>
          </w:p>
        </w:tc>
      </w:tr>
    </w:tbl>
    <w:p>
      <w:pPr>
        <w:pStyle w:val="TextBody"/>
        <w:bidi w:val="0"/>
        <w:spacing w:before="0" w:after="0"/>
        <w:jc w:val="both"/>
        <w:rPr/>
      </w:pPr>
      <w:r>
        <w:rPr/>
      </w:r>
    </w:p>
    <w:p>
      <w:pPr>
        <w:pStyle w:val="TextBody"/>
        <w:bidi w:val="0"/>
        <w:spacing w:lineRule="auto" w:line="28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provided solely for purposes of complying with the provisions of Section 906 of the Sarbanes-Oxley Act of 2002.</w:t>
      </w:r>
    </w:p>
    <w:p>
      <w:pPr>
        <w:pStyle w:val="TextBody"/>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7"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Light">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1141103/000115752321000786/a52444769ex2_1.htm" TargetMode="External"/><Relationship Id="rId5" Type="http://schemas.openxmlformats.org/officeDocument/2006/relationships/hyperlink" Target="https://www.sec.gov/Archives/edgar/data/1141103/000095010324017244/dp221634_ex0201.htm" TargetMode="External"/><Relationship Id="rId6" Type="http://schemas.openxmlformats.org/officeDocument/2006/relationships/hyperlink" Target="https://www.sec.gov/Archives/edgar/data/1141103/000095010324017244/dp221634_ex0201.htm" TargetMode="External"/><Relationship Id="rId7" Type="http://schemas.openxmlformats.org/officeDocument/2006/relationships/hyperlink" Target="https://www.sec.gov/Archives/edgar/data/1141103/000091205701530091/a2057156zex-3_1.txt" TargetMode="External"/><Relationship Id="rId8" Type="http://schemas.openxmlformats.org/officeDocument/2006/relationships/hyperlink" Target="https://www.sec.gov/Archives/edgar/data/1141103/000162828018002702/ccrn20171231-10kex3x2.htm" TargetMode="External"/><Relationship Id="rId9" Type="http://schemas.openxmlformats.org/officeDocument/2006/relationships/hyperlink" Target="https://www.sec.gov/Archives/edgar/data/1141103/000162828024019778/ccrn20240331-10qex3x1.htm" TargetMode="External"/><Relationship Id="rId10" Type="http://schemas.openxmlformats.org/officeDocument/2006/relationships/hyperlink" Target="https://www.sec.gov/Archives/edgar/data/1141103/000091205701536175/a2061600zex-4_1.txt" TargetMode="External"/><Relationship Id="rId11" Type="http://schemas.openxmlformats.org/officeDocument/2006/relationships/hyperlink" Target="https://www.sec.gov/Archives/edgar/data/1141103/000144530514003563/ccrn20140630-10qex41rsaform.htm" TargetMode="External"/><Relationship Id="rId12" Type="http://schemas.openxmlformats.org/officeDocument/2006/relationships/hyperlink" Target="https://www.sec.gov/Archives/edgar/data/1141103/000144530514003563/ccrn20140630-10qex42psaform.htm" TargetMode="External"/><Relationship Id="rId13" Type="http://schemas.openxmlformats.org/officeDocument/2006/relationships/hyperlink" Target="https://www.sec.gov/Archives/edgar/data/1141103/000162828020003031/ccrn20191231-10kex4x4.htmccrn20191231-10kex4x4.htm" TargetMode="External"/><Relationship Id="rId14" Type="http://schemas.openxmlformats.org/officeDocument/2006/relationships/hyperlink" Target="https://www.sec.gov/Archives/edgar/data/1141103/000104746903010584/a2106509zex-10_19.htm" TargetMode="External"/><Relationship Id="rId15" Type="http://schemas.openxmlformats.org/officeDocument/2006/relationships/hyperlink" Target="https://www.sec.gov/Archives/edgar/data/1141103/000111650207000527/cejkalease1043.htm" TargetMode="External"/><Relationship Id="rId16" Type="http://schemas.openxmlformats.org/officeDocument/2006/relationships/hyperlink" Target="https://www.sec.gov/Archives/edgar/data/1141103/000111650207000527/exhibit1045.htm" TargetMode="External"/><Relationship Id="rId17" Type="http://schemas.openxmlformats.org/officeDocument/2006/relationships/hyperlink" Target="https://www.sec.gov/Archives/edgar/data/1141103/000111650208001825/exhibit105.htm" TargetMode="External"/><Relationship Id="rId18" Type="http://schemas.openxmlformats.org/officeDocument/2006/relationships/hyperlink" Target="https://www.sec.gov/Archives/edgar/data/1141103/000111650207000972/exhibit102.htm" TargetMode="External"/><Relationship Id="rId19" Type="http://schemas.openxmlformats.org/officeDocument/2006/relationships/hyperlink" Target="https://www.sec.gov/Archives/edgar/data/1141103/000119312507218382/dex101.htm" TargetMode="External"/><Relationship Id="rId20" Type="http://schemas.openxmlformats.org/officeDocument/2006/relationships/hyperlink" Target="https://www.sec.gov/Archives/edgar/data/1141103/000144530513001944/exhibit101.htm" TargetMode="External"/><Relationship Id="rId21" Type="http://schemas.openxmlformats.org/officeDocument/2006/relationships/hyperlink" Target="https://www.sec.gov/Archives/edgar/data/1141103/000095013010001422/dex101.htm" TargetMode="External"/><Relationship Id="rId22" Type="http://schemas.openxmlformats.org/officeDocument/2006/relationships/hyperlink" Target="https://www.sec.gov/Archives/edgar/data/1141103/000135448815004495/ccrn_ex101.htm" TargetMode="External"/><Relationship Id="rId23" Type="http://schemas.openxmlformats.org/officeDocument/2006/relationships/hyperlink" Target="https://www.sec.gov/Archives/edgar/data/1141103/000135448815004495/ccrn_ex103.htm" TargetMode="External"/><Relationship Id="rId24" Type="http://schemas.openxmlformats.org/officeDocument/2006/relationships/hyperlink" Target="https://www.sec.gov/Archives/edgar/data/1141103/000115752315003645/a51213647ex10_1.htm" TargetMode="External"/><Relationship Id="rId25" Type="http://schemas.openxmlformats.org/officeDocument/2006/relationships/hyperlink" Target="https://www.sec.gov/Archives/edgar/data/1141103/000162828016012724/exhibit1043.htm" TargetMode="External"/><Relationship Id="rId26" Type="http://schemas.openxmlformats.org/officeDocument/2006/relationships/hyperlink" Target="https://www.sec.gov/Archives/edgar/data/1141103/000162828016020835/ccrn2016-09x30x10qex10x2.htm" TargetMode="External"/><Relationship Id="rId27" Type="http://schemas.openxmlformats.org/officeDocument/2006/relationships/hyperlink" Target="https://www.sec.gov/Archives/edgar/data/1141103/000165495417005530/ccrn_ex101.htm" TargetMode="External"/><Relationship Id="rId28" Type="http://schemas.openxmlformats.org/officeDocument/2006/relationships/hyperlink" Target="https://www.sec.gov/Archives/edgar/data/1141103/000162828017010809/ccrn2017-09x30x10qex10x1.htm" TargetMode="External"/><Relationship Id="rId29" Type="http://schemas.openxmlformats.org/officeDocument/2006/relationships/hyperlink" Target="https://www.sec.gov/Archives/edgar/data/1141103/000162828018002702/ccrn20171231-10kex10x55.htm" TargetMode="External"/><Relationship Id="rId30" Type="http://schemas.openxmlformats.org/officeDocument/2006/relationships/hyperlink" Target="https://www.sec.gov/Archives/edgar/data/1141103/000115752319000077/a51926439ex10_1.htm" TargetMode="External"/><Relationship Id="rId31" Type="http://schemas.openxmlformats.org/officeDocument/2006/relationships/hyperlink" Target="https://www.sec.gov/Archives/edgar/data/1141103/000115752319000203/a51933754ex10_1.htm" TargetMode="External"/><Relationship Id="rId32" Type="http://schemas.openxmlformats.org/officeDocument/2006/relationships/hyperlink" Target="https://www.sec.gov/Archives/edgar/data/1141103/000115752319002114/a52118196ex10_1.htm" TargetMode="External"/><Relationship Id="rId33" Type="http://schemas.openxmlformats.org/officeDocument/2006/relationships/hyperlink" Target="https://www.sec.gov/Archives/edgar/data/1141103/000115752320000949/a52243705ex10_1.htm" TargetMode="External"/><Relationship Id="rId34" Type="http://schemas.openxmlformats.org/officeDocument/2006/relationships/hyperlink" Target="https://www.sec.gov/Archives/edgar/data/1141103/000115752320000949/a52243705ex10_1.htm" TargetMode="External"/><Relationship Id="rId35" Type="http://schemas.openxmlformats.org/officeDocument/2006/relationships/hyperlink" Target="https://www.sec.gov/Archives/edgar/data/1141103/000115752321000076/a52367224ex10_1.htm" TargetMode="External"/><Relationship Id="rId36" Type="http://schemas.openxmlformats.org/officeDocument/2006/relationships/hyperlink" Target="https://www.sec.gov/Archives/edgar/data/1141103/000115752321000076/a52367224ex10_2.htm" TargetMode="External"/><Relationship Id="rId37" Type="http://schemas.openxmlformats.org/officeDocument/2006/relationships/hyperlink" Target="https://www.sec.gov/Archives/edgar/data/1141103/000162828021003296/ccrn20201221-10kex10x29.htm" TargetMode="External"/><Relationship Id="rId38" Type="http://schemas.openxmlformats.org/officeDocument/2006/relationships/hyperlink" Target="https://www.sec.gov/Archives/edgar/data/1141103/000162828021003296/ccrn20201231-10kex10x30.htm" TargetMode="External"/><Relationship Id="rId39" Type="http://schemas.openxmlformats.org/officeDocument/2006/relationships/hyperlink" Target="https://www.sec.gov/Archives/edgar/data/1141103/000115752321000317/a52393385ex10_1.htm" TargetMode="External"/><Relationship Id="rId40" Type="http://schemas.openxmlformats.org/officeDocument/2006/relationships/hyperlink" Target="https://www.sec.gov/Archives/edgar/data/0001141103/000115752321000639/a52426652ex10_1.htm" TargetMode="External"/><Relationship Id="rId41" Type="http://schemas.openxmlformats.org/officeDocument/2006/relationships/hyperlink" Target="https://www.sec.gov/Archives/edgar/data/0001141103/000115752321000639/a52426652ex10_2.htm" TargetMode="External"/><Relationship Id="rId42" Type="http://schemas.openxmlformats.org/officeDocument/2006/relationships/hyperlink" Target="https://www.sec.gov/Archives/edgar/data/0001141103/000115752321000786/a52444769ex10_1.htm" TargetMode="External"/><Relationship Id="rId43" Type="http://schemas.openxmlformats.org/officeDocument/2006/relationships/hyperlink" Target="https://www.sec.gov/Archives/edgar/data/0001141103/000115752321000786/a52444769ex10_2.htm" TargetMode="External"/><Relationship Id="rId44" Type="http://schemas.openxmlformats.org/officeDocument/2006/relationships/hyperlink" Target="https://www.sec.gov/Archives/edgar/data/1141103/000115752321001436/a52534862ex10_1.htm" TargetMode="External"/><Relationship Id="rId45" Type="http://schemas.openxmlformats.org/officeDocument/2006/relationships/hyperlink" Target="https://www.sec.gov/Archives/edgar/data/0001141103/000115752321001436/a52534862ex10_2.htm" TargetMode="External"/><Relationship Id="rId46" Type="http://schemas.openxmlformats.org/officeDocument/2006/relationships/hyperlink" Target="https://www.sec.gov/Archives/edgar/data/1141103/000115752322000069/a52564385ex10_1.htm" TargetMode="External"/><Relationship Id="rId47" Type="http://schemas.openxmlformats.org/officeDocument/2006/relationships/hyperlink" Target="https://www.sec.gov/Archives/edgar/data/1141103/000115752322000069/a52564385ex10_2.htm" TargetMode="External"/><Relationship Id="rId48" Type="http://schemas.openxmlformats.org/officeDocument/2006/relationships/hyperlink" Target="https://www.sec.gov/Archives/edgar/data/1141103/000115752322000358/a52612995ex10_1.htm" TargetMode="External"/><Relationship Id="rId49" Type="http://schemas.openxmlformats.org/officeDocument/2006/relationships/hyperlink" Target="https://www.sec.gov/Archives/edgar/data/1141103/000162828022012463/ccrn20220331-10qex10x2.htm" TargetMode="External"/><Relationship Id="rId50" Type="http://schemas.openxmlformats.org/officeDocument/2006/relationships/hyperlink" Target="https://www.sec.gov/Archives/edgar/data/1141103/000115752323000574/a53381943_ex101.htm" TargetMode="External"/><Relationship Id="rId51" Type="http://schemas.openxmlformats.org/officeDocument/2006/relationships/hyperlink" Target="https://www.sec.gov/Archives/edgar/data/1141103/000115752323001455/a53567346ex10_1.htm" TargetMode="External"/><Relationship Id="rId52" Type="http://schemas.openxmlformats.org/officeDocument/2006/relationships/hyperlink" Target="https://www.sec.gov/Archives/edgar/data/1141103/000162828024019778/ccrn20240331-10qex10x1.htm" TargetMode="External"/><Relationship Id="rId53" Type="http://schemas.openxmlformats.org/officeDocument/2006/relationships/hyperlink" Target="https://www.sec.gov/Archives/edgar/data/1141103/000162828024019778/ccrn20240331-10qex10x2.htm" TargetMode="External"/><Relationship Id="rId54" Type="http://schemas.openxmlformats.org/officeDocument/2006/relationships/hyperlink" Target="https://www.sec.gov/Archives/edgar/data/1141103/000162828024033300/ccrn20240729-ablamendmente.htm" TargetMode="External"/><Relationship Id="rId55" Type="http://schemas.openxmlformats.org/officeDocument/2006/relationships/hyperlink" Target="https://www.sec.gov/Archives/edgar/data/1141103/000092963824001883/exhibit99-1.htm" TargetMode="External"/><Relationship Id="rId56" Type="http://schemas.openxmlformats.org/officeDocument/2006/relationships/hyperlink" Target="https://www.sec.gov/Archives/edgar/data/1141103/000162828022004263/ccrn20211231-10kex14x1.htm" TargetMode="External"/><Relationship Id="rId57" Type="http://schemas.openxmlformats.org/officeDocument/2006/relationships/hyperlink" Target="https://www.sec.gov/Archives/edgar/data/1141103/000162828024006454/ccrn20231231-10kex97x1.htm" TargetMode="External"/><Relationship Id="rId58" Type="http://schemas.openxmlformats.org/officeDocument/2006/relationships/hyperlink" Target="https://www.sec.gov/Archives/edgar/data/1141103/000162828024006454/ccrn20231231-10kex97x1.htm" TargetMode="External"/><Relationship Id="rId59" Type="http://schemas.openxmlformats.org/officeDocument/2006/relationships/hyperlink" Target="https://www.sec.gov/Archives/edgar/data/1141103/000162828024006454/ccrn20231231-10kex97x1.htm" TargetMode="External"/><Relationship Id="rId60" Type="http://schemas.openxmlformats.org/officeDocument/2006/relationships/hyperlink" Target="https://www.sec.gov/Archives/edgar/data/1141103/000162828024006454/ccrn20231231-10kex97x1.htm" TargetMode="External"/><Relationship Id="rId61" Type="http://schemas.openxmlformats.org/officeDocument/2006/relationships/hyperlink" Target="https://www.sec.gov/Archives/edgar/data/1141103/000162828024006454/ccrn20231231-10kex97x1.htm" TargetMode="External"/><Relationship Id="rId62" Type="http://schemas.openxmlformats.org/officeDocument/2006/relationships/hyperlink" Target="https://www.sec.gov/Archives/edgar/data/1141103/000162828024006454/ccrn20231231-10kex97x1.htm" TargetMode="External"/><Relationship Id="rId63" Type="http://schemas.openxmlformats.org/officeDocument/2006/relationships/hyperlink" Target="https://www.sec.gov/Archives/edgar/data/1141103/000162828024006454/ccrn20231231-10kex97x1.htm" TargetMode="External"/><Relationship Id="rId64" Type="http://schemas.openxmlformats.org/officeDocument/2006/relationships/hyperlink" Target="https://www.sec.gov/Archives/edgar/data/1141103/000162828024006454/ccrn20231231-10kex97x1.htm" TargetMode="External"/><Relationship Id="rId65" Type="http://schemas.openxmlformats.org/officeDocument/2006/relationships/image" Target="media/image3.jpeg"/><Relationship Id="rId66" Type="http://schemas.openxmlformats.org/officeDocument/2006/relationships/image" Target="media/image4.png"/><Relationship Id="rId67" Type="http://schemas.openxmlformats.org/officeDocument/2006/relationships/image" Target="media/image5.png"/><Relationship Id="rId68" Type="http://schemas.openxmlformats.org/officeDocument/2006/relationships/image" Target="media/image5.png"/><Relationship Id="rId69" Type="http://schemas.openxmlformats.org/officeDocument/2006/relationships/image" Target="media/image5.png"/><Relationship Id="rId70" Type="http://schemas.openxmlformats.org/officeDocument/2006/relationships/image" Target="media/image5.png"/><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55270</Words>
  <Characters>315563</Characters>
  <CharactersWithSpaces>368464</CharactersWithSpaces>
  <Paragraphs>4931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