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820" w:right="2100" w:hanging="1341"/>
        <w:spacing w:after="0" w:line="351" w:lineRule="auto"/>
        <w:tabs>
          <w:tab w:leader="none" w:pos="26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192" w:right="719" w:bottom="1440" w:gutter="0" w:footer="0" w:header="0"/>
        </w:sectPr>
      </w:pPr>
    </w:p>
    <w:p>
      <w:pPr>
        <w:spacing w:after="0" w:line="3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8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211" w:lineRule="exact"/>
        <w:rPr>
          <w:sz w:val="24"/>
          <w:szCs w:val="24"/>
          <w:color w:val="auto"/>
        </w:rPr>
      </w:pPr>
    </w:p>
    <w:p>
      <w:pPr>
        <w:sectPr>
          <w:pgSz w:w="11900" w:h="16838" w:orient="portrait"/>
          <w:cols w:equalWidth="0" w:num="3">
            <w:col w:w="4500" w:space="720"/>
            <w:col w:w="2680" w:space="720"/>
            <w:col w:w="2240"/>
          </w:cols>
          <w:pgMar w:left="320" w:top="1192" w:right="719" w:bottom="1440" w:gutter="0" w:footer="0" w:header="0"/>
          <w:type w:val="continuous"/>
        </w:sectPr>
      </w:pP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192" w:right="719" w:bottom="1440" w:gutter="0" w:footer="0" w:header="0"/>
          <w:type w:val="continuous"/>
        </w:sectPr>
      </w:pPr>
    </w:p>
    <w:p>
      <w:pPr>
        <w:spacing w:after="0" w:line="54" w:lineRule="exact"/>
        <w:rPr>
          <w:sz w:val="24"/>
          <w:szCs w:val="24"/>
          <w:color w:val="auto"/>
        </w:rPr>
      </w:pPr>
    </w:p>
    <w:p>
      <w:pPr>
        <w:ind w:left="13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192"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211" w:lineRule="exact"/>
        <w:rPr>
          <w:sz w:val="24"/>
          <w:szCs w:val="24"/>
          <w:color w:val="auto"/>
        </w:rPr>
      </w:pPr>
    </w:p>
    <w:p>
      <w:pPr>
        <w:sectPr>
          <w:pgSz w:w="11900" w:h="16838" w:orient="portrait"/>
          <w:cols w:equalWidth="0" w:num="3">
            <w:col w:w="4400" w:space="720"/>
            <w:col w:w="2300" w:space="720"/>
            <w:col w:w="2720"/>
          </w:cols>
          <w:pgMar w:left="320" w:top="1192" w:right="719" w:bottom="1440" w:gutter="0" w:footer="0" w:header="0"/>
          <w:type w:val="continuous"/>
        </w:sectPr>
      </w:pPr>
    </w:p>
    <w:p>
      <w:pPr>
        <w:spacing w:after="0" w:line="33"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0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38,003,670 shares of common stock, par value $0.0001 per share, as of 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2"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2020 (2020 Form 10-K), as filed and updated in our Quarterly Reports on Form 10-Q and other filings with the Securities and Exchange Commission (SEC).</w:t>
      </w:r>
    </w:p>
    <w:p>
      <w:pPr>
        <w:spacing w:after="0" w:line="1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10"/>
          </w:tcPr>
          <w:p>
            <w:pPr>
              <w:jc w:val="center"/>
              <w:ind w:right="740"/>
              <w:spacing w:after="0"/>
              <w:rPr>
                <w:sz w:val="20"/>
                <w:szCs w:val="20"/>
                <w:color w:val="auto"/>
              </w:rPr>
            </w:pPr>
            <w:r>
              <w:rPr>
                <w:rFonts w:ascii="Arial" w:cs="Arial" w:eastAsia="Arial" w:hAnsi="Arial"/>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9"/>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89"/>
              </w:rPr>
              <w:t>September 30, 2021</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Arial" w:cs="Arial" w:eastAsia="Arial" w:hAnsi="Arial"/>
                <w:sz w:val="18"/>
                <w:szCs w:val="18"/>
                <w:color w:val="auto"/>
                <w:w w:val="91"/>
              </w:rPr>
              <w:t>PAGE</w:t>
            </w:r>
          </w:p>
        </w:tc>
      </w:tr>
      <w:tr>
        <w:trPr>
          <w:trHeight w:val="243"/>
        </w:trPr>
        <w:tc>
          <w:tcPr>
            <w:tcW w:w="888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 (Unaudited)</w:t>
              </w:r>
            </w:hyperlink>
          </w:p>
        </w:tc>
        <w:tc>
          <w:tcPr>
            <w:tcW w:w="4120" w:type="dxa"/>
            <w:vAlign w:val="bottom"/>
            <w:gridSpan w:val="8"/>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9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(Loss) (Unaudited)</w:t>
              </w:r>
            </w:hyperlink>
          </w:p>
        </w:tc>
        <w:tc>
          <w:tcPr>
            <w:tcW w:w="196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(Unaudited)</w:t>
              </w:r>
            </w:hyperlink>
          </w:p>
        </w:tc>
        <w:tc>
          <w:tcPr>
            <w:tcW w:w="2680" w:type="dxa"/>
            <w:vAlign w:val="bottom"/>
            <w:gridSpan w:val="3"/>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(Unaudited)</w:t>
              </w:r>
            </w:hyperlink>
          </w:p>
        </w:tc>
        <w:tc>
          <w:tcPr>
            <w:tcW w:w="3340" w:type="dxa"/>
            <w:vAlign w:val="bottom"/>
            <w:gridSpan w:val="5"/>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 (Unaudited)</w:t>
              </w:r>
            </w:hyperlink>
          </w:p>
        </w:tc>
        <w:tc>
          <w:tcPr>
            <w:tcW w:w="306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2.</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25</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3.</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4.</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38</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PART II. – OTHER INFORMATION</w:t>
              </w:r>
            </w:hyperlink>
          </w:p>
        </w:tc>
        <w:tc>
          <w:tcPr>
            <w:tcW w:w="6160" w:type="dxa"/>
            <w:vAlign w:val="bottom"/>
            <w:gridSpan w:val="11"/>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39</w:t>
              </w:r>
            </w:hyperlink>
          </w:p>
        </w:tc>
      </w:tr>
      <w:tr>
        <w:trPr>
          <w:trHeight w:val="263"/>
        </w:trPr>
        <w:tc>
          <w:tcPr>
            <w:tcW w:w="520" w:type="dxa"/>
            <w:vAlign w:val="bottom"/>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4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4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794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4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91"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$5,388 in 2021 and $4,021 in 2020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301,040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170,003</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Insurance recovery receivable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313,273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183,111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$18,225 in 2021 and $17,013 in 2020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10,447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34,831</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520,420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35,540</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Operating lease liabilities - current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4,509</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earnout liability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53,408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6,592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contingent consideration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303,621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202,064</w:t>
            </w: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310,388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(154,737)</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Noncontrolling interest in subsidiary</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0"/>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154,909</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356,973</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9"/>
                <w:szCs w:val="19"/>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6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620,811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472,471</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128,939</w:t>
            </w: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5,210</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r>
      <w:tr>
        <w:trPr>
          <w:trHeight w:val="223"/>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348,458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194,349</w:t>
            </w:r>
          </w:p>
        </w:tc>
        <w:tc>
          <w:tcPr>
            <w:tcW w:w="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972,631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635,634</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30"/>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48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9"/>
                <w:szCs w:val="19"/>
                <w:color w:val="auto"/>
              </w:rPr>
            </w:pPr>
          </w:p>
        </w:tc>
        <w:tc>
          <w:tcPr>
            <w:tcW w:w="20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5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r>
      <w:tr>
        <w:trPr>
          <w:trHeight w:val="257"/>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income tax:</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 gain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6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Taxes on other comprehensive loss: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unrealized foreign currency translation</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shareholders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Three Months Ended September 30, 2021 and 2020 (Unaudited, amounts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Additional</w:t>
            </w:r>
          </w:p>
        </w:tc>
        <w:tc>
          <w:tcPr>
            <w:tcW w:w="152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9"/>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00" w:type="dxa"/>
            <w:vAlign w:val="bottom"/>
          </w:tcPr>
          <w:p>
            <w:pPr>
              <w:jc w:val="right"/>
              <w:ind w:right="204"/>
              <w:spacing w:after="0" w:line="142"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2021</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36,962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316,644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(123,741)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192,131</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1,771</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Dissolution of noncontrolling interest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3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23,433</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23,433</w:t>
            </w:r>
          </w:p>
        </w:tc>
        <w:tc>
          <w:tcPr>
            <w:tcW w:w="0" w:type="dxa"/>
            <w:vAlign w:val="bottom"/>
          </w:tcPr>
          <w:p>
            <w:pPr>
              <w:spacing w:after="0"/>
              <w:rPr>
                <w:sz w:val="1"/>
                <w:szCs w:val="1"/>
                <w:color w:val="auto"/>
              </w:rPr>
            </w:pPr>
          </w:p>
        </w:tc>
      </w:tr>
      <w:tr>
        <w:trPr>
          <w:trHeight w:val="200"/>
        </w:trPr>
        <w:tc>
          <w:tcPr>
            <w:tcW w:w="2740" w:type="dxa"/>
            <w:vAlign w:val="bottom"/>
          </w:tcPr>
          <w:p>
            <w:pPr>
              <w:ind w:left="20"/>
              <w:spacing w:after="0"/>
              <w:rPr>
                <w:sz w:val="20"/>
                <w:szCs w:val="20"/>
                <w:color w:val="auto"/>
              </w:rPr>
            </w:pPr>
            <w:r>
              <w:rPr>
                <w:rFonts w:ascii="Arial" w:cs="Arial" w:eastAsia="Arial" w:hAnsi="Arial"/>
                <w:sz w:val="15"/>
                <w:szCs w:val="15"/>
                <w:color w:val="auto"/>
              </w:rPr>
              <w:t>Balances at September 30, 2021</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36,964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318,415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(100,308)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216,799</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Additional</w:t>
            </w:r>
          </w:p>
        </w:tc>
        <w:tc>
          <w:tcPr>
            <w:tcW w:w="152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9"/>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00" w:type="dxa"/>
            <w:vAlign w:val="bottom"/>
          </w:tcPr>
          <w:p>
            <w:pPr>
              <w:jc w:val="right"/>
              <w:ind w:right="204"/>
              <w:spacing w:after="0" w:line="142"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307,985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(158,015)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1,064</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1,064</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300" w:type="dxa"/>
            <w:vAlign w:val="bottom"/>
            <w:vMerge w:val="restart"/>
          </w:tcPr>
          <w:p>
            <w:pPr>
              <w:jc w:val="right"/>
              <w:ind w:right="44"/>
              <w:spacing w:after="0"/>
              <w:rPr>
                <w:sz w:val="20"/>
                <w:szCs w:val="20"/>
                <w:color w:val="auto"/>
              </w:rPr>
            </w:pPr>
            <w:r>
              <w:rPr>
                <w:rFonts w:ascii="Arial" w:cs="Arial" w:eastAsia="Arial" w:hAnsi="Arial"/>
                <w:sz w:val="15"/>
                <w:szCs w:val="15"/>
                <w:color w:val="auto"/>
              </w:rPr>
              <w:t>33</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(1,334)</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186</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309,049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148,920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7" w:name="page8"/>
    <w:bookmarkEnd w:id="7"/>
    <w:p>
      <w:pPr>
        <w:spacing w:after="0" w:line="200" w:lineRule="exact"/>
        <w:rPr>
          <w:sz w:val="20"/>
          <w:szCs w:val="20"/>
          <w:color w:val="auto"/>
        </w:rPr>
      </w:pPr>
    </w:p>
    <w:p>
      <w:pPr>
        <w:spacing w:after="0" w:line="223"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Nine Months Ended September 30, 2021 and 2020 (Unaudited, amounts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310,388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(154,737)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154,909</w:t>
            </w:r>
          </w:p>
        </w:tc>
        <w:tc>
          <w:tcPr>
            <w:tcW w:w="0" w:type="dxa"/>
            <w:vAlign w:val="bottom"/>
          </w:tcPr>
          <w:p>
            <w:pPr>
              <w:spacing w:after="0"/>
              <w:rPr>
                <w:sz w:val="1"/>
                <w:szCs w:val="1"/>
                <w:color w:val="auto"/>
              </w:rPr>
            </w:pPr>
          </w:p>
        </w:tc>
      </w:tr>
      <w:tr>
        <w:trPr>
          <w:trHeight w:val="199"/>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479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(2,230)</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(2,230)</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5,257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5,257</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(32)</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Dissolution of noncontrolling interest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(324)</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54,429</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54,429</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36,964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318,415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(100,308)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216,799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305,643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306</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(657)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4,063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4,063</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(968)</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(17,574)</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610</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(16,964)</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309,049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148,920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Consolidated 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(16,964)</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16,082</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10,388</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25,275</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term loan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Principal payments on term loan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310,965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(337,876)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(325,900)</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(19,183)</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as well as Cross Country Talent Acquisition Group, LLC, which was a joint venture controlled by the Company but not wholly-owned. Effective December 31, 2020, the sole professional staffing services agreement held by this joint venture was terminated and, as a result, the Company dissolved Cross Country Talent Acquisition Group, LLC in the third quarter of 2021.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2021.</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2020 included in the Company’s Annual Report on Form 10-K as filed with the SEC on February 25, 2021 (2020 Form 10-K). The December 31, 2020 condensed consolidated balance sheet included herein was derived from the December 31, 2020 audited consolidated balance sheet included in the 2020 Form 10-K.</w:t>
      </w: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the condensed consolidated balance sheets and statements of cash flows, Note 3 - Revenue Recognition, and Note 12 - Segment Data.</w:t>
      </w:r>
    </w:p>
    <w:p>
      <w:pPr>
        <w:spacing w:after="0" w:line="193" w:lineRule="exact"/>
        <w:rPr>
          <w:sz w:val="20"/>
          <w:szCs w:val="20"/>
          <w:color w:val="auto"/>
        </w:rPr>
      </w:pPr>
    </w:p>
    <w:p>
      <w:pPr>
        <w:ind w:right="622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continues to closely monitor the COVID-19 pandemic, and prioritize the mental health and well-being of its employees. While operating primarily through a remote workforce, the Company's offices remain open with stringent safety guidelines and procedures in place, including allowing only vaccinated employees on-site, social distancing, and enhanced cleaning at all of its locations. Business travel, including visits to healthcare clients, continues to be somewhat limited at the request of the Company's clients who are continuing to cope with the pandemic twenty-four hours a day/seven days a week.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120"/>
        <w:spacing w:after="0" w:line="255" w:lineRule="auto"/>
        <w:rPr>
          <w:sz w:val="20"/>
          <w:szCs w:val="20"/>
          <w:color w:val="auto"/>
        </w:rPr>
      </w:pPr>
      <w:r>
        <w:rPr>
          <w:rFonts w:ascii="Arial" w:cs="Arial" w:eastAsia="Arial" w:hAnsi="Arial"/>
          <w:sz w:val="18"/>
          <w:szCs w:val="18"/>
          <w:color w:val="auto"/>
        </w:rPr>
        <w:t>During the third quarter of 2021, the number of new COVID-19 cases and hospitalizations from the Delta variant began to decline, but the Company still continued to see higher bill rates than pre-pandemic and demand for its services remained high with tens of thousands of openings across the nation in all healthcare specialties and across all of its segments. The investments, digital transformation, and other changes and improvements the Company has made during the pandemic have allowed it to quickly respond to the record level of demand that it is continuing to see across a wide range of specialties, including operating room, emergency room, pediatrics, labor and delivery, and medical and surgical services which are not directly related to COVID needs.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Throughout the pandemic, the Company has partnered with its clients to deliver flexible solutions aimed at solving their immediate and long-term challenges. It has continued to provide data, industry insights, marketing analytics, and consulting services to assist clients in determining the appropriate rates necessary to attract the supply they need. One of the Company's core values is to act ethically and responsibly, and it has been especially important during this pandemic to be transparent and build trust with its clients to re-enforce long-lasting relationships as both demand and bill rates have increased to unprecedented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September 30, 2021 and December 31, 2020 totaled $121.9 million and $48.3 million, respectively.</w:t>
      </w: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(amounts in thousands)</w:t>
            </w: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3,416</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September 30, 2021 and December 31, 2020 was $0.8 million and $0.6 million, respectively.</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60"/>
        <w:spacing w:after="0" w:line="308" w:lineRule="auto"/>
        <w:rPr>
          <w:sz w:val="20"/>
          <w:szCs w:val="20"/>
          <w:color w:val="auto"/>
        </w:rPr>
      </w:pPr>
      <w:r>
        <w:rPr>
          <w:rFonts w:ascii="Arial" w:cs="Arial" w:eastAsia="Arial" w:hAnsi="Arial"/>
          <w:sz w:val="17"/>
          <w:szCs w:val="17"/>
          <w:color w:val="auto"/>
        </w:rPr>
        <w:t>systems with a significant percentage in acute-care facilities. No single customer accounted for more than 10% of the Company’s revenue for the three and nine months ended September 30, 2021, or the accounts receivable balance as of September 30, 2021 and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primarily include employee termination costs and lease-related exit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Arial" w:cs="Arial" w:eastAsia="Arial" w:hAnsi="Arial"/>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29"/>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20"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condensed consolidated statements of operations for the nine months ended September 30, 2021 include $1.0 million of ongoing lease costs related to the Company's strategic reduction in its real estate footprint, which are included as operating lease liabilities - current and non-current in our condensed consolidated balance sheets. Other costs were immaterial for the nine months ended September 30,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Effective January 1, 2021, the Company adopted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in Topic 740, and improves consistent application of and simplifies U.S. GAAP for other areas of Topic 740 by clarifying and amending existing guidance. The guidance requires either a prospective, retrospective, or modified retrospective approach depending on the amendment. The Company prospectively adopted this guidance with no material impact on its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347,115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18,055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365,170</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356,139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374,905</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169,264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15,753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185,017</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193,968</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961,608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48,534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1,010,142</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985,335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1,035,973</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547,543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48,994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596,537</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569,306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620,811</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-4448175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-4156710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-3171190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-2879725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-1757045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-1464945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4940" w:space="720"/>
            <w:col w:w="5580"/>
          </w:cols>
          <w:pgMar w:left="320" w:top="931" w:right="339" w:bottom="1440" w:gutter="0" w:footer="0" w:header="0"/>
        </w:sect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first quarter of 2021, the Company modified its reportable segments and, as a result, now discloses the following two reportable segments - Nurse and Allied Staffing and Physician Staffing. Other Services in the amount of $2.3 million and $7.7 million, respectively, included in the previously-reported Search segment have been reclassified to Nurse and Allied Staffing for the three and nine months ended September 30, 2020. See Note 12 - Segment Data.</w:t>
      </w:r>
    </w:p>
    <w:p>
      <w:pPr>
        <w:spacing w:after="0" w:line="1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Country Workforce Solutions Group</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June 8, 2021, the Company purchased and acquired substantially all of the assets and assumed certain liabilities of Workforce Solutions Group, Inc. for a purchase price of $25.0 million in cash (parties have agreed to a net working capital reduction of $1.1 million), and $5.0 million in shares (or 307,730 shares) of the Company's common stock. The transaction was treated as a purchase of assets for income tax purposes.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sellers are also eligible to receive an earnout based on the business' performance through three years after the acquisition date that could provide up to an additional $15.0 million in cash. The current portion of the liability of $7.5 million is included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ind w:right="560"/>
        <w:spacing w:after="0" w:line="277" w:lineRule="auto"/>
        <w:rPr>
          <w:sz w:val="20"/>
          <w:szCs w:val="20"/>
          <w:color w:val="auto"/>
        </w:rPr>
      </w:pPr>
      <w:r>
        <w:rPr>
          <w:rFonts w:ascii="Arial" w:cs="Arial" w:eastAsia="Arial" w:hAnsi="Arial"/>
          <w:sz w:val="18"/>
          <w:szCs w:val="18"/>
          <w:color w:val="auto"/>
        </w:rPr>
        <w:t>in current portion of earnout liability and the non-current portion of $7.5 million is included in long-term contingent consideration on the condensed consolidated balance sheets. See Note 10 - Fair Value Measurements.</w:t>
      </w:r>
    </w:p>
    <w:p>
      <w:pPr>
        <w:spacing w:after="0" w:line="19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business has been branded Cross Country Workforce Solutions Group (WSG) and primarily works with local and national healthcare systems and managed care providers to coordinate in-home care services for participants. WSG also provides a range of consulting and talent management solutions to its healthcare clients, including home care staffing, recruitment process outsourcing, contingent workforce evaluation, and talent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The following table is an estimate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9"/>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w w:val="92"/>
              </w:rPr>
              <w:t>(amounts in thousands)</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11,991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r>
      <w:tr>
        <w:trPr>
          <w:trHeight w:val="223"/>
        </w:trPr>
        <w:tc>
          <w:tcPr>
            <w:tcW w:w="9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3,562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contingent consideration</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9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r>
      <w:tr>
        <w:trPr>
          <w:trHeight w:val="223"/>
        </w:trPr>
        <w:tc>
          <w:tcPr>
            <w:tcW w:w="900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29,334</w:t>
            </w: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assigned a value to other identifiable intangible assets of $14.2 million in customer relationships with a weighted average estimated useful life of 11.5 years. Substantially all of the accounts receivable acquired are expected to be collectible.</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remaining excess purchase price over the fair value of net assets acquired of $22.1 million was recorded as goodwill on the Company's condensed consolidated balance sheet. Associated acquisition-related costs incurred were $1.0 million and have been included in acquisition and integration-related costs on the Company's condensed consolidated statement of operations for the nine months ended September 30, 2021. See Note 7 - Goodwill, Trade Names, and Other Intangible Assets.</w:t>
      </w:r>
    </w:p>
    <w:p>
      <w:pPr>
        <w:spacing w:after="0" w:line="21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acquisition was not significant and has been accounted for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Financial Accounting Standards Board (FASB) Accounting Standard Codification (ASC), using the acquisition method of accounting. WSG's results of operations, since the date of acquisition, are included in the Nurse and Allied Staffing business segment, and are not material. The pro-forma impact on the Company's consolidated revenue from services and net income, including the pro forma effect of events that are directly attributable to the acquisition, was not significant.</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COMPREHENSIVE INCOME (LOSS)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$1.3 million at September 30, 2021 and December 31, 2020.</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was no income tax impact related to components of other comprehensive income (loss)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0"/>
                <w:szCs w:val="20"/>
                <w:color w:val="auto"/>
              </w:rPr>
            </w:pPr>
          </w:p>
        </w:tc>
        <w:tc>
          <w:tcPr>
            <w:tcW w:w="19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3"/>
                <w:szCs w:val="23"/>
                <w:color w:val="auto"/>
              </w:rPr>
            </w:pPr>
          </w:p>
        </w:tc>
        <w:tc>
          <w:tcPr>
            <w:tcW w:w="19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66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9"/>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20" w:type="dxa"/>
            <w:vAlign w:val="bottom"/>
            <w:gridSpan w:val="9"/>
          </w:tcPr>
          <w:p>
            <w:pPr>
              <w:jc w:val="right"/>
              <w:ind w:right="90"/>
              <w:spacing w:after="0"/>
              <w:rPr>
                <w:sz w:val="20"/>
                <w:szCs w:val="20"/>
                <w:color w:val="auto"/>
              </w:rPr>
            </w:pPr>
            <w:r>
              <w:rPr>
                <w:rFonts w:ascii="Arial" w:cs="Arial" w:eastAsia="Arial" w:hAnsi="Arial"/>
                <w:sz w:val="14"/>
                <w:szCs w:val="14"/>
                <w:color w:val="auto"/>
                <w:w w:val="90"/>
              </w:rPr>
              <w:t>(amounts in thousands, except per share data)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shareholders - 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23,433</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36,058</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Effect of diluted shares: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Share-based awards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36,058</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0.63</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0.62</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400" w:firstLine="8"/>
        <w:spacing w:after="0" w:line="260"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net loss for the three and nine months ended September 30, 2020, 227,821 and 252,810 shares, respectively, were excluded from diluted weighted average shares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Arial" w:cs="Arial" w:eastAsia="Arial" w:hAnsi="Arial"/>
                <w:sz w:val="18"/>
                <w:szCs w:val="18"/>
                <w:color w:val="auto"/>
                <w:w w:val="93"/>
              </w:rPr>
              <w:t>The Company had the following acquired intangible assets: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17,612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15,322</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1"/>
              </w:rPr>
              <w:t>As of September 30, 2021, estimated annual amortization expense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8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10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Nurse and</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7"/>
                <w:szCs w:val="17"/>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Allied Staffing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Staffing</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367,880</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to aggregate goodwill in 2021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Aggregate goodwill acquired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Balances as of September 30, 2021</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433,351</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3"/>
        </w:trPr>
        <w:tc>
          <w:tcPr>
            <w:tcW w:w="608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43" w:lineRule="exact"/>
        <w:rPr>
          <w:sz w:val="20"/>
          <w:szCs w:val="20"/>
          <w:color w:val="auto"/>
        </w:rPr>
      </w:pPr>
    </w:p>
    <w:p>
      <w:pPr>
        <w:ind w:right="20" w:firstLine="8"/>
        <w:spacing w:after="0" w:line="231" w:lineRule="auto"/>
        <w:tabs>
          <w:tab w:leader="none" w:pos="24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goodwill acquired from the acquisition of WSG, calculated as the excess of the fair value of consideration exchanged as compared to the fair value of identifiable net assets acquired. See Note 4 - Acquisition. During the measurement period, which is not to exceed one year from the acquisition date, the Company may record adjustments to the assets acquired or liabilities assumed, with a corresponding offset to goodwill. Upon conclusion of the measurement period, any subsequent adjustments would be recorded to earnings.</w:t>
      </w:r>
    </w:p>
    <w:p>
      <w:pPr>
        <w:spacing w:after="0" w:line="2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conjunction with the changes to its segments, the Company now discloses the following two reportable segments - Nurse and Allied Staffing and Physician Staffing. In the table above, goodwill balances and activity previously reported in the Search segment have been reclassified to Nurse and Allied Staffing.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2021, the Company performed a qualitative assessment of each of its reporting units and determined it was not more likely than not that the fair value of its reporting units dropped below their carrying value.</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COVID-19 pandemic on the business, all reporting units were quantitatively tested. For the Nurse and Allied Staffing and Physician Staffing reporting units no impairment was identified as the fair value was substantially in excess of the carrying amount of goodwill. However, the previously-reported Search reporting unit under-performed in the second quarter of 2020. As a result, the Company performed quantitative testing of the Search reporting unit which resulted in impairment charges of $10.2 million for its goodwill and $0.3 million for its customer relationships.</w:t>
      </w:r>
    </w:p>
    <w:p>
      <w:pPr>
        <w:spacing w:after="0" w:line="21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September 30, 2021 will prove to be accurate predictions of future performance.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240"/>
        <w:spacing w:after="0" w:line="263" w:lineRule="auto"/>
        <w:rPr>
          <w:sz w:val="20"/>
          <w:szCs w:val="20"/>
          <w:color w:val="auto"/>
        </w:rPr>
      </w:pPr>
      <w:r>
        <w:rPr>
          <w:rFonts w:ascii="Arial" w:cs="Arial" w:eastAsia="Arial" w:hAnsi="Arial"/>
          <w:sz w:val="18"/>
          <w:szCs w:val="18"/>
          <w:color w:val="auto"/>
        </w:rPr>
        <w:t>For its long-lived assets and definite-lived intangible assets, the Company reviews for impairment whenever events or changes in circumstances indicate the carrying amount may not be recoverable. During the nine months ended September 30, 2021, the Company wrote off a discontinued software development project, resulting in an immaterial impairment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its rebranding efforts, the Company made a decision at the end of 2019 to phase out a trade name by the end of 2020, which as of December 31, 2019 would have been recognized over a weighted average life of 7.5 years. In the second quarter of 2020, the Company further accelerated its rebranding plan and shortened the estimated remaining life of the trade name. Total accelerated amortization resulting from the changes in the estimated remaining life of the trade name were $0.9 million, or $0.03 per share, and $3.1 million, or $0.09 per share, for the three and nine months ended September 30,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4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2"/>
                <w:szCs w:val="22"/>
                <w:color w:val="auto"/>
              </w:rPr>
            </w:pPr>
          </w:p>
        </w:tc>
        <w:tc>
          <w:tcPr>
            <w:tcW w:w="222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85"/>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(amounts in thousands)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Term Loan, interest of 6.50% at September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99,750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(4,085)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Senior Secured Asset-Based Loan, interest of 1.58% and 2.73% at September 30,</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and December 31, 2020, respectively</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Note Payable, interest of 2.00% per annum</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Less current portion - note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 term loan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102,750</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55,834</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September 30, 2021 and December 31, 2020, the current portion of the note payable and the term loan is included in current portion of debt on the condensed consolidated balance sheets. The Company has elected to present the debt issuance costs associated with its revolving line-of-credit as an asset, which is included in other non-current assets on the condensed consolidated balance sheets. In addition, the non-current portion of the note payable as of December 31, 2020 is included in other long-term liabilities on the condensed consolidated balance sheets. As a result, the long-term debt in the above table will not agree to long-term debt, net of current portion on the condensed consolidated balance sheets herein.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w w:val="92"/>
              </w:rPr>
              <w:t>As of September 30, 2021, the aggregate schedule for maturities of debt are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Term Loan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Senior Secured</w:t>
            </w:r>
          </w:p>
        </w:tc>
        <w:tc>
          <w:tcPr>
            <w:tcW w:w="180" w:type="dxa"/>
            <w:vAlign w:val="bottom"/>
          </w:tcPr>
          <w:p>
            <w:pPr>
              <w:spacing w:after="0"/>
              <w:rPr>
                <w:sz w:val="24"/>
                <w:szCs w:val="24"/>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Note Payable</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7"/>
              </w:rPr>
              <w:t>Asset-Based Loan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(amounts in thousands)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Through Years Ending December 31: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2021 Term Loan Credit Agreement</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 with the remainder used to pay down a portion of the asset 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2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$250,000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September 30, 2021. Obligations under the Term Loan Agreement are secured by substantially all the assets of the borrowers and guarantors under the Term Loan Agreement, subject to customary exceptions.</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Agreement also contains customary events of default. If an event of default under the Term Loan Agreement occurs and is continuing, then the administrative agent or the requisite Lenders may declare any outstanding obligations under the Term Loan Agreement to be immediately due and payable. In addition, the Company or any of its subsidiaries becoming the subject of voluntary or involuntary proceedings under any bankruptcy, insolvency or similar law, constitutes an event of default under the Term Loan Agreement.</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loan is secured by a second-priority security interest in the collateral as defined in the ABL Credit Agreement (as described below), and Wells Fargo Bank, National Association as agent, as amended by the First Amendment, Second Amendment, and Third Amendment to the ABL Credit Agreement (as described below).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and entered into an ABL Credit Agreement (Loan Agreement).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3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plus an amount of Supplemental Availability (as defined by the Loan Agreement), reducing over time in accordance with the terms of the Loan Agreement, minus customary reserves, and subject to customary adjustments. Revolving loans and letters of credit issued under the Loan Agreement reduce availability under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320"/>
        <w:spacing w:after="0" w:line="263" w:lineRule="auto"/>
        <w:rPr>
          <w:sz w:val="20"/>
          <w:szCs w:val="20"/>
          <w:color w:val="auto"/>
        </w:rPr>
      </w:pPr>
      <w:r>
        <w:rPr>
          <w:rFonts w:ascii="Arial" w:cs="Arial" w:eastAsia="Arial" w:hAnsi="Arial"/>
          <w:sz w:val="18"/>
          <w:szCs w:val="18"/>
          <w:color w:val="auto"/>
        </w:rPr>
        <w:t>ABL on a dollar-for-dollar basis. Availability under the ABL will be used for general corporate purposes. At September 30, 2021, availability under the ABL was $149.2 million and the Company had $4.0 million of borrowings drawn, as well as $18.5 million of letters of credit outstanding related to workers' compensation and professional liability policies, leaving $126.7 million available for borrowing.</w:t>
      </w:r>
    </w:p>
    <w:p>
      <w:pPr>
        <w:spacing w:after="0" w:line="7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September 30, 2021, the interest rate spreads and fees under the Loan Agreement were based on LIBOR plus 1.50% for the revolving portion of the borrowing base and LIBOR plus 4.00% on the Supplemental Availability. The Base Rate (as defined by the Loan Agreement) margins would have been</w:t>
      </w:r>
    </w:p>
    <w:p>
      <w:pPr>
        <w:ind w:right="20"/>
        <w:spacing w:after="0" w:line="253" w:lineRule="auto"/>
        <w:rPr>
          <w:sz w:val="20"/>
          <w:szCs w:val="20"/>
          <w:color w:val="auto"/>
        </w:rPr>
      </w:pPr>
      <w:r>
        <w:rPr>
          <w:rFonts w:ascii="Arial" w:cs="Arial" w:eastAsia="Arial" w:hAnsi="Arial"/>
          <w:sz w:val="18"/>
          <w:szCs w:val="18"/>
          <w:color w:val="auto"/>
        </w:rPr>
        <w:t>0.50% and 3.00%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Loan Agreement contains various restrictions and covenants applicable to the Company and its subsidiaries, including a covenant to maintain a minimum fixed charge coverage ratio. The Company was in compliance with this covenant as of September 30, 2021. Obligations under the ABL are secured by substantially all the assets of the borrowers and guarantors, subject to customary exceptions.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the first quarter of 2020, the Company entered into a note payable of $7.3 million related to contingent consideration assumed as part of a prior period acquisition, payable in three installments. The first two installments of $2.4 million each were paid in the second quarter of 2020 and in the first quarter of 2021, respectively. The third installment of $2.5 million is to be paid, together with interest at a rate of 2% per annum, accruing from April 1, 2020, on January 31, 2022. At September 30, 2021, the note payable balance is included in current portion of debt on the condensed consolidated balance sheets.</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Company's lease population of its right-of-use asset and lease liabilities under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of the FASB ASC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Beginning in the second quarter of 2020, in connection with the continuing developments from COVID-19, the Company expedited restructuring plans and either reduced or fully vacated leased office space. The Company is in the process of seeking to sublet some of the space where possible. The decision and change in the use of space resulted in a right-of-use asset impairment charge of $1.7 million and $4.4 million for the nine months ended September 30, 2021 and 2020, respectively. This loss was determined by comparing the fair value of the impacted right-of-use assets to the carrying value of the assets as of the impairment measurement date, in accordance with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The fair value of the right-of-use assets was based on the estimated sublease income for the space taking into consideration the time period it will take to obtain a subtenant, the applicable discount rate, and the sublease rate. For the nine months ended September 30, 2021 and 2020, respectively, the Company wrote off a total of $0.2 million and $1.0 million of leasehold improvements and other property and equipment related to these locations. The measurement of the right-of-use asset impairments, using the assumptions described, is a Level 3 fair value measurement. See Note 10 - Fair Value Measurements for a description of Level 3 inputs.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w w:val="97"/>
              </w:rPr>
              <w:t>Classification on Condensed Consolidated Balance Sheets:</w:t>
            </w: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September 30, 2021</w:t>
            </w: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40" w:type="dxa"/>
            <w:vAlign w:val="bottom"/>
            <w:gridSpan w:val="3"/>
          </w:tcPr>
          <w:p>
            <w:pPr>
              <w:jc w:val="right"/>
              <w:ind w:right="1750"/>
              <w:spacing w:after="0"/>
              <w:rPr>
                <w:sz w:val="20"/>
                <w:szCs w:val="20"/>
                <w:color w:val="auto"/>
              </w:rPr>
            </w:pPr>
            <w:r>
              <w:rPr>
                <w:rFonts w:ascii="Arial" w:cs="Arial" w:eastAsia="Arial" w:hAnsi="Arial"/>
                <w:sz w:val="18"/>
                <w:szCs w:val="18"/>
                <w:color w:val="auto"/>
              </w:rPr>
              <w:t>(amounts in thousands)</w:t>
            </w: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23"/>
                <w:szCs w:val="23"/>
                <w:color w:val="auto"/>
                <w:vertAlign w:val="superscript"/>
              </w:rPr>
              <w:t>(a)</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8,064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 current </w:t>
            </w:r>
            <w:r>
              <w:rPr>
                <w:rFonts w:ascii="Arial" w:cs="Arial" w:eastAsia="Arial" w:hAnsi="Arial"/>
                <w:sz w:val="23"/>
                <w:szCs w:val="23"/>
                <w:color w:val="auto"/>
                <w:vertAlign w:val="superscript"/>
              </w:rPr>
              <w:t>(a)</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4,362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 non-current </w:t>
            </w:r>
            <w:r>
              <w:rPr>
                <w:rFonts w:ascii="Arial" w:cs="Arial" w:eastAsia="Arial" w:hAnsi="Arial"/>
                <w:sz w:val="23"/>
                <w:szCs w:val="23"/>
                <w:color w:val="auto"/>
                <w:vertAlign w:val="superscript"/>
              </w:rPr>
              <w:t>(a)</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12,280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r>
      <w:tr>
        <w:trPr>
          <w:trHeight w:val="864"/>
        </w:trPr>
        <w:tc>
          <w:tcPr>
            <w:tcW w:w="50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Arial" w:cs="Arial" w:eastAsia="Arial" w:hAnsi="Arial"/>
                <w:sz w:val="18"/>
                <w:szCs w:val="18"/>
                <w:b w:val="1"/>
                <w:bCs w:val="1"/>
                <w:color w:val="auto"/>
              </w:rPr>
              <w:t>September 30, 2021</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6.38 %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6.32 %</w:t>
            </w:r>
          </w:p>
        </w:tc>
      </w:tr>
      <w:tr>
        <w:trPr>
          <w:trHeight w:val="310"/>
        </w:trPr>
        <w:tc>
          <w:tcPr>
            <w:tcW w:w="5700" w:type="dxa"/>
            <w:vAlign w:val="bottom"/>
          </w:tcPr>
          <w:p>
            <w:pPr>
              <w:spacing w:after="0"/>
              <w:rPr>
                <w:sz w:val="20"/>
                <w:szCs w:val="20"/>
                <w:color w:val="auto"/>
              </w:rPr>
            </w:pPr>
            <w:r>
              <w:rPr>
                <w:rFonts w:ascii="Arial" w:cs="Arial" w:eastAsia="Arial" w:hAnsi="Arial"/>
                <w:sz w:val="18"/>
                <w:szCs w:val="18"/>
                <w:b w:val="1"/>
                <w:bCs w:val="1"/>
                <w:color w:val="auto"/>
              </w:rPr>
              <w:t>________________</w:t>
            </w: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ind w:right="120" w:firstLine="8"/>
        <w:spacing w:after="0" w:line="260"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include lease assets and liabilities related to the eight locations added as part of the acquisition of WSG: operating lease right-of-use assets of $1.0 million, operating lease current liabilities of $0.3 million, and operating lease non-current liabilities of $0.7 million.</w:t>
      </w:r>
    </w:p>
    <w:p>
      <w:pPr>
        <w:spacing w:after="0" w:line="212"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The table below reconciles the undiscounted cash flows for each of the first five years and total of the remaining years to the operating lease liabilities (which do not include short-term leases) recorded on the condensed consolidated balance sheets as of September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Arial" w:cs="Arial" w:eastAsia="Arial" w:hAnsi="Arial"/>
                <w:sz w:val="18"/>
                <w:szCs w:val="18"/>
                <w:color w:val="auto"/>
                <w:w w:val="96"/>
              </w:rPr>
              <w:t>(amounts in thousands)</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3,960</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18,649</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16,642</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Pr>
          <w:p>
            <w:pPr>
              <w:spacing w:after="0"/>
              <w:rPr>
                <w:sz w:val="21"/>
                <w:szCs w:val="2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4,692</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5,404</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1,088</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554"/>
        </w:trPr>
        <w:tc>
          <w:tcPr>
            <w:tcW w:w="72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21"/>
                <w:szCs w:val="2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848</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1,033</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419</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494"/>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Pr>
          <w:p>
            <w:pPr>
              <w:spacing w:after="0"/>
              <w:rPr>
                <w:sz w:val="24"/>
                <w:szCs w:val="24"/>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2,700</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3,946</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2,523</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1,638</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r>
    </w:tbl>
    <w:p>
      <w:pPr>
        <w:spacing w:after="0" w:line="3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2021,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(i) deferred compensation asset included in other non-current assets; and (ii) deferred compensation liability included in other long-term liabilities on its condensed consolidated balance sheets.</w:t>
      </w:r>
    </w:p>
    <w:p>
      <w:pPr>
        <w:spacing w:after="0" w:line="15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Fair Value Measurements</w:t>
      </w:r>
    </w:p>
    <w:p>
      <w:pPr>
        <w:spacing w:after="0" w:line="50" w:lineRule="exact"/>
        <w:rPr>
          <w:sz w:val="20"/>
          <w:szCs w:val="20"/>
          <w:color w:val="auto"/>
        </w:rPr>
      </w:pPr>
    </w:p>
    <w:p>
      <w:pPr>
        <w:ind w:left="6980"/>
        <w:spacing w:after="0"/>
        <w:tabs>
          <w:tab w:leader="none" w:pos="9380" w:val="left"/>
        </w:tabs>
        <w:rPr>
          <w:sz w:val="20"/>
          <w:szCs w:val="20"/>
          <w:color w:val="auto"/>
        </w:rPr>
      </w:pPr>
      <w:r>
        <w:rPr>
          <w:rFonts w:ascii="Arial" w:cs="Arial" w:eastAsia="Arial" w:hAnsi="Arial"/>
          <w:sz w:val="18"/>
          <w:szCs w:val="18"/>
          <w:b w:val="1"/>
          <w:bCs w:val="1"/>
          <w:color w:val="auto"/>
        </w:rPr>
        <w:t>September 30, 2021</w:t>
      </w:r>
      <w:r>
        <w:rPr>
          <w:sz w:val="20"/>
          <w:szCs w:val="20"/>
          <w:color w:val="auto"/>
        </w:rPr>
        <w:tab/>
      </w: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1"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0576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nine months ended September 30, 2021 and 2020 included impairment charges to right-of-use assets along with related property and equipment in connection with leases that were vacated during the year. The nine months ended September 30, 2020 also included impairment charges to goodwill and other intangible assets primarily related to the previously-reported Search reporting unit. Accordingly, as of September 30, 2021 and 2020, these assets were recorded at fair value using Level 3 inputs. See Note 7 - Goodwill, Trade Names, and Other Intangible Assets and Note 9 - Leases for more information about these 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and (iv) contingent consideration liability, as discussed below.</w:t>
      </w:r>
    </w:p>
    <w:p>
      <w:pPr>
        <w:spacing w:after="0" w:line="199" w:lineRule="exact"/>
        <w:rPr>
          <w:sz w:val="20"/>
          <w:szCs w:val="20"/>
          <w:color w:val="auto"/>
        </w:rPr>
      </w:pPr>
    </w:p>
    <w:p>
      <w:pPr>
        <w:ind w:firstLine="8"/>
        <w:spacing w:after="0" w:line="255" w:lineRule="auto"/>
        <w:tabs>
          <w:tab w:leader="none" w:pos="21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paid the second installment on its note payable in the first quarter of 2021. The remaining balance is included in current portion of debt on the condensed consolidated balance sheets. Due to its relatively short-term nature, the carrying value of the note payable approximates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contingent consideration liability. The contingent consideration liability's carrying amount approximates fair value and is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1"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included in current portion of earnout liability and long-term contingent consideration on the condensed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September 30, 2021</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1040" w:type="dxa"/>
            <w:vAlign w:val="bottom"/>
          </w:tcPr>
          <w:p>
            <w:pPr>
              <w:jc w:val="center"/>
              <w:ind w:left="570"/>
              <w:spacing w:after="0" w:line="169" w:lineRule="exact"/>
              <w:rPr>
                <w:sz w:val="20"/>
                <w:szCs w:val="20"/>
                <w:color w:val="auto"/>
              </w:rPr>
            </w:pPr>
            <w:r>
              <w:rPr>
                <w:rFonts w:ascii="Arial" w:cs="Arial" w:eastAsia="Arial" w:hAnsi="Arial"/>
                <w:sz w:val="18"/>
                <w:szCs w:val="18"/>
                <w:b w:val="1"/>
                <w:bCs w:val="1"/>
                <w:color w:val="auto"/>
              </w:rPr>
              <w:t>Fair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r>
      <w:tr>
        <w:trPr>
          <w:trHeight w:val="230"/>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(amounts in thousands)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Arial" w:cs="Arial" w:eastAsia="Arial" w:hAnsi="Arial"/>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4,000</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53,408</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53,408</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Arial" w:cs="Arial" w:eastAsia="Arial" w:hAnsi="Arial"/>
                <w:sz w:val="18"/>
                <w:szCs w:val="18"/>
                <w:color w:val="auto"/>
              </w:rPr>
              <w:t>Contingent Consideration</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80" w:lineRule="exact"/>
        <w:rPr>
          <w:sz w:val="20"/>
          <w:szCs w:val="20"/>
          <w:color w:val="auto"/>
        </w:rPr>
      </w:pPr>
    </w:p>
    <w:p>
      <w:pPr>
        <w:ind w:right="8520" w:firstLine="8"/>
        <w:spacing w:after="0" w:line="518" w:lineRule="auto"/>
        <w:tabs>
          <w:tab w:leader="none" w:pos="39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nine months ended September 30, 2021 and 2020, the Company did not repurchase any shares of its common stock. As of September 30, 2021, the Company has 510,004 shares of common stock under the current share repurchase program available to repurchase, subject to certain conditions in the Company's ABL Credit Agreement and Term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19, 2020, the Company's shareholders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(Plans) for the nine months ended September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Average</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483,900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168,324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(653,758)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(136,506)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(194,309)</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1,039,455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120"/>
        <w:spacing w:after="0" w:line="342" w:lineRule="auto"/>
        <w:rPr>
          <w:sz w:val="20"/>
          <w:szCs w:val="20"/>
          <w:color w:val="auto"/>
        </w:rPr>
      </w:pPr>
      <w:r>
        <w:rPr>
          <w:rFonts w:ascii="Arial" w:cs="Arial" w:eastAsia="Arial" w:hAnsi="Arial"/>
          <w:sz w:val="16"/>
          <w:szCs w:val="16"/>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Plans, the number of target shares that are issued for performance-based stock awards are determined based on the level of attainment of the targets. In the first quarter of 2021, it was determined that the performance stock awards that were granted in 2018 were not earned and, accordingly, those shares were forfeited.</w:t>
      </w:r>
    </w:p>
    <w:p>
      <w:pPr>
        <w:spacing w:after="0" w:line="211"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During the three and nine months ended September 30, 2021, $1.8 million and $5.3 million, respectively, was included in selling, general and administrative expenses related to share-based payments, and a net of 2,576 and 479,206 shares, respectively, of common stock were issued upon the vesting of restricted stock.</w:t>
      </w:r>
    </w:p>
    <w:p>
      <w:pPr>
        <w:spacing w:after="0" w:line="20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During the three and nine months ended September 30, 2020, $1.1 million and $4.1 million, respectively, was included in selling, general and administrative expenses related to share-based payments, and a net of 2,576 and 306,550 shares, respectively, of common stock were issued upon the vesting of restricted stock.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DATA</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first quarter of 2021, the Company modified its disclosures of reportable segments to better align with its management structure and to reflect how the operating results are regularly reviewed by the chief operating decision maker. As a result, the two reportable segments are now Nurse and Allied Staffing and Physician Staffing, and the results of the previously-reported Search segment have been consolidated within Nurse and Allied Staffing for all periods presented. The Company’s segments offer services to its customers as described below:</w:t>
      </w:r>
    </w:p>
    <w:p>
      <w:pPr>
        <w:spacing w:after="0" w:line="198" w:lineRule="exact"/>
        <w:rPr>
          <w:sz w:val="20"/>
          <w:szCs w:val="20"/>
          <w:color w:val="auto"/>
        </w:rPr>
      </w:pPr>
    </w:p>
    <w:p>
      <w:pPr>
        <w:ind w:left="660" w:hanging="328"/>
        <w:spacing w:after="0" w:line="293"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provides traditional staffing, recruiting, and value-added total talent solutions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and permanent placement of travel and local nurse and allied professionals, managed services programs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91" w:lineRule="exact"/>
        <w:rPr>
          <w:rFonts w:ascii="Arial" w:cs="Arial" w:eastAsia="Arial" w:hAnsi="Arial"/>
          <w:sz w:val="16"/>
          <w:szCs w:val="16"/>
          <w:color w:val="auto"/>
        </w:rPr>
      </w:pPr>
    </w:p>
    <w:p>
      <w:pPr>
        <w:ind w:left="660" w:right="340" w:hanging="328"/>
        <w:spacing w:after="0" w:line="311"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9"/>
                <w:szCs w:val="19"/>
                <w:color w:val="auto"/>
              </w:rPr>
            </w:pPr>
          </w:p>
        </w:tc>
        <w:tc>
          <w:tcPr>
            <w:tcW w:w="27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356,139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177,516</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985,335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569,306</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51,505</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374,905</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193,968</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1,035,973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620,811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w:t>
            </w:r>
          </w:p>
        </w:tc>
      </w:tr>
      <w:tr>
        <w:trPr>
          <w:trHeight w:val="23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Corporate overhead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36,993</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5,210</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63,342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1"/>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80" w:firstLine="8"/>
        <w:spacing w:after="0" w:line="260"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result of modifying the Company's reportable segments, revenue in the amount of $2.3 million and $7.7 million, respectively, and contribution loss in the amount of $0.3 million and $1.7 million, respectively, included in the previously-reported Search segment have been reclassified to Nurse and Allied Staffing for the three and nine months ended September 30, 2020.</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third quarter of 2021, the Company entered into an agreement providing for the reimbursement of $1.6 million in legal fees incurred in 2020 and 2021, relating to the grand jury subpoena previously disclosed in the Company's 2020 Form 10-K. The reimbursement has been collected subsequent to September 30, 2021. The Company believes the outcome of any outstanding loss contingencies as of September 30, 2021 will not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For the three and nine months ended September 30, 2021 and 2020, the Company calculated its effective tax rate based on year-to-date results, pursuant to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The Company’s effective tax rate for the three and nine months ended September 30, 2021 was 4.9% and 9.1%, respectively, including the impact of discrete items, and 4.9% and 5.9%, respectively, excluding discrete items. The Company's effective tax rate for the three and nine months ended September 30, 2020 was negative 17.2% and 0.2%, respectively, including the impact of discrete items. Excluding discrete items, the Company's effective tax rate for the three and nine months ended September 30, 2020 was negative 18.6% and negative 3.2%, respectively. As a result of the Company's valuation allowance on substantially all of its domestic deferred tax assets, income tax expense for the three months ended September 30, 2021 and 2020 was primarily impacted by international and state taxes. Income tax expense for the nine months ended September 30, 2021 was further impacted by additional valuation allowance required as a result of the WSG acquisition, while 2020 was further impacted by the impairment of indefinite-lived intangibles.</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of September 30, 2021 and December 31, 2020, the Company had a valuation allowance of $25.0 million and $37.5 million, respectively. For the nine months ended September 30, 2021, the valuation allowance decreased $14.6 million due to the Company's estimate of taxable income. This decrease was partially offset by a $2.1 million increase of the valuation allowance as a result of the WSG acquisition, and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the increase was included in income tax expense. The valuation allowance applied to all domestic deferred tax assets other than certain deferred tax assets expected to be realized.</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2021, the Company had approximately $1.0 million of unrecognized tax benefits included in other long-term liabilities, $8.2 million, net of deferred taxes, which would impact the effective tax rate if recognized. During the nine months ended September 30, 2021, the Company had a gross increase of $1.1 million to its current year unrecognized tax benefits related to federal and state tax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2020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Prior to December 31, 2020, the Company had a 68% ownership interest in Cross Country Talent Acquisition Group, LLC, a joint venture between the Company and a hospital system. The Company generated revenue providing staffing services to the hospital system of $3.6 million and $11.3 million, respectively, for the three and nine months ended September 30, 2020, with no activity for the same periods in 2021. At December 31, 2020, the Company had a receivable balance of $1.7 million and a payable balance of $0.2 million, with no such balances as of September 30, 2021. Effective December 31, 2020, the sole professional staffing services agreement held by its joint venture was terminated, at which time the Company entered into a direct staffing agreement with the hospital system. The Company dissolved Cross Country Talent Acquisition Group, LLC during the third quarter of 2021.</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entered into an arrangement for digital marketing services provided by a firm that is related to Mr. Clark, the Company's Co-Founder &amp; Chief Executive Officer.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nine months ended September 30, 2021, the Company incurred $0.2 million in expenses related to these fees. During the three months ended September 30, 2021 and the three and nine months ended September 30, 2020, the Company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incurred an immaterial amount in expenses. The Company had no payable balance at September 30, 2021 and December 31, 2020.</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provides services to a health system affiliated with a member of the Company’s Board of Directors. Management believes the services were conducted on terms equivalent to those prevailing in an arm's-length transaction. Revenue related to these transactions was $0.2 million and $0.3 million, respectively, for the three and nine months ended September 30, 2021, and an immaterial amount for the nine months ended September 30, 2020. Accounts receivable due from this health system was $0.2 million at September 30, 2021 and an immaterial amount at December 31, 2020.</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the WSG acquisition on June 8, 2021, the Company continues to rent WSG's headquarters. The Chief Executive Officer and Founder of WSG, and currently a business unit president with the Company, is an agent of the lessor. The lease term is from January 1, 2020 through December 31, 2024. The Company paid an immaterial amount in rent expense for these premises for the three months ended September 30, 2021, and had an immaterial payable balance at September 30, 2021.</w:t>
      </w:r>
    </w:p>
    <w:p>
      <w:pPr>
        <w:spacing w:after="0" w:line="21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first two installments have been paid, leaving a note payable balance of $2.5 million and accrued interest of $0.1 million at September 30, 2021.</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On March 12,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U.S. GAAP to contracts, hedging relationships,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subject to meeting certain criteria, that reference LIBOR or another reference rate expected to be discontinued. When elected, the optional expedients for contract modifications must be applied consistently for all eligible contracts or transactions. On January 7, 2021, the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refine the scope of guidance on reference rate reform to apply to derivatives that are affected by the discounting transition. The amendments in these updates are effective as of March 12, 2020 through December 31, 2022. As of September 30, 2021, the Company does not anticipate that this guidance will have a material impact on its consolidated financial statements; however, it will continue to assess the potential impact on its debt contracts and future hedging relationships, if applicable, through the effective period.</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2020 Form 10-K (including Part I, Item 1A, "Risk Factors"), our financial statements and the accompanying notes to our financial statements, as well as the Risk Factors contained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consultative services for healthcare customers by recruiting and placing highly qualified healthcare professionals in virtually every specialty and area of expertise. Our diverse customer base includes both public and private acute care and non-acute care hospitals, outpatient clinics, ambulatory care facilities, single- and multi-specialty physician practices, rehabilitation facilities, urgent care centers, local and national healthcare systems, managed care providers, public and charter schools, correctional facilities, government facilities, pharmacies, and many other healthcare providers. Through our national staffing teams, we offer our workforce solutions and we can place clinicians on travel and per diem assignments, local short-term contracts, and permanent positions. Our workforce solutions include managed service programs (MSPs), internal resource pool (IRP), recruitment process outsourcing (RPO), and other outsourcing and consultative services as described in Item 1. “Business” in our 2020 Form 10-K. By utilizing our various solutions, customers can better plan their personnel needs, talent acquisition and management processes, strategically flex and balance their workforce, access quality healthcare personnel, and provide continuity of care for improved patient outcomes. We have a longstanding history of investing in our diversity, equality, and inclusion strategic initiatives as a key component of the organization’s overall corporate social responsibility program which is closely aligned with our core values to create a better future for our people, communities, the planet, and our shareholders.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ind w:right="20"/>
        <w:spacing w:after="0" w:line="279" w:lineRule="auto"/>
        <w:rPr>
          <w:sz w:val="20"/>
          <w:szCs w:val="20"/>
          <w:color w:val="auto"/>
        </w:rPr>
      </w:pPr>
      <w:r>
        <w:rPr>
          <w:rFonts w:ascii="Arial" w:cs="Arial" w:eastAsia="Arial" w:hAnsi="Arial"/>
          <w:sz w:val="17"/>
          <w:szCs w:val="17"/>
          <w:color w:val="auto"/>
        </w:rPr>
        <w:t>In the first quarter of 2021, we modified our reportable segments to reflect the following two business segments: Nurse and Allied Staffing and Physician Staffing. Based on our revised management structure that better aligns with our operations, we aggregated the previously-reported Search segment in Nurse and Allied Staffing to reflect how the business is evaluated, and the operating results are regularly reviewed by the chief operating decision maker. Prior period data in this MD&amp;A has been reclassified to conform to the new segment reporting structure.</w:t>
      </w:r>
    </w:p>
    <w:p>
      <w:pPr>
        <w:spacing w:after="0" w:line="198" w:lineRule="exact"/>
        <w:rPr>
          <w:sz w:val="20"/>
          <w:szCs w:val="20"/>
          <w:color w:val="auto"/>
        </w:rPr>
      </w:pPr>
    </w:p>
    <w:p>
      <w:pPr>
        <w:ind w:left="660" w:right="140" w:hanging="328"/>
        <w:spacing w:after="0" w:line="271" w:lineRule="auto"/>
        <w:tabs>
          <w:tab w:leader="none" w:pos="62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95% of our total revenue in the third quarter of 2021. The Nurse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Optimal Workforce Solutions (OWS), IRP, and consulting services.</w:t>
      </w:r>
    </w:p>
    <w:p>
      <w:pPr>
        <w:spacing w:after="0" w:line="205" w:lineRule="exact"/>
        <w:rPr>
          <w:rFonts w:ascii="Arial" w:cs="Arial" w:eastAsia="Arial" w:hAnsi="Arial"/>
          <w:sz w:val="17"/>
          <w:szCs w:val="17"/>
          <w:color w:val="auto"/>
        </w:rPr>
      </w:pPr>
    </w:p>
    <w:p>
      <w:pPr>
        <w:ind w:left="660" w:right="40" w:hanging="328"/>
        <w:spacing w:after="0" w:line="263"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5% of our total revenue in the third quarter of 2021.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43"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For the quarter ended September 30, 2021, revenue from services increased 93% year-over-year to $374.9 million, due to continued solid execution and strong performance in our Nurse and Allied Staffing segment, and growth in our Physician Staffing segment. Given the incredibly tight labor market and</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extreme risk faced by healthcare professionals throughout the pandemic, direct operating expenses rose by 99% over the prior year. Average bill rates rose slightly over the third quarter. This was due in part to regional spikes in demand related to the Delta variant and the enactment of vaccination mandates. Average bill rates also rose as we continued to experience higher demand related to non-COVID-19 assignments, with a record level of demand across a wide range of specialties. Throughout the pandemic, we have worked with our clients to adjust bill rates to reflect the changing compensation costs in order to provide the critical healthcare professionals they need. Net income attributable to common shareholders in the third quarter of 2021 was $23.4 million, as compared to a net loss of $1.3 million in the prior year. For the nine months ended September 30, 2021, revenue from services increased 67% year-over-year, and exceeded $1.0 billion for the first time in Company history.</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Average bill rates are expected to rise again in the fourth quarter, not only related to COVID-19 but also due to rising needs in non-COVID-19 assignments, coupled with greater numbers of clinicians leaving the workforce. Given broader market conditions of continued high demand and a very tight labor market, we expect rates will trend down in 2022, but more slowly than the rises we have seen.</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months ended September 30, 2021, cash flow used in operating activities was $2.8 million, with net repayments of $12.0 million on our senior-secured asset-based credit facility (ABL), and an increase in working capital stemming from the strong sequential growth in our business. As of September 30, 2021, we had $0.8 million of cash and cash equivalents,with a principal balance of $99.7 million outstanding on our term loan. Availability under the ABL was $149.2 million, with $4.0 million of borrowings drawn under our ABL, and $18.5 million of undrawn letters of credit outstanding, leaving $126.7 million available for borrowing.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 Update</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continue to closely monitor the COVID-19 pandemic, and prioritize the mental health and well-being of our employees. While operating primarily through a remote workforce, our offices remain open with stringent safety guidelines and procedures in place, including allowing only vaccinated employees on-site, social distancing, and enhanced cleaning at all of our locations. Business travel, including visits to our healthcare clients, continues to be somewhat limited at the request of our clients who are continuing to cope with the pandemic twenty-four hours a day/seven days a week.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right="20"/>
        <w:spacing w:after="0" w:line="296" w:lineRule="auto"/>
        <w:rPr>
          <w:sz w:val="20"/>
          <w:szCs w:val="20"/>
          <w:color w:val="auto"/>
        </w:rPr>
      </w:pPr>
      <w:r>
        <w:rPr>
          <w:rFonts w:ascii="Arial" w:cs="Arial" w:eastAsia="Arial" w:hAnsi="Arial"/>
          <w:sz w:val="16"/>
          <w:szCs w:val="16"/>
          <w:color w:val="auto"/>
        </w:rPr>
        <w:t>During the third quarter of 2021, the number of new COVID-19 cases and hospitalizations from the Delta variant began to decline, but we still continued to see higher bill rates than pre-pandemic and demand for our services remained high with tens of thousands of openings across the nation in all healthcare specialties and across all of our segments. The investments, digital transformation, and other changes and improvements we have made during the pandemic have allowed us to quickly respond to the record level of demand that we are continuing to see across a wide range of specialties, including operating room, emergency room, pediatrics, labor and delivery, and medical and surgical services which are not directly related to COVID needs.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reported at the end of the second quarter 2021, we expected bill rates for our travel division to decline sequentially. Instead, average bill rates rose slightly during the third quarter and we expect them to rise again in the fourth quarter of 2021. We expect the pandemic to continue impacting our financial performance through at least the end of the current fiscal year. However, while COVID-19 has driven up bill rates with regional spikes in demand related to the Delta variant, the impact from states and healthcare systems enacting vaccination mandates is exacerbating an already tight supply market, and we are also experiencing growing needs in non-COVID assignments resulting in increased demand from clinicians leaving the bedside due to burnout or retirement.</w:t>
      </w:r>
    </w:p>
    <w:p>
      <w:pPr>
        <w:spacing w:after="0" w:line="2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Throughout the pandemic, we have partnered with our clients to deliver flexible solutions aimed at solving their immediate and long-term challenges. We have continued to provide data, industry insights, marketing analytics, and consulting services to assist clients in determining the appropriate rates necessary to attract the supply they need. One of our core values is to act ethically and responsibly, and it has been especially important during this pandemic to be transparent and build trust with our clients to re-enforce our long-lasting relationships as both demand and bill rates have increased to unprecedented levels.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3"/>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rPr>
              <w:t>worked in the respective periods.</w:t>
            </w:r>
          </w:p>
        </w:tc>
        <w:tc>
          <w:tcPr>
            <w:tcW w:w="0" w:type="dxa"/>
            <w:vAlign w:val="bottom"/>
          </w:tcPr>
          <w:p>
            <w:pPr>
              <w:spacing w:after="0"/>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20" w:type="dxa"/>
            <w:vAlign w:val="bottom"/>
          </w:tcPr>
          <w:p>
            <w:pPr>
              <w:spacing w:after="0"/>
              <w:rPr>
                <w:sz w:val="20"/>
                <w:szCs w:val="20"/>
                <w:color w:val="auto"/>
              </w:rPr>
            </w:pPr>
          </w:p>
        </w:tc>
        <w:tc>
          <w:tcPr>
            <w:tcW w:w="28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76.1</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(2.4)</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(2.7)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rPr>
              <w:t>(2.7)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4"/>
              </w:rPr>
              <w:t>(0.7)%</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4"/>
              </w:rPr>
              <w:t>(2.8)%</w:t>
            </w:r>
          </w:p>
        </w:tc>
      </w:tr>
      <w:tr>
        <w:trPr>
          <w:trHeight w:val="20"/>
        </w:trPr>
        <w:tc>
          <w:tcPr>
            <w:tcW w:w="5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Three Months Ended September 30, 2021 compared to the Three Months Ended September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b w:val="1"/>
                <w:bCs w:val="1"/>
                <w:color w:val="auto"/>
                <w:w w:val="90"/>
              </w:rPr>
              <w:t>Three Months Ended September 30,</w:t>
            </w:r>
          </w:p>
        </w:tc>
        <w:tc>
          <w:tcPr>
            <w:tcW w:w="116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60"/>
              <w:spacing w:after="0" w:line="169" w:lineRule="exact"/>
              <w:rPr>
                <w:sz w:val="20"/>
                <w:szCs w:val="20"/>
                <w:color w:val="auto"/>
              </w:rPr>
            </w:pPr>
            <w:r>
              <w:rPr>
                <w:rFonts w:ascii="Arial" w:cs="Arial" w:eastAsia="Arial" w:hAnsi="Arial"/>
                <w:sz w:val="18"/>
                <w:szCs w:val="18"/>
                <w:b w:val="1"/>
                <w:bCs w:val="1"/>
                <w:color w:val="auto"/>
                <w:w w:val="87"/>
              </w:rPr>
              <w:t>Increase</w:t>
            </w:r>
          </w:p>
        </w:tc>
        <w:tc>
          <w:tcPr>
            <w:tcW w:w="11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87"/>
              </w:rPr>
              <w:t>Increase</w:t>
            </w: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(Decrease)</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(Amounts in thousands)</w:t>
            </w:r>
          </w:p>
        </w:tc>
        <w:tc>
          <w:tcPr>
            <w:tcW w:w="11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258.9 %</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614.2 %</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Revenue from services increased 93.3% to $374.9 million for the three months ended September 30, 2021, as compared to $194.0 million for the three months ended September 30, 2020, due to strong performance in both our Nurse and Allied and Physician Staffing segments, both resulting from an increase in volume, and higher bill rates in Nurse and Allied. Rates continue to be volatile as we experience record levels of demand stemming in part from the latest variant and vaccination mandates, as well as higher needs from clients due to increases in demand and professionals leaving the bedside. See further discussion in Segment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related insurance expenses. Direct operating expenses increased $145.1 million, or 99.4%, to $291.1 million for the three months ended September 30, 2021, as compared to $146.0 million for the three months ended September 30, 2020, as a result of revenue increases. As a percentage of total revenue, direct operating expenses increased to 77.6% compared to 75.2% in the prior year period, as compensation costs rose by a higher percentage than our bill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Selling, general and administrative expenses increased 29.5% to $52.8 million for the three months ended September 30, 2021, as compared to $40.8 million for the three months ended September 30, 2020, primarily due to increases in compensation and benefit expense, as well as equity compensation expense, partially offset by decreases in legal expenses. As a percentage of total revenue, selling, general and administrative expenses decreased to 14.1% for the three months ended September 30, 2021, as compared to 21.0%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Depreciation and amortization expense for the three months ended September 30, 2021 was $2.7 million, as compared to $3.2 million for the three months ended September 30, 2020. The decline was driven by a combination of lower depreciation on certain assets given the closure of offices, as well as accelerated amortization of trade names associated with our rebranding initiatives in the prior year. See Note 7 - Goodwill, Trade Names, and Other Intangible Assets to our condensed consolidated financial statements. As a percentage of revenue, depreciation and amortization expense was 0.7% for the three months ended September 30, 2021 and 1.7% for the three months ended September 30,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Restructuring costs for the three months ended September 30, 2021 were primarily comprised of ongoing lease costs related to the Company's strategic reduction of its real estate footprint and totaled $0.3 million. Restructuring costs for the three months ended September 30, 2020 were primarily comprised of employee termination costs, ongoing lease costs related to office closures, and reorganization costs as part of our planned cost savings initiatives and totaled $2.3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Non-cash impairment charges totaled $1.1 million for the three months ended September 30, 2020. These charges were comprised of $0.2 million of customer list impairment of our Nurse and Allied business and $0.9 million related to real estate restructuring activities. There were no such costs for the three months ended September 30, 2021. See Note 7 - Goodwill, Trade Names, and Other Intangible Assets and Note 9 - Leases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Interest expense was $2.2 million for the three months ended September 30, 2021, as compared to $0.6 million for the three months ended September 30, 2020, due to higher average borrowings and a higher effective rate. The effective interest rate on our borrowings was 7.5% for the three months ended September 30, 2021 compared to 3.3% for the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totaled $1.2 million for the three months ended September 30, 2021, compared to $0.2 million for the three months ended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September 30, 2020. As a result of the valuation allowance on substantially all of our domestic deferred tax assets, income tax expense for the three months ended September 30, 2021 and 2020 was primarily impacted by international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Comparison of Results for the Nine Months Ended September 30, 2021 compared to the Nine Months Ended September 30, 2020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b w:val="1"/>
                <w:bCs w:val="1"/>
                <w:color w:val="auto"/>
                <w:w w:val="90"/>
              </w:rPr>
              <w:t>Nine Months Ended September 30,</w:t>
            </w:r>
          </w:p>
        </w:tc>
        <w:tc>
          <w:tcPr>
            <w:tcW w:w="118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40"/>
              <w:spacing w:after="0" w:line="169" w:lineRule="exact"/>
              <w:rPr>
                <w:sz w:val="20"/>
                <w:szCs w:val="20"/>
                <w:color w:val="auto"/>
              </w:rPr>
            </w:pPr>
            <w:r>
              <w:rPr>
                <w:rFonts w:ascii="Arial" w:cs="Arial" w:eastAsia="Arial" w:hAnsi="Arial"/>
                <w:sz w:val="18"/>
                <w:szCs w:val="18"/>
                <w:b w:val="1"/>
                <w:bCs w:val="1"/>
                <w:color w:val="auto"/>
                <w:w w:val="87"/>
              </w:rPr>
              <w:t>Increase</w:t>
            </w:r>
          </w:p>
        </w:tc>
        <w:tc>
          <w:tcPr>
            <w:tcW w:w="118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7"/>
              </w:rPr>
              <w:t>Increase</w:t>
            </w: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0"/>
              </w:rPr>
              <w:t>(Amounts in thousands)</w:t>
            </w:r>
          </w:p>
        </w:tc>
        <w:tc>
          <w:tcPr>
            <w:tcW w:w="118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1,035,973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452.5 %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420.9</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Revenue from services increased 66.9% to $1.0 billion for the nine months ended September 30, 2021, as compared to $620.8 million for the nine months ended September 30, 2020, due to strong performance in our Nurse and Allied Staffing segment, resulting from both an increase in volume and higher bill rates. In general, the increase in bill rates related to the spike in COVID-19 needs late in the fourth quarter of 2020, as well as a continued high level of demand throughout the current year in part related to the Delta variant and vaccination mandates. See further discussion in Segment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Direct operating expenses increased $335.7 million, or 71.0%, to $808.1 million for the nine months ended September 30, 2021, as compared to $472.5 million for the nine months ended September 30, 2020 as a result of revenue increases. As a percentage of total revenue, direct operating expenses increased to 78.0% compared to 76.1% in the prior year period, as compensation costs rose by a higher percentage than our bill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general and administrative expenses increased 16.0% to $149.5 million for the nine months ended September 30, 2021, as compared to $128.9 million for the nine months ended September 30, 2020, primarily due to increases in compensation and benefits, as well as equity compensation expense, partially offset by lower rent expense due to the closure of a significant number of offices in 2020 and decreases in IT, consulting, and legal expenses. As a percentage of total revenue, selling, general and administrative expenses decreased to 14.4% for the nine months ended September 30, 2021 as compared to 20.8% for the nine months ended September 30,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for the nine months ended September 30, 2021 was $7.1 million as compared to $10.5 million for the nine months ended September 30, 2020. The decline was driven by a combination of lower depreciation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spacing w:after="0" w:line="311" w:lineRule="auto"/>
        <w:rPr>
          <w:sz w:val="20"/>
          <w:szCs w:val="20"/>
          <w:color w:val="auto"/>
        </w:rPr>
      </w:pPr>
      <w:r>
        <w:rPr>
          <w:rFonts w:ascii="Arial" w:cs="Arial" w:eastAsia="Arial" w:hAnsi="Arial"/>
          <w:sz w:val="16"/>
          <w:szCs w:val="16"/>
          <w:color w:val="auto"/>
        </w:rPr>
        <w:t>certain assets given the closure of offices, as well as accelerated amortization of trade names associated with our rebranding initiatives in the prior year. See Note 7 - Goodwill, Trade Names, and Other Intangible Assets to our condensed consolidated financial statements. As a percentage of revenue, depreciation and amortization expense was 0.7% for the nine months ended September 30, 2021 and 1.7% for the nine months ended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Acquisition and integration-related costs for the nine months ended September 30, 2021 include costs for legal and advisory fees for the WSG acquisition that closed on June 8, 2021. In the first quarter of 2020, the final earnout amount of the contingent consideration related to the Mediscan acquisition was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Restructuring costs for the nine months ended September 30, 2021 and 2020 were primarily comprised of employee termination costs and ongoing lease costs related to the Company's strategic reduction of its real estate footprint and totaled $2.4 million and $5.2 million, respectively. Restructuring costs for the nine months ended September 30, 2020 also included reorganization costs as part of our planned cost savings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Non-cash impairment charges totaled $2.1 million for the nine months ended September 30, 2021 and related to real estate restructuring activities and the write-off of a discontinued software development project. Non-cash impairment charges totaled $16.1 million for the nine months ended September 30, 2020. These were comprised of $10.7 million of impairment related to our Search and Nurse and Allied businesses and $5.4 million related to real estate restructuring activities. See Note 7 - Goodwill, Trade Names, and Other Intangible Assets and Note 9 - Leases to our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Interest expense was $4.0 million for the nine months ended September 30, 2021 as compared to $2.2 million for the nine months ended September 30, 2020, due to higher average borrowings and a higher effective rate. The effective interest rate on our borrowings was 5.1% for the nine months ended September 30, 2021 compared to 3.7% for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Income tax expense was $5.5 million for the nine months ended September 30, 2021 as compared to an immaterial benefit for the nine months ended September 30, 2020. As a result of the valuation allowance on substantially all of our domestic deferred tax assets, income tax expense for the nine months ended September 30, 2021 was impacted by international and state taxes and additional valuation required as a result of the WSG acquisition. Income tax benefit for the nine months ended September 30, 2020 was impacted by international and state taxes as well as the impairment of indefinite-lived intangibles.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8600" w:type="dxa"/>
            <w:vAlign w:val="bottom"/>
            <w:gridSpan w:val="9"/>
          </w:tcPr>
          <w:p>
            <w:pPr>
              <w:spacing w:after="0"/>
              <w:rPr>
                <w:sz w:val="20"/>
                <w:szCs w:val="20"/>
                <w:color w:val="auto"/>
              </w:rPr>
            </w:pPr>
            <w:r>
              <w:rPr>
                <w:rFonts w:ascii="Arial" w:cs="Arial" w:eastAsia="Arial" w:hAnsi="Arial"/>
                <w:sz w:val="18"/>
                <w:szCs w:val="18"/>
                <w:color w:val="auto"/>
                <w:w w:val="91"/>
              </w:rPr>
              <w:t>Information on operating segments and a reconciliation to loss from operations for the periods indicated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1"/>
                <w:szCs w:val="21"/>
                <w:color w:val="auto"/>
              </w:rPr>
            </w:pPr>
          </w:p>
        </w:tc>
        <w:tc>
          <w:tcPr>
            <w:tcW w:w="26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356,139</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177,516</w:t>
            </w:r>
          </w:p>
        </w:tc>
        <w:tc>
          <w:tcPr>
            <w:tcW w:w="2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985,335</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569,306</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51,505</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374,905</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193,968</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1,035,973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620,811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36,993</w:t>
            </w: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10,472</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5,210</w:t>
            </w:r>
          </w:p>
        </w:tc>
      </w:tr>
      <w:tr>
        <w:trPr>
          <w:trHeight w:val="23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r>
      <w:tr>
        <w:trPr>
          <w:trHeight w:val="22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26,447</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63,342</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1"/>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Revenue in the amount of $2.3 million and $7.7 million, respectively, and contribution loss in the amount of $0.3 million and $1.7 million, respectively, included in the previously-reported Search segment have been reclassified to Nurse and Allied Staffing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FTEs</w:t>
            </w:r>
          </w:p>
        </w:tc>
        <w:tc>
          <w:tcPr>
            <w:tcW w:w="19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9,003</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5,403</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3,600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66.6 %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48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6"/>
                <w:szCs w:val="16"/>
                <w:color w:val="auto"/>
              </w:rPr>
              <w:t>Days filled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2,505</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Nine Months Ended</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auto"/>
            </w:tcBorders>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 (a)</w:t>
            </w:r>
          </w:p>
        </w:tc>
        <w:tc>
          <w:tcPr>
            <w:tcW w:w="1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6"/>
                <w:szCs w:val="16"/>
                <w:color w:val="auto"/>
              </w:rPr>
              <w:t>FTEs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1,616</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26.4 %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Physician Staffing statistical data: (a)</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Days filled</w:t>
            </w:r>
          </w:p>
        </w:tc>
        <w:tc>
          <w:tcPr>
            <w:tcW w:w="2260" w:type="dxa"/>
            <w:vAlign w:val="bottom"/>
            <w:tcBorders>
              <w:top w:val="single" w:sz="8" w:color="CCEEFF"/>
            </w:tcBorders>
            <w:gridSpan w:val="3"/>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31,430</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29,077</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2,353</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8.1 %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MD&amp;A.</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2021 compared to the Three Months Ended September 30,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increased $178.6 million, or 100.6%, to $356.1 million for the three months ended September 30, 2021, compared to $177.5 million for the three months ended September 30, 2020, driven by volume increases and higher bill rates, especially for travel related positions, and to a lesser extent the results from our acquisition of WSG in June 2021.</w:t>
      </w:r>
    </w:p>
    <w:p>
      <w:pPr>
        <w:spacing w:after="0" w:line="18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Contribution income increased $22.7 million, or 126.8%, to $40.6 million for the three months ended September 30, 2021, compared to $17.9 million for the three months ended September 30, 2020 driven by increased revenue. As a percentage of segment revenue, contribution income margin was 11.4% for the three months ended September 30, 2021, compared to 10.1% for the three months ended September 30, 2020.</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average number of FTEs on contract during the three months ended September 30, 2021 increased 66.6% from the three months ended September 30, 2020, primarily due to headcount growth in travel nurse and allied, as well as additional headcount resulting from the WSG acquisition. The average revenue per FTE per day increased 20.4%, due to the increase in the average bill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 increased $2.3 million, or 14.1%, to $18.8 million for the three months ended September 30, 2021, compared to $16.5 million for the three months ended September 30, 2020, primarily due to an increase in volume in both primary care physicians and nurse practitioners.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income was $0.9 million for the three months ended September 30, 2021, compared to $0.8 million for the three months ended September 30, 2020. As a percentage of segment revenue, contribution income was 4.8% for the three months ended September 30, 2021, compared to 5.0% for the three months ended September 30, 2020, driven by higher revenue, partially offset by higher direct costs.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days filled for the three months ended September 30, 2021 were 12,187, as compared with 9,682 in the prior year. Revenue per day filled was $1,540 as compared with $1,699 in the prior year due to a shift in the mix of business.</w:t>
      </w: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Corporate overhead includes unallocated executive leadership and other centralized corporate functional support costs such as finance, IT, legal, human resources, and marketing, as well as public company expenses and corporate-wide projects. Corporate overhead decreased to $12.0 million for the three months ended September 30, 2021, from $12.5 million for the three months ended September 30, 2020, primarily due to decreases in IT and legal expense, partially offset by compensation and benefit expense, as well as equity compensation expense. As a percentage of consolidated revenue, corporate overhead was 3.2% for the three months ended September 30, 2021 and 6.4% for the three months ended September 30, 2020.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2021 compared to the Nine Months Ended September 30, 2020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Revenue increased $416.0 million, or 73.1%, to $985.3 million for the nine months ended September 30, 2021, compared to $569.3 million for the nine months ended September 30, 2020, driven by volume increases and higher bill rates, especially for travel assignments.</w:t>
      </w:r>
    </w:p>
    <w:p>
      <w:pPr>
        <w:spacing w:after="0" w:line="14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Contribution income increased $62.0 million, or 120.8%, to $113.3 million for the nine months ended September 30, 2021, compared to $51.3 million for the nine months ended September 30, 2020 driven by increased revenue. As a percentage of segment revenue, contribution income margin was 11.5% for the nine months ended September 30, 2021, compared to 9.0% for the nine months ended September 30, 2020.</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average number of FTEs on contract during the nine months ended September 30, 2021 increased 26.4% from the nine months ended September 30, 2020, due to headcount growth in all businesses other than a decline in workforce solutions clients. The average revenue per FTE per day increased 37.9%, due to the increase in the average travel bill rates as a result of the increases in pay rates required to attract healthcare professionals.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Revenue decreased $0.9 million, or 1.7%, to $50.6 million for the nine months ended September 30, 2021, compared to $51.5 million for the nine months ended September 30, 2020, primarily due to a mix shift to lower bill-rate specialties, partially offset by an increase in volume.</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Contribution income was $2.9 million for the nine months ended September 30, 2021, compared to $2.7 million for the nine months ended September 30, 2020. As a percentage of segment revenue, contribution income was 5.7% for the nine months ended September 30, 2021, compared to 5.2% for the nine months ended September 30, 2020, driven by lower revenue.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days filled for the nine months ended September 30, 2021 were 31,430 as compared with 29,077 in the prior year. Revenue per day filled was $1,611 as compared with $1,771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Corporate overhead increased to $40.3 million for the nine months ended September 30, 2021, from $37.0 million for the nine months ended September 30, 2020, primarily due to increases in compensation and benefits, as well as equity compensation expense, partially offset by lower rent expense due to the closure of a significant number of offices in 2020 and decreases in IT, consulting, and legal expenses. As a percentage of consolidated revenue, corporate overhead was 3.9% for the nine months ended September 30, 2021 and 6.0% for the nine 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September 30, 2021, we reported $0.8 million in cash and cash equivalents, $99.7 million of term loan outstanding, at par, and $4.0 million of borrowings drawn under our ABL. Working capital increased by $78.9 million to $168.6 million as of September 30, 2021, compared to $89.7 million as of December 31, 2020, primarily due to strong sequential growth, partially offset by the timing of disbursements. As of September 30, 2021, our days' sales outstanding, net of amounts owed to subcontractors, was 61 days, down 3 days year-over-year and up 3 days since the beginning of the current year, primarily due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color w:val="auto"/>
        </w:rPr>
        <w:t>the timing of revenue recognized throughout the quarter given the strong monthly sequential growth through the third quarter. As of September 30, 2021, we do not have any off-balance sheet arrangements.</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payments on our promissory note payable, and operating lease commitments, as well as any settlements on uncertain tax positions, and future principal payments on our term loan and our ABL credit facility. We expect to meet our future needs from a combination of cash on hand, operating cash flows, and funds available through the ABL. See debt discussion which follows.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in operating activities was $12.3 million in the nine months ended September 30, 2021, compared to net cash provided by operating activities of $25.3 million in the nine months ended September 30, 2020, primarily due to strong sequential revenue growth in the business which resulted in a $122.9 million increase in receivables since the start of the year.</w:t>
      </w:r>
    </w:p>
    <w:p>
      <w:pPr>
        <w:spacing w:after="0" w:line="21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Net cash used in investing activities was $29.4 million in the nine months ended September 30, 2021, compared to $3.7 million in the nine months ended September 30, 2020. Net cash used in investing activities in the nine months ended September 30, 2021 included $24.5 million related to the acquisition of WSG. Net cash used in both periods was also for capital expenditures. During the nine months ended September 30, 2021, the expenditures related to the project to replace our applicant tracking system, the development of our on-demand staffing platform, and the build-out of our corporate office. During the nine months ended September 30, 2020, the expenditures primarily related to the project to replace our applicant tracking system.</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Net cash provided by financing activities during the nine months ended September 30, 2021 was $40.9 million, compared to net cash used in financing activities of $19.2 million during the nine months ended September 30, 2020. During the nine months ended September 30, 2021, we reported net borrowings of $100.0 million on our term loan, and used cash to repay borrowing on our ABL of $49.4 million, $0.3 million principal payment on our term loan, $2.4 million on our note payable, $4.6 million of debt issuance costs, $2.2 million for income taxes on share-based compensation, and an immaterial amount for other financing activities. During the nine months ended September 30, 2020, we used cash to repay borrowing on our ABL of $14.9 million, $2.4 million to pay our note payable, and $1.9 million for other financing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Credit Agreement</w:t>
      </w:r>
    </w:p>
    <w:p>
      <w:pPr>
        <w:spacing w:after="0" w:line="3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more fully described in Note 8 - Debt to our condensed consolidated financial statements, on June 8, 2021, we entered into a Term Loan Credit Agreement (Term Loan Agreement), which provides for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 to our condensed consolidated financial statements), with the remainder used to pay down a portion of the asset-based credit facility.</w:t>
      </w:r>
    </w:p>
    <w:p>
      <w:pPr>
        <w:spacing w:after="0" w:line="20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$250,000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September 30, 2021. Obligations under the Term Loan Agreement are secured by substantially all the assets of the borrowers and guarantors under the Term Loan Agreement, subject to customary exceptions.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ABL Credit Agreement</w:t>
      </w:r>
    </w:p>
    <w:p>
      <w:pPr>
        <w:spacing w:after="0" w:line="360"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Effective October 25, 2019, our prior senior credit facility entered into in August 2017 was replaced by a $120.0 million ABL Credit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2021, the interest rate spreads and fees under the Loan Agreement were based on LIBOR plus 1.50% for the revolving portion of the borrowing base and LIBOR plus 4.00% on the Supplemental Availability (as defined in the Loan Agreement). The Base Rate (as defined by the Loan Agreement) margins would have been 0.50% and 3.00%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including a covenant to maintain a minimum fixed charge coverage ratio. We were in compliance with the fixed charge coverage ratio covenant as of September 30, 2021. Availability under the ABL is subject to a borrowing base, which was sufficient to access the full facility size of $149.2 million at September 30, 2021, with $4.0 million of borrowings drawn as well as $18.5 million of letters of credit outstanding, leaving $126.7 million available for borrowing.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2020 Form 10-K, other than the adoption of ASU No. 2019-12, </w:t>
      </w:r>
      <w:r>
        <w:rPr>
          <w:rFonts w:ascii="Arial" w:cs="Arial" w:eastAsia="Arial" w:hAnsi="Arial"/>
          <w:sz w:val="18"/>
          <w:szCs w:val="18"/>
          <w:i w:val="1"/>
          <w:iCs w:val="1"/>
          <w:color w:val="auto"/>
        </w:rPr>
        <w:t xml:space="preserve">Income Taxes (Topic 740), Simplifying the Accounting for Income Taxes </w:t>
      </w:r>
      <w:r>
        <w:rPr>
          <w:rFonts w:ascii="Arial" w:cs="Arial" w:eastAsia="Arial" w:hAnsi="Arial"/>
          <w:sz w:val="18"/>
          <w:szCs w:val="18"/>
          <w:color w:val="auto"/>
        </w:rPr>
        <w:t>as discussed in Note 2 - Summary of Significant Accounting Policies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variable interest rate risk associated with our Term Loan Agreement entered into on June 8, 2021 and our ABL Credit Agreement (ABL) entered into on October 25, 2019. These agreements charge interest at a rate based on either LIBOR or Base Rate (as defined in the agreements) plus an applicable margin.</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1% change in interest rates would have resulted in interest expense fluctuating approximately $0.7 million and $0.5 million for the nine months ended September 30, 2021 and 2020, respectively. See Note 8 - Debt to our condensed consolidated financial statements.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Refer to Item 1A. Risk Factors in Part II - Other Information under </w:t>
      </w:r>
      <w:r>
        <w:rPr>
          <w:rFonts w:ascii="Arial" w:cs="Arial" w:eastAsia="Arial" w:hAnsi="Arial"/>
          <w:sz w:val="18"/>
          <w:szCs w:val="18"/>
          <w:i w:val="1"/>
          <w:iCs w:val="1"/>
          <w:color w:val="auto"/>
        </w:rPr>
        <w:t>"The interest rates under our Term Loan Agreement and our ABL Credit Agreement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 impacted by the phase-out of the London Interbank Offered Rate (LIBOR)" </w:t>
      </w:r>
      <w:r>
        <w:rPr>
          <w:rFonts w:ascii="Arial" w:cs="Arial" w:eastAsia="Arial" w:hAnsi="Arial"/>
          <w:sz w:val="18"/>
          <w:szCs w:val="18"/>
          <w:color w:val="auto"/>
        </w:rPr>
        <w:t>for discussion of the interest rate risk related to the potential phase-out of</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other exposures as disclosed in our 2020 Form 10-K.</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continue to work remotely due to the COVID-19 pandemic. We are continually monitoring and assessing the impacts of the COVID-19 pandemic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Part I, Item 1, Note 13 - Contingencies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this Quarterly Report on Form 10-Q,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Item 1A, “Risk Factors” in our 2020 Form 10-K,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 following risk factors are provided to update our risk factors previously disclosed in our periodic reports filed with the SEC, including our 2020 Form 10-K:</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operations and financial results have been and may continue to be negatively affected by the current ongoing COVID-19 pandemic and related ancillary issues and could be materially harmed by COVID-19 or the emergence and effects related to any other pandemics, epidemics, or other public health crisis.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operations and financial results have been and may continue to be affected by the ongoing COVID-19 pandemic and changes in national or global economic conditions related thereto.</w:t>
      </w:r>
    </w:p>
    <w:p>
      <w:pPr>
        <w:spacing w:after="0" w:line="19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During the COVID-19 pandemic, certain of our healthcare professionals have been exposed, diagnosed and/or quarantined as a result of the virus. At this time, certain states are also mandating vaccinations for healthcare workers. If, as a result of such risks, our healthcare professionals do not want to, or are not able to provide services, it could negatively impact our supply and ability to provide staffing services to our customers. In addition, census at healthcare facilities has varied as patients initially canceled or deferred elective procedures or otherwise avoided medical treatment. All of these effects from the pandemic can result in the cancellation of certain of our healthcare professionals (e.g. operating room nurses, physical therapists, surgeons, advanced practitioners, and many others) working at those facilities or under contract to provide services at those facilities in the future. These effects have also created specific demand in other specialties and in specific regions of the country.</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some instances, the increased demand in specific geographic regions and specialties has resulted in increased bill rates for our industry to attract the necessary supply which has resulted in inquiries and/or investigations related to pricing in the industry. We continue to provide data, industry insights, and market analytics to guide clients’ decisions to determine the appropriate rates necessary to attract clinicians; however, there can be no certainty that we will not incur costs in response to any such inquiries in the future.</w:t>
      </w:r>
    </w:p>
    <w:p>
      <w:pPr>
        <w:spacing w:after="0" w:line="2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in the wake of the COVID-19 pandemic have had an adverse impact on our school staffing.</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impact to our healthcare customers from COVID-19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21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COVID-19 pandemic, or the emergence of another pandemic, epidemic, or outbreak is difficult to predict and could adversely affect our operations. In particular,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line="246" w:lineRule="auto"/>
        <w:rPr>
          <w:sz w:val="20"/>
          <w:szCs w:val="20"/>
          <w:color w:val="auto"/>
        </w:rPr>
      </w:pPr>
      <w:r>
        <w:rPr>
          <w:rFonts w:ascii="Arial" w:cs="Arial" w:eastAsia="Arial" w:hAnsi="Arial"/>
          <w:sz w:val="18"/>
          <w:szCs w:val="18"/>
          <w:b w:val="1"/>
          <w:bCs w:val="1"/>
          <w:i w:val="1"/>
          <w:iCs w:val="1"/>
          <w:color w:val="auto"/>
        </w:rPr>
        <w:t>The interest rates under our Term Loan Agreement and our ABL Credit Agreement may be impacted by the phase-out of the London Interbank Offered Rate (LIBOR).</w:t>
      </w:r>
    </w:p>
    <w:p>
      <w:pPr>
        <w:spacing w:after="0" w:line="210"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LIBOR is the basic rate of interest used in lending between banks on the London interbank market and is widely used as a reference for setting the interest rates on loans globally. We use LIBOR as a reference rate to calculate interest under our Term Loan Agreement and our ABL Credit Agreement. In 2017, the United Kingdom's Financial Conduct Authority, which regulates LIBOR, announced that it intends to phase out LIBOR by the end of 2021. The U.S.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Federal Reserve, in conjunction with the Alternative Reference Rates Committee, a steering committee comprised of large U.S. financial institutions, identified the Secured Overnight Financing Rate (SOFR) as the preferred alternative reference rate to U.S. dollar LIBOR and recommended a paced transition plan that involves the creation of a reference rate based on SOFR by the end of 2021.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Our Term Loan Agreement and our ABL Credit Agreement contain a fallback provision providing for alternative rate calculations in the event LIBOR is unavailable, prior to any LIBOR rate transition. As a result of any changes in the benchmarking rate, the new rates we incur may not be as favorable to us as those in effect prior to any LIBOR phase-out, and we may incur higher interest payments.</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Notwithstanding the due diligence investigation we performed in connection with the transaction, WSG may have liabilities, losses, or other exposures for which we do not have adequate insurance coverage, indemnification, or other protection.</w:t>
      </w:r>
    </w:p>
    <w:p>
      <w:pPr>
        <w:spacing w:after="0" w:line="19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While we performed significant due diligence on WSG prior to signing the purchase agreement, we are dependent on the accuracy and completeness of statements and disclosures made or actions taken by WSG and its representatives when conducting due diligence and evaluating the results of such due diligence. We did not control and may be unaware of activities of WSG before the acquisition, including intellectual property and other litigation or disputes, information security vulnerabilities, violations of laws, policies, rules and regulations, commercial disputes, tax liabilities, and other liabilities.</w:t>
      </w:r>
    </w:p>
    <w:p>
      <w:pPr>
        <w:spacing w:after="0" w:line="18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sufficient, or any, indemnification or recourse from the sellers, which could have a material adverse impact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9"/>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Certification pursuant to Rule 13a-14(a) and Rule 15d-14(a) by Kevin C. Clark, Co-Founder, Chief Executive Officer, Director</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6">
              <w:r>
                <w:rPr>
                  <w:rFonts w:ascii="Arial" w:cs="Arial" w:eastAsia="Arial" w:hAnsi="Arial"/>
                  <w:sz w:val="18"/>
                  <w:szCs w:val="18"/>
                  <w:color w:val="0000FF"/>
                  <w:w w:val="93"/>
                </w:rPr>
                <w:t>(Principal Executive Officer)</w:t>
              </w:r>
            </w:hyperlink>
          </w:p>
        </w:tc>
        <w:tc>
          <w:tcPr>
            <w:tcW w:w="7060" w:type="dxa"/>
            <w:vAlign w:val="bottom"/>
            <w:tcBorders>
              <w:top w:val="single" w:sz="8" w:color="0000FF"/>
            </w:tcBorders>
            <w:gridSpan w:val="4"/>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9"/>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Certification pursuant to Rule 13a-14(a) and Rule 15d-14(a) by William J. Burns, Executive Vice President, Chief Financial Officer</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(Principal Accounting and Financial Officer)</w:t>
              </w:r>
            </w:hyperlink>
          </w:p>
        </w:tc>
        <w:tc>
          <w:tcPr>
            <w:tcW w:w="624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9"/>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Certification pursuant to 18 U.S.C. Section 1350 by Kevin C. Clark, Co-Founder, Chief Executive Officer, Director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Executive Officer)</w:t>
              </w:r>
            </w:hyperlink>
          </w:p>
        </w:tc>
        <w:tc>
          <w:tcPr>
            <w:tcW w:w="3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9"/>
          </w:tcPr>
          <w:p>
            <w:pP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Certification pursuant to 18 U.S.C. Section 1350 by William J. Burns, Executive Vice President, Chief Financial Officer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Accounting and Financial Officer)</w:t>
              </w:r>
            </w:hyperlink>
          </w:p>
        </w:tc>
        <w:tc>
          <w:tcPr>
            <w:tcW w:w="220" w:type="dxa"/>
            <w:vAlign w:val="bottom"/>
            <w:gridSpan w:val="2"/>
          </w:tcPr>
          <w:p>
            <w:pPr>
              <w:spacing w:after="0"/>
              <w:rPr>
                <w:sz w:val="13"/>
                <w:szCs w:val="13"/>
                <w:color w:val="auto"/>
              </w:rPr>
            </w:pPr>
          </w:p>
        </w:tc>
      </w:tr>
      <w:tr>
        <w:trPr>
          <w:trHeight w:val="30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7160" w:type="dxa"/>
            <w:vAlign w:val="bottom"/>
            <w:gridSpan w:val="6"/>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4" w:name="page45"/>
    <w:bookmarkEnd w:id="44"/>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03" w:lineRule="auto"/>
        <w:rPr>
          <w:sz w:val="20"/>
          <w:szCs w:val="20"/>
          <w:color w:val="auto"/>
        </w:rPr>
      </w:pPr>
      <w:r>
        <w:rPr>
          <w:rFonts w:ascii="Arial" w:cs="Arial" w:eastAsia="Arial" w:hAnsi="Arial"/>
          <w:sz w:val="18"/>
          <w:szCs w:val="18"/>
          <w:color w:val="auto"/>
        </w:rPr>
        <w:t>Executive Vice President &amp; Chief Financial Officer (Principal</w:t>
      </w: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891" w:right="5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2021, (the "Periodic Report"), I, Kevin C. Clark, Co-Founder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&amp;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2021,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2021-11-04T10:26:37Z</dcterms:created>
  <dcterms:modified xsi:type="dcterms:W3CDTF">2021-11-04T10:26:37Z</dcterms:modified>
</cp:coreProperties>
</file>