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2" w:lineRule="exact"/>
        <w:rPr>
          <w:sz w:val="24"/>
          <w:szCs w:val="24"/>
          <w:color w:val="auto"/>
        </w:rPr>
      </w:pPr>
    </w:p>
    <w:p>
      <w:pPr>
        <w:ind w:left="3900" w:right="2520" w:hanging="1332"/>
        <w:spacing w:after="0" w:line="351" w:lineRule="auto"/>
        <w:tabs>
          <w:tab w:leader="none" w:pos="275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2017</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 Transition Report Pursuant to Section 13 or 15(d) of the Securities Exchange Act of 1934</w:t>
      </w:r>
    </w:p>
    <w:p>
      <w:pPr>
        <w:spacing w:after="0" w:line="59"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 xml:space="preserve">For the Transition Period From </w:t>
      </w:r>
      <w:r>
        <w:rPr>
          <w:rFonts w:ascii="Arial" w:cs="Arial" w:eastAsia="Arial" w:hAnsi="Arial"/>
          <w:sz w:val="16"/>
          <w:szCs w:val="16"/>
          <w:color w:val="auto"/>
        </w:rPr>
        <w:t>_________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12065</wp:posOffset>
            </wp:positionV>
            <wp:extent cx="2135505"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550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CROSS COUNTRY HEALTHCARE, INC.</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6" w:lineRule="exact"/>
        <w:rPr>
          <w:sz w:val="24"/>
          <w:szCs w:val="24"/>
          <w:color w:val="auto"/>
        </w:rPr>
      </w:pPr>
    </w:p>
    <w:tbl>
      <w:tblPr>
        <w:tblLayout w:type="fixed"/>
        <w:tblInd w:w="880" w:type="dxa"/>
        <w:tblCellMar>
          <w:top w:w="0" w:type="dxa"/>
          <w:left w:w="0" w:type="dxa"/>
          <w:bottom w:w="0" w:type="dxa"/>
          <w:right w:w="0" w:type="dxa"/>
        </w:tblCellMar>
      </w:tblPr>
      <w:tr>
        <w:trPr>
          <w:trHeight w:val="210"/>
        </w:trPr>
        <w:tc>
          <w:tcPr>
            <w:tcW w:w="2560" w:type="dxa"/>
            <w:vAlign w:val="bottom"/>
          </w:tcPr>
          <w:p>
            <w:pPr>
              <w:jc w:val="center"/>
              <w:ind w:right="459"/>
              <w:spacing w:after="0"/>
              <w:rPr>
                <w:sz w:val="20"/>
                <w:szCs w:val="20"/>
                <w:color w:val="auto"/>
              </w:rPr>
            </w:pPr>
            <w:r>
              <w:rPr>
                <w:rFonts w:ascii="Arial" w:cs="Arial" w:eastAsia="Arial" w:hAnsi="Arial"/>
                <w:sz w:val="16"/>
                <w:szCs w:val="16"/>
                <w:b w:val="1"/>
                <w:bCs w:val="1"/>
                <w:color w:val="auto"/>
                <w:w w:val="93"/>
              </w:rPr>
              <w:t>Delaware</w:t>
            </w:r>
          </w:p>
        </w:tc>
        <w:tc>
          <w:tcPr>
            <w:tcW w:w="468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0-33169</w:t>
            </w:r>
          </w:p>
        </w:tc>
        <w:tc>
          <w:tcPr>
            <w:tcW w:w="2160" w:type="dxa"/>
            <w:vAlign w:val="bottom"/>
          </w:tcPr>
          <w:p>
            <w:pPr>
              <w:jc w:val="center"/>
              <w:ind w:left="619"/>
              <w:spacing w:after="0"/>
              <w:rPr>
                <w:sz w:val="20"/>
                <w:szCs w:val="20"/>
                <w:color w:val="auto"/>
              </w:rPr>
            </w:pPr>
            <w:r>
              <w:rPr>
                <w:rFonts w:ascii="Arial" w:cs="Arial" w:eastAsia="Arial" w:hAnsi="Arial"/>
                <w:sz w:val="16"/>
                <w:szCs w:val="16"/>
                <w:b w:val="1"/>
                <w:bCs w:val="1"/>
                <w:color w:val="auto"/>
                <w:w w:val="91"/>
              </w:rPr>
              <w:t>13-4066229</w:t>
            </w:r>
          </w:p>
        </w:tc>
      </w:tr>
      <w:tr>
        <w:trPr>
          <w:trHeight w:val="253"/>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4"/>
              </w:rPr>
              <w:t>(State or other jurisdiction of</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0"/>
              </w:rPr>
              <w:t>Commission</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1"/>
              </w:rPr>
              <w:t>(I.R.S. Employer</w:t>
            </w:r>
          </w:p>
        </w:tc>
      </w:tr>
      <w:tr>
        <w:trPr>
          <w:trHeight w:val="206"/>
        </w:trPr>
        <w:tc>
          <w:tcPr>
            <w:tcW w:w="2560" w:type="dxa"/>
            <w:vAlign w:val="bottom"/>
          </w:tcPr>
          <w:p>
            <w:pPr>
              <w:jc w:val="center"/>
              <w:ind w:right="459"/>
              <w:spacing w:after="0"/>
              <w:rPr>
                <w:sz w:val="20"/>
                <w:szCs w:val="20"/>
                <w:color w:val="auto"/>
              </w:rPr>
            </w:pPr>
            <w:r>
              <w:rPr>
                <w:rFonts w:ascii="Arial" w:cs="Arial" w:eastAsia="Arial" w:hAnsi="Arial"/>
                <w:sz w:val="16"/>
                <w:szCs w:val="16"/>
                <w:i w:val="1"/>
                <w:iCs w:val="1"/>
                <w:color w:val="auto"/>
                <w:w w:val="96"/>
              </w:rPr>
              <w:t>Incorporation or organization)</w:t>
            </w: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5"/>
              </w:rPr>
              <w:t>file number</w:t>
            </w:r>
          </w:p>
        </w:tc>
        <w:tc>
          <w:tcPr>
            <w:tcW w:w="2160" w:type="dxa"/>
            <w:vAlign w:val="bottom"/>
          </w:tcPr>
          <w:p>
            <w:pPr>
              <w:jc w:val="center"/>
              <w:ind w:left="599"/>
              <w:spacing w:after="0"/>
              <w:rPr>
                <w:sz w:val="20"/>
                <w:szCs w:val="20"/>
                <w:color w:val="auto"/>
              </w:rPr>
            </w:pPr>
            <w:r>
              <w:rPr>
                <w:rFonts w:ascii="Arial" w:cs="Arial" w:eastAsia="Arial" w:hAnsi="Arial"/>
                <w:sz w:val="16"/>
                <w:szCs w:val="16"/>
                <w:i w:val="1"/>
                <w:iCs w:val="1"/>
                <w:color w:val="auto"/>
                <w:w w:val="94"/>
              </w:rPr>
              <w:t>Identification Number)</w:t>
            </w:r>
          </w:p>
        </w:tc>
      </w:tr>
      <w:tr>
        <w:trPr>
          <w:trHeight w:val="316"/>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5201 Congress Avenue, Suite 100B</w:t>
            </w:r>
          </w:p>
        </w:tc>
        <w:tc>
          <w:tcPr>
            <w:tcW w:w="2160" w:type="dxa"/>
            <w:vAlign w:val="bottom"/>
          </w:tcPr>
          <w:p>
            <w:pPr>
              <w:spacing w:after="0"/>
              <w:rPr>
                <w:sz w:val="24"/>
                <w:szCs w:val="24"/>
                <w:color w:val="auto"/>
              </w:rPr>
            </w:pPr>
          </w:p>
        </w:tc>
      </w:tr>
      <w:tr>
        <w:trPr>
          <w:trHeight w:val="193"/>
        </w:trPr>
        <w:tc>
          <w:tcPr>
            <w:tcW w:w="2560" w:type="dxa"/>
            <w:vAlign w:val="bottom"/>
          </w:tcPr>
          <w:p>
            <w:pPr>
              <w:spacing w:after="0"/>
              <w:rPr>
                <w:sz w:val="16"/>
                <w:szCs w:val="16"/>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Boca Raton, Florida 33487</w:t>
            </w:r>
          </w:p>
        </w:tc>
        <w:tc>
          <w:tcPr>
            <w:tcW w:w="2160" w:type="dxa"/>
            <w:vAlign w:val="bottom"/>
          </w:tcPr>
          <w:p>
            <w:pPr>
              <w:spacing w:after="0"/>
              <w:rPr>
                <w:sz w:val="16"/>
                <w:szCs w:val="16"/>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2"/>
              </w:rPr>
              <w:t>(Address of principal executive offices)(Zip Code)</w:t>
            </w:r>
          </w:p>
        </w:tc>
        <w:tc>
          <w:tcPr>
            <w:tcW w:w="2160" w:type="dxa"/>
            <w:vAlign w:val="bottom"/>
          </w:tcPr>
          <w:p>
            <w:pPr>
              <w:spacing w:after="0"/>
              <w:rPr>
                <w:sz w:val="17"/>
                <w:szCs w:val="17"/>
                <w:color w:val="auto"/>
              </w:rPr>
            </w:pPr>
          </w:p>
        </w:tc>
      </w:tr>
      <w:tr>
        <w:trPr>
          <w:trHeight w:val="280"/>
        </w:trPr>
        <w:tc>
          <w:tcPr>
            <w:tcW w:w="2560" w:type="dxa"/>
            <w:vAlign w:val="bottom"/>
          </w:tcPr>
          <w:p>
            <w:pPr>
              <w:spacing w:after="0"/>
              <w:rPr>
                <w:sz w:val="24"/>
                <w:szCs w:val="24"/>
                <w:color w:val="auto"/>
              </w:rPr>
            </w:pPr>
          </w:p>
        </w:tc>
        <w:tc>
          <w:tcPr>
            <w:tcW w:w="46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(561) 998-2232</w:t>
            </w:r>
          </w:p>
        </w:tc>
        <w:tc>
          <w:tcPr>
            <w:tcW w:w="2160" w:type="dxa"/>
            <w:vAlign w:val="bottom"/>
          </w:tcPr>
          <w:p>
            <w:pPr>
              <w:spacing w:after="0"/>
              <w:rPr>
                <w:sz w:val="24"/>
                <w:szCs w:val="24"/>
                <w:color w:val="auto"/>
              </w:rPr>
            </w:pPr>
          </w:p>
        </w:tc>
      </w:tr>
      <w:tr>
        <w:trPr>
          <w:trHeight w:val="206"/>
        </w:trPr>
        <w:tc>
          <w:tcPr>
            <w:tcW w:w="2560" w:type="dxa"/>
            <w:vAlign w:val="bottom"/>
          </w:tcPr>
          <w:p>
            <w:pPr>
              <w:spacing w:after="0"/>
              <w:rPr>
                <w:sz w:val="17"/>
                <w:szCs w:val="17"/>
                <w:color w:val="auto"/>
              </w:rPr>
            </w:pPr>
          </w:p>
        </w:tc>
        <w:tc>
          <w:tcPr>
            <w:tcW w:w="4680" w:type="dxa"/>
            <w:vAlign w:val="bottom"/>
          </w:tcPr>
          <w:p>
            <w:pPr>
              <w:jc w:val="center"/>
              <w:ind w:right="3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2160" w:type="dxa"/>
            <w:vAlign w:val="bottom"/>
          </w:tcPr>
          <w:p>
            <w:pPr>
              <w:spacing w:after="0"/>
              <w:rPr>
                <w:sz w:val="17"/>
                <w:szCs w:val="17"/>
                <w:color w:val="auto"/>
              </w:rPr>
            </w:pPr>
          </w:p>
        </w:tc>
      </w:tr>
    </w:tbl>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06"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73" w:lineRule="exact"/>
        <w:rPr>
          <w:sz w:val="24"/>
          <w:szCs w:val="24"/>
          <w:color w:val="auto"/>
        </w:rPr>
      </w:pPr>
    </w:p>
    <w:p>
      <w:pPr>
        <w:jc w:val="both"/>
        <w:spacing w:after="0" w:line="195"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w:t>
      </w:r>
    </w:p>
    <w:p>
      <w:pPr>
        <w:spacing w:after="0" w:line="91" w:lineRule="exact"/>
        <w:rPr>
          <w:sz w:val="24"/>
          <w:szCs w:val="24"/>
          <w:color w:val="auto"/>
        </w:rPr>
      </w:pPr>
    </w:p>
    <w:p>
      <w:pPr>
        <w:ind w:right="70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4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o</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period for complying with any new or revised financial accounting standards provided pursuant to Section 13(a) of the Exchange Act. o</w:t>
      </w:r>
    </w:p>
    <w:p>
      <w:pPr>
        <w:spacing w:after="0" w:line="69" w:lineRule="exact"/>
        <w:rPr>
          <w:sz w:val="24"/>
          <w:szCs w:val="24"/>
          <w:color w:val="auto"/>
        </w:rPr>
      </w:pPr>
    </w:p>
    <w:p>
      <w:pPr>
        <w:ind w:right="3160"/>
        <w:spacing w:after="0" w:line="267" w:lineRule="exact"/>
        <w:rPr>
          <w:sz w:val="20"/>
          <w:szCs w:val="20"/>
          <w:color w:val="auto"/>
        </w:rPr>
      </w:pPr>
      <w:r>
        <w:rPr>
          <w:rFonts w:ascii="Arial" w:cs="Arial" w:eastAsia="Arial" w:hAnsi="Arial"/>
          <w:sz w:val="14"/>
          <w:szCs w:val="14"/>
          <w:color w:val="auto"/>
        </w:rPr>
        <w:t xml:space="preserve">Indicate by checkmark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registrant had outstanding 36,480,911 shares of Common Stock, par value $0.0001 per share,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83" w:right="27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INFORMATION RELATING TO FORWARD-LOOKING STATEMENTS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historical information, this Form 10-Q contains statements relating to our future results (including certain projections and business trends) that are “forward-looking statements” within the meaning of Section 27A of the Securities Act of 1933, as amended, and Section 21E of the Securities Exchange Act of 1934, as amended (the Exchange Act), and are subject to the “safe harbor” created by those sections. Forward-looking statements consist of statements that are predictive in nature, depend upon or refer to future events. Words such as “expects”, “anticipates”, “intends”, “plans”, “believes”, “estimates”, “suggests”, "appears", “seeks”, “will”,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our ability to attract and retain qualified nurses, physicians and other healthcare personnel, costs and availability of short-term housing for our travel healthcare professionals, demand for the healthcare services we provide, both nationally and in the regions in which we operate, the functioning of our information systems, the effect of cyber security risks and cyber incidents on our business, the effect of existing or future government regulation and federal and state legislative and enforcement initiatives on our business, our clients’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set forth in Item 1.A. “Risk Factors” in the Company’s Annual Report on Form 10-K for the year ended December 31, 2016, as filed and updated in our Quarterly Reports on Form 10-Q and other filings with the Securities and Exchange Commission.</w:t>
      </w:r>
    </w:p>
    <w:p>
      <w:pPr>
        <w:spacing w:after="0" w:line="385"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spacing w:after="0" w:line="1" w:lineRule="exact"/>
        <w:rPr>
          <w:sz w:val="20"/>
          <w:szCs w:val="20"/>
          <w:color w:val="auto"/>
        </w:rPr>
      </w:pPr>
    </w:p>
    <w:p>
      <w:pPr>
        <w:ind w:firstLine="8"/>
        <w:spacing w:after="0" w:line="277"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The Company undertakes no obligation to update or revise forward-looking statements.</w:t>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references to "the Company", “we”, “us”, “our”, or “Cross Country” in this Quarterly Report on Form 10-Q mean Cross Country Healthcare, Inc., and its consolidated subsidiaries.</w:t>
      </w:r>
    </w:p>
    <w:p>
      <w:pPr>
        <w:sectPr>
          <w:pgSz w:w="11900" w:h="16838" w:orient="portrait"/>
          <w:cols w:equalWidth="0" w:num="1">
            <w:col w:w="11400"/>
          </w:cols>
          <w:pgMar w:left="240" w:top="36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980" w:type="dxa"/>
            <w:vAlign w:val="bottom"/>
            <w:gridSpan w:val="9"/>
          </w:tcPr>
          <w:p>
            <w:pPr>
              <w:jc w:val="center"/>
              <w:ind w:right="660"/>
              <w:spacing w:after="0"/>
              <w:rPr>
                <w:sz w:val="20"/>
                <w:szCs w:val="20"/>
                <w:color w:val="auto"/>
              </w:rPr>
            </w:pPr>
            <w:r>
              <w:rPr>
                <w:rFonts w:ascii="Arial" w:cs="Arial" w:eastAsia="Arial" w:hAnsi="Arial"/>
                <w:sz w:val="18"/>
                <w:szCs w:val="18"/>
                <w:b w:val="1"/>
                <w:bCs w:val="1"/>
                <w:color w:val="auto"/>
                <w:w w:val="99"/>
              </w:rPr>
              <w:t>CROSS COUNTRY HEALTHCARE, INC.</w:t>
            </w: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20" w:type="dxa"/>
            <w:vAlign w:val="bottom"/>
            <w:gridSpan w:val="6"/>
          </w:tcPr>
          <w:p>
            <w:pPr>
              <w:jc w:val="center"/>
              <w:ind w:right="2940"/>
              <w:spacing w:after="0"/>
              <w:rPr>
                <w:sz w:val="20"/>
                <w:szCs w:val="20"/>
                <w:color w:val="auto"/>
              </w:rPr>
            </w:pPr>
            <w:r>
              <w:rPr>
                <w:rFonts w:ascii="Arial" w:cs="Arial" w:eastAsia="Arial" w:hAnsi="Arial"/>
                <w:sz w:val="18"/>
                <w:szCs w:val="18"/>
                <w:b w:val="1"/>
                <w:bCs w:val="1"/>
                <w:color w:val="auto"/>
              </w:rPr>
              <w:t>INDEX</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99"/>
              </w:rPr>
              <w:t>FORM 10-Q</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gridSpan w:val="7"/>
          </w:tcPr>
          <w:p>
            <w:pPr>
              <w:jc w:val="center"/>
              <w:ind w:right="2420"/>
              <w:spacing w:after="0"/>
              <w:rPr>
                <w:sz w:val="20"/>
                <w:szCs w:val="20"/>
                <w:color w:val="auto"/>
              </w:rPr>
            </w:pPr>
            <w:r>
              <w:rPr>
                <w:rFonts w:ascii="Arial" w:cs="Arial" w:eastAsia="Arial" w:hAnsi="Arial"/>
                <w:sz w:val="18"/>
                <w:szCs w:val="18"/>
                <w:b w:val="1"/>
                <w:bCs w:val="1"/>
                <w:color w:val="auto"/>
                <w:w w:val="89"/>
              </w:rPr>
              <w:t>September 30, 2017</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ind w:left="1620"/>
              <w:spacing w:after="0"/>
              <w:rPr>
                <w:sz w:val="20"/>
                <w:szCs w:val="20"/>
                <w:color w:val="auto"/>
              </w:rPr>
            </w:pPr>
            <w:r>
              <w:rPr>
                <w:rFonts w:ascii="Arial" w:cs="Arial" w:eastAsia="Arial" w:hAnsi="Arial"/>
                <w:sz w:val="18"/>
                <w:szCs w:val="18"/>
                <w:color w:val="auto"/>
                <w:w w:val="87"/>
              </w:rPr>
              <w:t>PAGE</w:t>
            </w:r>
          </w:p>
        </w:tc>
      </w:tr>
      <w:tr>
        <w:trPr>
          <w:trHeight w:val="500"/>
        </w:trPr>
        <w:tc>
          <w:tcPr>
            <w:tcW w:w="3020" w:type="dxa"/>
            <w:vAlign w:val="bottom"/>
            <w:gridSpan w:val="10"/>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PART I. – FINANCIAL INFORMATION</w:t>
              </w:r>
            </w:hyperlink>
          </w:p>
        </w:tc>
        <w:tc>
          <w:tcPr>
            <w:tcW w:w="5980" w:type="dxa"/>
            <w:vAlign w:val="bottom"/>
            <w:gridSpan w:val="9"/>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(Loss)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9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w:t>
              </w:r>
            </w:hyperlink>
          </w:p>
        </w:tc>
        <w:tc>
          <w:tcPr>
            <w:tcW w:w="2080" w:type="dxa"/>
            <w:vAlign w:val="bottom"/>
            <w:gridSpan w:val="2"/>
          </w:tcPr>
          <w:p>
            <w:pPr>
              <w:spacing w:after="0"/>
              <w:rPr>
                <w:sz w:val="24"/>
                <w:szCs w:val="24"/>
                <w:color w:val="auto"/>
              </w:rPr>
            </w:pPr>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080" w:type="dxa"/>
            <w:vAlign w:val="bottom"/>
            <w:gridSpan w:val="4"/>
          </w:tcPr>
          <w:p>
            <w:pPr>
              <w:jc w:val="center"/>
              <w:ind w:left="179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3.</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80" w:type="dxa"/>
            <w:vAlign w:val="bottom"/>
            <w:gridSpan w:val="4"/>
            <w:shd w:val="clear" w:color="auto" w:fill="0000EE"/>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4.</w:t>
              </w:r>
            </w:hyperlink>
          </w:p>
        </w:tc>
        <w:tc>
          <w:tcPr>
            <w:tcW w:w="806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00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 OTHER INFORMATION</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1.</w:t>
              </w:r>
            </w:hyperlink>
          </w:p>
        </w:tc>
        <w:tc>
          <w:tcPr>
            <w:tcW w:w="176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6300" w:type="dxa"/>
            <w:vAlign w:val="bottom"/>
            <w:gridSpan w:val="10"/>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Item 1A.</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6.</w:t>
              </w:r>
            </w:hyperlink>
          </w:p>
        </w:tc>
        <w:tc>
          <w:tcPr>
            <w:tcW w:w="300" w:type="dxa"/>
            <w:vAlign w:val="bottom"/>
            <w:gridSpan w:val="2"/>
          </w:tcPr>
          <w:p>
            <w:pPr>
              <w:spacing w:after="0"/>
              <w:rPr>
                <w:sz w:val="24"/>
                <w:szCs w:val="24"/>
                <w:color w:val="auto"/>
              </w:rPr>
            </w:pPr>
          </w:p>
        </w:tc>
        <w:tc>
          <w:tcPr>
            <w:tcW w:w="80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80" w:type="dxa"/>
            <w:vAlign w:val="bottom"/>
            <w:gridSpan w:val="4"/>
          </w:tcPr>
          <w:p>
            <w:pPr>
              <w:jc w:val="center"/>
              <w:ind w:left="1810"/>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40</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gridSpan w:val="4"/>
          </w:tcPr>
          <w:p>
            <w:pPr>
              <w:jc w:val="center"/>
              <w:ind w:right="3200"/>
              <w:spacing w:after="0"/>
              <w:rPr>
                <w:sz w:val="20"/>
                <w:szCs w:val="20"/>
                <w:color w:val="auto"/>
              </w:rPr>
            </w:pPr>
            <w:r>
              <w:rPr>
                <w:rFonts w:ascii="Arial" w:cs="Arial" w:eastAsia="Arial" w:hAnsi="Arial"/>
                <w:sz w:val="18"/>
                <w:szCs w:val="18"/>
                <w:color w:val="auto"/>
              </w:rPr>
              <w:t>i</w:t>
            </w:r>
          </w:p>
        </w:tc>
        <w:tc>
          <w:tcPr>
            <w:tcW w:w="19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net of allowances of $3,616 in 2017 and $3,245 in 2016</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181,608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173,620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Insurance recovery receivable</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3,037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2,198</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201,982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205,611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Property and equipment, net of accumulated depreciation of $46,386 in 2017 and $43,141 in 2016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123,244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79,648</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35,402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62,763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36,835</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Other non-current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18,064</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456,656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388,378</w:t>
            </w:r>
          </w:p>
        </w:tc>
      </w:tr>
      <w:tr>
        <w:trPr>
          <w:trHeight w:val="230"/>
        </w:trPr>
        <w:tc>
          <w:tcPr>
            <w:tcW w:w="8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55,034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58,837</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Accrued compensation and benefits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33,243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5,012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94,219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97,092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debt and capital lease obligations, less current portion</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95,331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84,760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Non-current 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accrued claims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30,695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28,870</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Contingent consideration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7,682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7,399</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247,308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236,576</w:t>
            </w: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304,957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256,570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(1,241)</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(104,089)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Cross Country Healthcare, Inc.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208,702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151,243</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Noncontrolling interest in subsidiary</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209,348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151,802</w:t>
            </w:r>
          </w:p>
        </w:tc>
      </w:tr>
      <w:tr>
        <w:trPr>
          <w:trHeight w:val="33"/>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 liabilities and stockholders'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456,656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388,378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214,988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Direct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168,008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156,778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446,912</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47,346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45,922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141,182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133,530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Bad debt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6,969</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Acquisition-related contingent consideration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Restructuring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220,121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205,659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627,303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613,536</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9,329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expenses (income):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4,678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1,568</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7,203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15,091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11,824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11,345</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Income 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10,546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16,380</w:t>
            </w: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Less: Net income attributable to noncontrolling interest in subsidiary</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97"/>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6,723</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14,066</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9,563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15,851</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per share attributable to common shareholders - Basic</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0.44</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0.49</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2"/>
              </w:rPr>
              <w:t>Net income (loss) per share attributable to common shareholders - Diluted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0.22</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r>
      <w:tr>
        <w:trPr>
          <w:trHeight w:val="311"/>
        </w:trPr>
        <w:tc>
          <w:tcPr>
            <w:tcW w:w="5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Basic</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32,221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5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36,036</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36,255</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36,179</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36,215</w:t>
            </w:r>
          </w:p>
        </w:tc>
      </w:tr>
      <w:tr>
        <w:trPr>
          <w:trHeight w:val="20"/>
        </w:trPr>
        <w:tc>
          <w:tcPr>
            <w:tcW w:w="5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CROSS COUNTRY HEALTHCARE, INC. CONDENSED CONSOLIDATED STATEMENTS OF COMPREHENSIVE INCOME (Unaudited,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3300" w:type="dxa"/>
            <w:vAlign w:val="bottom"/>
            <w:gridSpan w:val="6"/>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5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September 30,</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5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9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7,044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16,380</w:t>
            </w:r>
          </w:p>
        </w:tc>
      </w:tr>
      <w:tr>
        <w:trPr>
          <w:trHeight w:val="297"/>
        </w:trPr>
        <w:tc>
          <w:tcPr>
            <w:tcW w:w="5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before income tax:</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Unrealized foreign currency translation (loss) gain</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7,029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14,304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16,368</w:t>
            </w:r>
          </w:p>
        </w:tc>
      </w:tr>
      <w:tr>
        <w:trPr>
          <w:trHeight w:val="27"/>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Comprehensive income attributable to common shareholders</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6,708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14,081</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9,606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15,839</w:t>
            </w: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10,546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16,380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6,969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allowances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 expense (benefit)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Gain on derivative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early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Equity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2,614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5,634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32,269</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(5,024)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business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(90,259)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Term Loans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Principal payments on Term Loans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(30,500)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Convertible Note cash payment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Borrowings on revolving credit facility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57,200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(65,200)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Extinguishment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w:t>
            </w:r>
          </w:p>
        </w:tc>
      </w:tr>
      <w:tr>
        <w:trPr>
          <w:trHeight w:val="230"/>
        </w:trPr>
        <w:tc>
          <w:tcPr>
            <w:tcW w:w="8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83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2,453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26,707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CROSS COUNTRY HEALTHCARE,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condensed consolidated financial statements include the accounts of Cross Country Healthcare, Inc. and its direct and indirect wholly-owned subsidiaries (collectively, the Company). The condensed consolidated financial statements include all assets, liabilities, revenue, and expenses of Cross Country Talent Acquisition Group, LLC (formerly InteliStaf of Oklahoma, LLC), which is controlled by the Company but not wholly-owned. The Company records the ownership interest of the noncontrolling shareholder as noncontrolling interest in subsidiary. All intercompany transactions and balances have been eliminated in consolidation. In the opinion of management, all entries necessary for a fair presentation of such unaudited condensed consolidated financial statements have been included. These entries consisted of all normal recurring items.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notes required by U.S. generally accepted accounting principles (U.S. GAAP) for complete financial statements. These operating results are not necessarily indicative of the results that may be expected for the year ending December 31, 2017.</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unaudited interim condensed consolidated financial statements should be read in conjunction with the audited consolidated financial statements and notes thereto for the year ended December 31, 2016 included in the Company’s Annual Report on Form 10-K as filed with the Securities and Exchange Commission. The December 31, 2016 condensed consolidated balance sheet included herein was derived from the December 31, 2016 audited consolidated balance sheet included in the Company’s Annual Report on Form 10-K.</w:t>
      </w:r>
    </w:p>
    <w:p>
      <w:pPr>
        <w:spacing w:after="0" w:line="183" w:lineRule="exact"/>
        <w:rPr>
          <w:sz w:val="20"/>
          <w:szCs w:val="20"/>
          <w:color w:val="auto"/>
        </w:rPr>
      </w:pPr>
    </w:p>
    <w:p>
      <w:pPr>
        <w:ind w:right="6060" w:firstLine="8"/>
        <w:spacing w:after="0" w:line="503" w:lineRule="auto"/>
        <w:tabs>
          <w:tab w:leader="none" w:pos="64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spacing w:after="0" w:line="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in the condensed consolidated financial statements and accompanying notes. Significant estimates and assumptions are used for, but not limited to: (1) the valuation of accounts receivable; (2) goodwill, trade names, and other intangible assets; (3) other long-lived assets; (4) share-based compensation; (5) accruals for health, workers’ compensation and professional liability claims; (6) valuation of deferred tax assets; (7) purchase price allocation; (8) derivative liability; (9) legal contingencies; (10) contingent considerations; (11) income taxes; and (12) sales and other non-income tax liabilities. Accrued insurance claims and reserves include estimated settlements from known claims and actuarial estimates for claims incurred but not reported.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the three and nine months ended September 30, 2017, the Company incurred a restructuring charge of $0.7 million related to a cost savings initiative, which consisted of $0.5 million in post-employment benefits and $0.2 million of exit liabilities related to lease consolidations. During the three and nine months ended September 30, 2017, the Company paid $0.3 million relating to its restructuring liability, related primarily to postemployment benefits. As of September 30, 2017, the balance in the accrued restructuring liability was $0.6 million, which was comprised of $0.4 million (including $0.2 million related to a prior initiative) of post-employment benefits and $0.2 million of exit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2016, the Financial Accounting Standards Board (FASB) issued Accounting Standards Update (ASU) No. 2016-15,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w:t>
      </w:r>
      <w:r>
        <w:rPr>
          <w:rFonts w:ascii="Arial" w:cs="Arial" w:eastAsia="Arial" w:hAnsi="Arial"/>
          <w:sz w:val="16"/>
          <w:szCs w:val="16"/>
          <w:i w:val="1"/>
          <w:iCs w:val="1"/>
          <w:color w:val="auto"/>
        </w:rPr>
        <w:t>(Topic 230), Classification of Certain Cash Receipts and Cash Payments</w:t>
      </w:r>
      <w:r>
        <w:rPr>
          <w:rFonts w:ascii="Arial" w:cs="Arial" w:eastAsia="Arial" w:hAnsi="Arial"/>
          <w:sz w:val="16"/>
          <w:szCs w:val="16"/>
          <w:color w:val="auto"/>
        </w:rPr>
        <w:t>, which amends the guidance in ASC 230 on the classification of certain cash receipts</w:t>
      </w:r>
      <w:r>
        <w:rPr>
          <w:rFonts w:ascii="Arial" w:cs="Arial" w:eastAsia="Arial" w:hAnsi="Arial"/>
          <w:sz w:val="16"/>
          <w:szCs w:val="16"/>
          <w:i w:val="1"/>
          <w:iCs w:val="1"/>
          <w:color w:val="auto"/>
        </w:rPr>
        <w:t xml:space="preserve"> </w:t>
      </w:r>
      <w:r>
        <w:rPr>
          <w:rFonts w:ascii="Arial" w:cs="Arial" w:eastAsia="Arial" w:hAnsi="Arial"/>
          <w:sz w:val="16"/>
          <w:szCs w:val="16"/>
          <w:color w:val="auto"/>
        </w:rPr>
        <w:t>and payments in the statement of cash flows. This update intended to reduce the diversity that has resulted from the lack of consistent principles on this topic by adding or clarifying guidance on eight cash flow issues, including: debt prepayment or debt extinguishment costs, contingent consideration payments made after a business combination, and separately identifiable cash flows and application of the predominance principle. ASU 2016-15 is effective for annual periods beginning after December 15, 2017, and interim periods within those annual periods. Early adoption was permitted. The Company elected to early adopt this standard in its first quarter of 2017, applying the guidance retrospectively with no material impact on its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4" w:right="239" w:bottom="1440" w:gutter="0" w:footer="0" w:header="0"/>
        </w:sectPr>
      </w:pPr>
    </w:p>
    <w:bookmarkStart w:id="8" w:name="page9"/>
    <w:bookmarkEnd w:id="8"/>
    <w:p>
      <w:pPr>
        <w:spacing w:after="0" w:line="268"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The Company adopted this guidance in the first quarter of 2017. ASU 2016-09 eliminates the requirement to delay the recognition of excess tax</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until they reduce current taxes payable. Required method of adoption is modified retrospective transition method. Upon adoption, previously unrecognized excess tax benefits of $1.3 million had no impact on the Company's accumulated deficit balance as the related deferred tax assets were fully offset by a valuation allowance. ASU 2016-09 also requires excess tax benefits and deficiencies to be recognized prospectively in the provision for income taxes rather than additional paid-in capital. As a result of the adoption, the Company's provision for income taxes was not impacted due to its full valuation allowance. Additionally, as permitted by the ASU, the Company elected to account for forfeitures as they occur rather than estimate expected forfeitures using a modified retrospective transition method. As a result, the Company recorded a cumulative-effect adjustment of $0.5 million to accumulated deficit and lower share-based compensation expense of less than $0.1 million compared to the amount of expense that would have been recorded for its first three quarters of 2017. Under ASU 2016-09, the threshold for awards to qualify for equity treatment permits withholding up to the maximum statutory tax rates in the applicable jurisdictions. Prior to the adoption of ASU 2016-09, the Company did not allow an award to be partially settled in cash in excess of the minimum statutory withholding requirements. Subsequent to the adoption of the standard, the Company will allow awards to be partially settled at the maximum applicable statutory rates. Finally, ASU 2016-09 requires excess tax benefits to be presented as a component of operating cash flows rather than financing cash flows. The Company elected to adopt this requirement prospectively and accordingly, prior periods have not been adjusted. Excess tax benefits were not material for all periods presented.</w:t>
      </w:r>
    </w:p>
    <w:p>
      <w:pPr>
        <w:spacing w:after="0" w:line="1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In March 2016, the FASB issued ASU No. 2016-06, </w:t>
      </w:r>
      <w:r>
        <w:rPr>
          <w:rFonts w:ascii="Arial" w:cs="Arial" w:eastAsia="Arial" w:hAnsi="Arial"/>
          <w:sz w:val="17"/>
          <w:szCs w:val="17"/>
          <w:i w:val="1"/>
          <w:iCs w:val="1"/>
          <w:color w:val="auto"/>
        </w:rPr>
        <w:t>Derivatives and Hedging (Topic 815): Contingent Put and Call Options in Debt Instruments</w:t>
      </w:r>
      <w:r>
        <w:rPr>
          <w:rFonts w:ascii="Arial" w:cs="Arial" w:eastAsia="Arial" w:hAnsi="Arial"/>
          <w:sz w:val="17"/>
          <w:szCs w:val="17"/>
          <w:color w:val="auto"/>
        </w:rPr>
        <w:t>, to clarify the steps required to assess whether a call or put option meets the criteria for bifurcation as an embedded derivative. ASU 2016-06 is effective for interim and annual periods beginning after December 15, 2016, and requires a modified retrospective approach to adoption. The Company adopted this guidance in the first quarter of 2017. The adoption of this guidance had no impact on the Company's results of operations.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 RN</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July 1, 2017, the Company acquired all of the assets of Advantage RN, LLC and its subsidiaries (collectively, Advantage) for cash consideration of $86.6 million, net of cash acquired. The total purchase price of $88.0 million was subject to a net working capital reduction of $0.6 million at the closing and an additional $0.8 million was received during the third quarter as the final adjustment for net working capital. Additionally, $0.6 million of the purchase price was deferred as of the closing and is due the seller within 20 months, less any Cobra and healthcare payments incurred by the Company on behalf of the seller. As of September 30, 2017, approximately $0.3 million has been paid for claims and the remaining $0.3 million liability is included in other current and long-term liabilities on the Company’s balance sheet.</w:t>
      </w:r>
    </w:p>
    <w:p>
      <w:pPr>
        <w:spacing w:after="0" w:line="193"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Included in the amount paid at closing were two escrow accounts, the first was $14.5 million which related to tax liabilities and the second was $7.5 million which was to cover any post-close liabilities. On July 28, 2017, $7.3 million related to the tax liabilities was released from escrow, leaving a balance of $7.2 million.</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Company financed the purchase using $19.9 million in available cash and $66.9 million in borrowing under its Credit Facility, including a $40.0 million incremental term loan, which was subsequently refinanced on August 1, 2017. See Note 7 - Debt for further information. The transaction will be treated as a purchase of assets for income tax purposes.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Advantage is primarily a travel nurse staffing company that deploys many of its nurses through Managed Service Providers (MSP) and Vendor Management Systems, and Advantage maintains direct relationships with many hospitals throughout the United States. This was a strategic acquisition to help the Company fill its recent MSP contract wins, and for revenue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acquisition has been accounted for in accordance with FASB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using the acquisition</w:t>
      </w:r>
    </w:p>
    <w:p>
      <w:pPr>
        <w:spacing w:after="0" w:line="23"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method of accounting. As such, the results of Advantage from July 1, 2017 are included in the Company's consolidated statement of operations and were: revenue of $24.5 million and contribution income, as defined in Note 11 - Segment Data, of $2.1 million. The acquisition results have been substantially aggregated with the Company's Nurse and Allied Staffing business segment, with less than 2% of the business included in the Physician Staffing business segment. See Note 11 - Segment Data.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The following is the estimated fair value of the purchase price for Advantage on July 1, 2017:</w:t>
            </w: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594"/>
        </w:trPr>
        <w:tc>
          <w:tcPr>
            <w:tcW w:w="11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jc w:val="right"/>
              <w:ind w:right="190"/>
              <w:spacing w:after="0"/>
              <w:rPr>
                <w:sz w:val="20"/>
                <w:szCs w:val="20"/>
                <w:color w:val="auto"/>
              </w:rPr>
            </w:pPr>
            <w:r>
              <w:rPr>
                <w:rFonts w:ascii="Arial" w:cs="Arial" w:eastAsia="Arial" w:hAnsi="Arial"/>
                <w:sz w:val="18"/>
                <w:szCs w:val="18"/>
                <w:color w:val="auto"/>
                <w:w w:val="92"/>
              </w:rPr>
              <w:t>(amounts in thousands)</w:t>
            </w:r>
          </w:p>
        </w:tc>
      </w:tr>
      <w:tr>
        <w:trPr>
          <w:trHeight w:val="27"/>
        </w:trPr>
        <w:tc>
          <w:tcPr>
            <w:tcW w:w="110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10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88,000</w:t>
            </w:r>
          </w:p>
        </w:tc>
      </w:tr>
      <w:tr>
        <w:trPr>
          <w:trHeight w:val="243"/>
        </w:trPr>
        <w:tc>
          <w:tcPr>
            <w:tcW w:w="110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Net working capital adjustments</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(1,438)</w:t>
            </w:r>
          </w:p>
        </w:tc>
      </w:tr>
      <w:tr>
        <w:trPr>
          <w:trHeight w:val="27"/>
        </w:trPr>
        <w:tc>
          <w:tcPr>
            <w:tcW w:w="110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110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Cash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86,562</w:t>
            </w:r>
          </w:p>
        </w:tc>
      </w:tr>
      <w:tr>
        <w:trPr>
          <w:trHeight w:val="243"/>
        </w:trPr>
        <w:tc>
          <w:tcPr>
            <w:tcW w:w="1100" w:type="dxa"/>
            <w:vAlign w:val="bottom"/>
          </w:tcPr>
          <w:p>
            <w:pPr>
              <w:spacing w:after="0"/>
              <w:rPr>
                <w:sz w:val="21"/>
                <w:szCs w:val="21"/>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Cash acquired</w:t>
            </w:r>
          </w:p>
        </w:tc>
        <w:tc>
          <w:tcPr>
            <w:tcW w:w="20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7"/>
        </w:trPr>
        <w:tc>
          <w:tcPr>
            <w:tcW w:w="1100" w:type="dxa"/>
            <w:vAlign w:val="bottom"/>
          </w:tcPr>
          <w:p>
            <w:pPr>
              <w:spacing w:after="0"/>
              <w:rPr>
                <w:sz w:val="2"/>
                <w:szCs w:val="2"/>
                <w:color w:val="auto"/>
              </w:rPr>
            </w:pPr>
          </w:p>
        </w:tc>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1100" w:type="dxa"/>
            <w:vAlign w:val="bottom"/>
          </w:tcPr>
          <w:p>
            <w:pPr>
              <w:spacing w:after="0"/>
              <w:rPr>
                <w:sz w:val="22"/>
                <w:szCs w:val="22"/>
                <w:color w:val="auto"/>
              </w:rPr>
            </w:pPr>
          </w:p>
        </w:tc>
        <w:tc>
          <w:tcPr>
            <w:tcW w:w="6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Total funds disbursed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89,395</w:t>
            </w:r>
          </w:p>
        </w:tc>
      </w:tr>
      <w:tr>
        <w:trPr>
          <w:trHeight w:val="20"/>
        </w:trPr>
        <w:tc>
          <w:tcPr>
            <w:tcW w:w="110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purchase price was allocated to the assets acquired and the liabilities assumed based on the estimated fair value at the date of acquisition. The Company used a third-party appraiser to assist with the determination of the fair value and estimated useful lives of certain acquired assets and liabilities. These estimates are preliminary; however, the Company does not expect there to be material differences upon the finalization of the purchase price allocation. The following table is an estimate of the fair value of the assets acquired and liabilities assumed on July 1, 2017.</w:t>
      </w:r>
    </w:p>
    <w:p>
      <w:pPr>
        <w:spacing w:after="0" w:line="334"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7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Pr>
          <w:p>
            <w:pPr>
              <w:jc w:val="right"/>
              <w:ind w:right="170"/>
              <w:spacing w:after="0"/>
              <w:rPr>
                <w:sz w:val="20"/>
                <w:szCs w:val="20"/>
                <w:color w:val="auto"/>
              </w:rPr>
            </w:pPr>
            <w:r>
              <w:rPr>
                <w:rFonts w:ascii="Arial" w:cs="Arial" w:eastAsia="Arial" w:hAnsi="Arial"/>
                <w:sz w:val="18"/>
                <w:szCs w:val="18"/>
                <w:color w:val="auto"/>
                <w:w w:val="92"/>
              </w:rPr>
              <w:t>(amounts in thousands)</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14,396</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43,596</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29,900</w:t>
            </w:r>
          </w:p>
        </w:tc>
      </w:tr>
      <w:tr>
        <w:trPr>
          <w:trHeight w:val="27"/>
        </w:trPr>
        <w:tc>
          <w:tcPr>
            <w:tcW w:w="7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Total assets acquired</w:t>
            </w: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91,450</w:t>
            </w:r>
          </w:p>
        </w:tc>
      </w:tr>
      <w:tr>
        <w:trPr>
          <w:trHeight w:val="324"/>
        </w:trPr>
        <w:tc>
          <w:tcPr>
            <w:tcW w:w="7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color w:val="auto"/>
              </w:rPr>
              <w:t>Accrued employee compensation and benefits</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700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324"/>
        </w:trPr>
        <w:tc>
          <w:tcPr>
            <w:tcW w:w="70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020" w:type="dxa"/>
            <w:vAlign w:val="bottom"/>
            <w:tcBorders>
              <w:bottom w:val="single" w:sz="8" w:color="auto"/>
            </w:tcBorders>
            <w:shd w:val="clear" w:color="auto" w:fill="CCEEFF"/>
          </w:tcPr>
          <w:p>
            <w:pPr>
              <w:spacing w:after="0"/>
              <w:rPr>
                <w:sz w:val="24"/>
                <w:szCs w:val="24"/>
                <w:color w:val="auto"/>
              </w:rPr>
            </w:pPr>
          </w:p>
        </w:tc>
      </w:tr>
      <w:tr>
        <w:trPr>
          <w:trHeight w:val="257"/>
        </w:trPr>
        <w:tc>
          <w:tcPr>
            <w:tcW w:w="700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89,395</w:t>
            </w: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assigned the following values to other identifiable intangible assets: $4.5 million to trade names with a weighted average estimated useful life of 10 years, $13.8 million to customer relationships with a weighted average estimated useful life of 10 years, $11.3 million to a database, consisting of healthcare professionals, with a weighted average estimated useful life of 10 years, and $0.3 million to non-compete agreements with a weighted average estimated useful life of 5 years, for a total of $29.9 million in definite life intangible assets with a weighted average estimated useful life of 10 years.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remaining excess purchase price over the fair value of net assets acquired of $43.6 million was recorded as goodwill, which is expected to be deductible for tax purposes. Associated acquisition-related costs incurred were $1.4 million and have been included in acquisition and integration costs on the Company's condensed consolidated statement of operations for the three months ended September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Resources Healthcare</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December 1, 2016, the Company completed the acquisition of a recruitment process outsourcing business, US Resources Healthcare, LLC (USR). This acquisition expands the Company's workforce solutions offerings to deliver financial and operating efficiencies through labor optimization services while enhancing the quality of care.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agreement specified that the sellers were eligible to receive additional purchase price consideration of $4.5 million, with a maximum of $1.0 million for 2017, $2.0 million for 2018, and $1.5 million for 2019, based on attainment of specific performance criteria achieved in each of those years. As of September 30, 2017, the fair value of the remaining obligations was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368" w:right="29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estimated at $1.5 million and is included in other current liabilities and contingent consideration on the condensed consolidated balance sheets. See Note 9 - Fair Value Measurements.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acquisition was deemed immaterial and has been accounted for in accordance with the Business Combinations Topic of the FASB ASC, using the acquisition method of accounting. USR's results of operations are included in the consolidated statements of operations from December 1, 2016 and have been included in the Company's Nurse and Allied Staffing business segment. See Note 6 - Goodwill, Trade Names, and Other Intangible Assets and Note 9 - Fair Value Measurements.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Mediscan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October 30, 2015, the Company completed the acquisition of all of the membership interests of New Mediscan II, LLC, Mediscan Diagnostic Services, LLC, and Mediscan Nursing Staffing, LLC (collectively, Mediscan). In the first quarter of 2016, a net working capital adjustment of $0.3 million was settled. Additionally, an amount of $5.0 million of the purchase price that was held in escrow to cover any post-closing liabilities, was released to the sellers on May 3, 2017.</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agreement also specified that the sellers were eligible to receive additional purchase price consideration of $7.0 million, with $3.5 million per year based on attainment of specific performance criteria in 2016 and 2017. As of December 31, 2016, the Company determined that the first year earnout was not achieved for 2016 and, as of September 30, 2017, the Company determined that the second year earnout would not be achieved for 2017.</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Mediscan acquisition, the Company also assumed additional contingent purchase price liabilities for a previously acquired business that are payable annually based on specific performance criteria for the 2016 through 2019 years. Payments related to the 2016 through 2018 years are limited to $0.3 million per year and 2019 is uncapped. During the nine months ended September 30, 2017, the Company paid $0.3 million. As of September 30, 2017, the fair value of the remaining obligations was estimated at $3.8 million and is included in other current liabilities and contingent consideration on the condensed consolidated balance sheets. See Note 9 - Fair Value Measurements.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Staffing Network</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June 30, 2014, the Company acquired substantially all of the assets and certain liabilities of Medical Staffing Network Healthcare, LLC (MSN). Of the purchase price, $2.5 million was deferred and due to the seller 21 months from the acquisition date, less any COBRA expenses incurred by the Company on behalf of former MSN employees over that period. The Company incurred $0.4 million in COBRA expenses since the MSN acquisition and, on April 1, 2016, released to the seller the remaining liability of $2.1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following unaudited pro forma financial information approximates the consolidated results of operations of the Company as if the Advantage acquisition had occurred as of January 1, 2016, after giving effect to certain adjustments, including additional interest expense on the amount the Company borrowed on the date of the transaction, the amortization of acquired intangible assets, and the elimination of certain expenses that will not be recurring in post-acquisition periods, net of an estimated income tax impact. These adjustments include removing transaction-related expenses of approximately $2.0 million for the nine months ended September 30, 2017. These results are not necessarily indicative of future results as they do not include incremental investments in support functions, elimination of costs for integration or operating synergies, or an estimate of any impact on interest expense resulting from the operating cash flow of the acquired business, among other adjustments that could be made in the future but are not factually supportable on the date of the transaction.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368" w:right="2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3"/>
          </w:tcPr>
          <w:p>
            <w:pPr>
              <w:jc w:val="right"/>
              <w:ind w:right="14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4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0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jc w:val="right"/>
              <w:ind w:right="371"/>
              <w:spacing w:after="0"/>
              <w:rPr>
                <w:sz w:val="20"/>
                <w:szCs w:val="20"/>
                <w:color w:val="auto"/>
              </w:rPr>
            </w:pPr>
            <w:r>
              <w:rPr>
                <w:rFonts w:ascii="Arial" w:cs="Arial" w:eastAsia="Arial" w:hAnsi="Arial"/>
                <w:sz w:val="18"/>
                <w:szCs w:val="18"/>
                <w:b w:val="1"/>
                <w:bCs w:val="1"/>
                <w:color w:val="auto"/>
                <w:w w:val="93"/>
              </w:rPr>
              <w:t>September 30, 2017</w:t>
            </w:r>
          </w:p>
        </w:tc>
        <w:tc>
          <w:tcPr>
            <w:tcW w:w="440" w:type="dxa"/>
            <w:vAlign w:val="bottom"/>
          </w:tcPr>
          <w:p>
            <w:pPr>
              <w:spacing w:after="0"/>
              <w:rPr>
                <w:sz w:val="20"/>
                <w:szCs w:val="20"/>
                <w:color w:val="auto"/>
              </w:rPr>
            </w:pPr>
          </w:p>
        </w:tc>
        <w:tc>
          <w:tcPr>
            <w:tcW w:w="194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September 30, 2016</w:t>
            </w:r>
          </w:p>
        </w:tc>
      </w:tr>
      <w:tr>
        <w:trPr>
          <w:trHeight w:val="27"/>
        </w:trPr>
        <w:tc>
          <w:tcPr>
            <w:tcW w:w="4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gridSpan w:val="3"/>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gridSpan w:val="3"/>
          </w:tcPr>
          <w:p>
            <w:pPr>
              <w:jc w:val="right"/>
              <w:ind w:right="410"/>
              <w:spacing w:after="0"/>
              <w:rPr>
                <w:sz w:val="20"/>
                <w:szCs w:val="20"/>
                <w:color w:val="auto"/>
              </w:rPr>
            </w:pPr>
            <w:r>
              <w:rPr>
                <w:rFonts w:ascii="Arial" w:cs="Arial" w:eastAsia="Arial" w:hAnsi="Arial"/>
                <w:sz w:val="16"/>
                <w:szCs w:val="16"/>
                <w:color w:val="auto"/>
                <w:w w:val="96"/>
              </w:rPr>
              <w:t>(unaudited, amounts in thousands except per share data)</w:t>
            </w:r>
          </w:p>
        </w:tc>
      </w:tr>
      <w:tr>
        <w:trPr>
          <w:trHeight w:val="33"/>
        </w:trPr>
        <w:tc>
          <w:tcPr>
            <w:tcW w:w="67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Revenue from services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696,475</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685,749</w:t>
            </w:r>
          </w:p>
        </w:tc>
      </w:tr>
      <w:tr>
        <w:trPr>
          <w:trHeight w:val="324"/>
        </w:trPr>
        <w:tc>
          <w:tcPr>
            <w:tcW w:w="67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attributable to common shareholders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13,165</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18,096</w:t>
            </w:r>
          </w:p>
        </w:tc>
      </w:tr>
      <w:tr>
        <w:trPr>
          <w:trHeight w:val="324"/>
        </w:trPr>
        <w:tc>
          <w:tcPr>
            <w:tcW w:w="67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share attributable to common shareholders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0.38</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r>
      <w:tr>
        <w:trPr>
          <w:trHeight w:val="324"/>
        </w:trPr>
        <w:tc>
          <w:tcPr>
            <w:tcW w:w="67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Net income per share attributable to common shareholders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0.34</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432"/>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6340" w:type="dxa"/>
            <w:vAlign w:val="bottom"/>
          </w:tcPr>
          <w:p>
            <w:pPr>
              <w:ind w:left="26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Total comprehensive income (loss) includes net income or loss and foreign currency translation adjustments, net of any related deferred taxes. Certain of the Company’s foreign subsidiaries use their respective local currency as their functional currency. In accordance with the </w:t>
      </w:r>
      <w:r>
        <w:rPr>
          <w:rFonts w:ascii="Arial" w:cs="Arial" w:eastAsia="Arial" w:hAnsi="Arial"/>
          <w:sz w:val="18"/>
          <w:szCs w:val="18"/>
          <w:i w:val="1"/>
          <w:iCs w:val="1"/>
          <w:color w:val="auto"/>
        </w:rPr>
        <w:t>Foreign Currency Matters</w:t>
      </w:r>
      <w:r>
        <w:rPr>
          <w:rFonts w:ascii="Arial" w:cs="Arial" w:eastAsia="Arial" w:hAnsi="Arial"/>
          <w:sz w:val="18"/>
          <w:szCs w:val="18"/>
          <w:color w:val="auto"/>
        </w:rPr>
        <w:t xml:space="preserve"> Topic of the FASB ASC,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approximately $1.2 million at both September 30, 2017 and December 31, 2016.</w:t>
      </w:r>
    </w:p>
    <w:p>
      <w:pPr>
        <w:spacing w:after="0" w:line="19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There was no income tax impact related to foreign currency translation adjustments for the three and nine month periods ended September 30, 2017 and September 30,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12" w:name="page13"/>
    <w:bookmarkEnd w:id="12"/>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the numerator and denominator for the computation of the basic and diluted earnings per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920" w:type="dxa"/>
            <w:vAlign w:val="bottom"/>
            <w:gridSpan w:val="4"/>
          </w:tcPr>
          <w:p>
            <w:pPr>
              <w:jc w:val="right"/>
              <w:ind w:right="233"/>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40" w:type="dxa"/>
            <w:vAlign w:val="bottom"/>
            <w:gridSpan w:val="3"/>
          </w:tcPr>
          <w:p>
            <w:pPr>
              <w:jc w:val="right"/>
              <w:ind w:right="493"/>
              <w:spacing w:after="0"/>
              <w:rPr>
                <w:sz w:val="20"/>
                <w:szCs w:val="20"/>
                <w:color w:val="auto"/>
              </w:rPr>
            </w:pPr>
            <w:r>
              <w:rPr>
                <w:rFonts w:ascii="Arial" w:cs="Arial" w:eastAsia="Arial" w:hAnsi="Arial"/>
                <w:sz w:val="18"/>
                <w:szCs w:val="18"/>
                <w:b w:val="1"/>
                <w:bCs w:val="1"/>
                <w:color w:val="auto"/>
              </w:rPr>
              <w:t>September 30,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gridSpan w:val="6"/>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20" w:type="dxa"/>
            <w:vAlign w:val="bottom"/>
            <w:gridSpan w:val="6"/>
          </w:tcPr>
          <w:p>
            <w:pPr>
              <w:ind w:left="380"/>
              <w:spacing w:after="0"/>
              <w:rPr>
                <w:sz w:val="20"/>
                <w:szCs w:val="20"/>
                <w:color w:val="auto"/>
              </w:rPr>
            </w:pPr>
            <w:r>
              <w:rPr>
                <w:rFonts w:ascii="Arial" w:cs="Arial" w:eastAsia="Arial" w:hAnsi="Arial"/>
                <w:sz w:val="14"/>
                <w:szCs w:val="14"/>
                <w:color w:val="auto"/>
              </w:rPr>
              <w:t>(amounts in thousands, except per share data)</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Numerator:</w:t>
            </w:r>
          </w:p>
        </w:tc>
        <w:tc>
          <w:tcPr>
            <w:tcW w:w="10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2"/>
              </w:rPr>
              <w:t>Net income attributable to common shareholders - Basic</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6,723</w:t>
            </w:r>
          </w:p>
        </w:tc>
        <w:tc>
          <w:tcPr>
            <w:tcW w:w="100" w:type="dxa"/>
            <w:vAlign w:val="bottom"/>
          </w:tcPr>
          <w:p>
            <w:pPr>
              <w:spacing w:after="0"/>
              <w:rPr>
                <w:sz w:val="21"/>
                <w:szCs w:val="21"/>
                <w:color w:val="auto"/>
              </w:rPr>
            </w:pP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14,066</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9,563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15,851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Interest on Convertible Notes</w:t>
            </w:r>
          </w:p>
        </w:tc>
        <w:tc>
          <w:tcPr>
            <w:tcW w:w="10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Gain on derivative liability</w:t>
            </w:r>
          </w:p>
        </w:tc>
        <w:tc>
          <w:tcPr>
            <w:tcW w:w="10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(7,105)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(19,970)</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2"/>
                <w:shd w:val="clear" w:color="auto" w:fill="CCEEFF"/>
              </w:rPr>
              <w:t>Net income (loss) attributable to common shareholders -</w:t>
            </w: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6,723</w:t>
            </w:r>
          </w:p>
        </w:tc>
        <w:tc>
          <w:tcPr>
            <w:tcW w:w="10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7,814</w:t>
            </w:r>
          </w:p>
        </w:tc>
        <w:tc>
          <w:tcPr>
            <w:tcW w:w="2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8,677</w:t>
            </w:r>
          </w:p>
        </w:tc>
        <w:tc>
          <w:tcPr>
            <w:tcW w:w="10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43"/>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Diluted</w:t>
            </w: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66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vMerge w:val="continue"/>
            <w:shd w:val="clear" w:color="auto" w:fill="CCEEFF"/>
          </w:tcPr>
          <w:p>
            <w:pPr>
              <w:spacing w:after="0"/>
              <w:rPr>
                <w:sz w:val="21"/>
                <w:szCs w:val="21"/>
                <w:color w:val="auto"/>
              </w:rPr>
            </w:pPr>
          </w:p>
        </w:tc>
        <w:tc>
          <w:tcPr>
            <w:tcW w:w="620" w:type="dxa"/>
            <w:vAlign w:val="bottom"/>
            <w:tcBorders>
              <w:bottom w:val="single" w:sz="8" w:color="CCEEFF"/>
            </w:tcBorders>
            <w:vMerge w:val="continue"/>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vMerge w:val="continue"/>
            <w:shd w:val="clear" w:color="auto" w:fill="CCEEFF"/>
          </w:tcPr>
          <w:p>
            <w:pPr>
              <w:spacing w:after="0"/>
              <w:rPr>
                <w:sz w:val="21"/>
                <w:szCs w:val="21"/>
                <w:color w:val="auto"/>
              </w:rPr>
            </w:pPr>
          </w:p>
        </w:tc>
        <w:tc>
          <w:tcPr>
            <w:tcW w:w="1220" w:type="dxa"/>
            <w:vAlign w:val="bottom"/>
            <w:tcBorders>
              <w:bottom w:val="single" w:sz="8" w:color="CCEEFF"/>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vMerge w:val="continue"/>
            <w:shd w:val="clear" w:color="auto" w:fill="CCEEFF"/>
          </w:tcPr>
          <w:p>
            <w:pPr>
              <w:spacing w:after="0"/>
              <w:rPr>
                <w:sz w:val="21"/>
                <w:szCs w:val="21"/>
                <w:color w:val="auto"/>
              </w:rPr>
            </w:pPr>
          </w:p>
        </w:tc>
        <w:tc>
          <w:tcPr>
            <w:tcW w:w="1040" w:type="dxa"/>
            <w:vAlign w:val="bottom"/>
            <w:tcBorders>
              <w:bottom w:val="single" w:sz="8" w:color="CCEEFF"/>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Denominator:</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 average common shares - Basic</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35,748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32,221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34,768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32,088</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Effective of diluted shares:</w:t>
            </w:r>
          </w:p>
        </w:tc>
        <w:tc>
          <w:tcPr>
            <w:tcW w:w="10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4180" w:type="dxa"/>
            <w:vAlign w:val="bottom"/>
          </w:tcPr>
          <w:p>
            <w:pPr>
              <w:ind w:left="500"/>
              <w:spacing w:after="0"/>
              <w:rPr>
                <w:sz w:val="20"/>
                <w:szCs w:val="20"/>
                <w:color w:val="auto"/>
              </w:rPr>
            </w:pPr>
            <w:r>
              <w:rPr>
                <w:rFonts w:ascii="Arial" w:cs="Arial" w:eastAsia="Arial" w:hAnsi="Arial"/>
                <w:sz w:val="18"/>
                <w:szCs w:val="18"/>
                <w:color w:val="auto"/>
              </w:rPr>
              <w:t>Share-based awards</w:t>
            </w:r>
          </w:p>
        </w:tc>
        <w:tc>
          <w:tcPr>
            <w:tcW w:w="10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4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Convertible Notes</w:t>
            </w:r>
          </w:p>
        </w:tc>
        <w:tc>
          <w:tcPr>
            <w:tcW w:w="10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3,521</w:t>
            </w:r>
          </w:p>
        </w:tc>
        <w:tc>
          <w:tcPr>
            <w:tcW w:w="0" w:type="dxa"/>
            <w:vAlign w:val="bottom"/>
          </w:tcPr>
          <w:p>
            <w:pPr>
              <w:spacing w:after="0"/>
              <w:rPr>
                <w:sz w:val="1"/>
                <w:szCs w:val="1"/>
                <w:color w:val="auto"/>
              </w:rPr>
            </w:pPr>
          </w:p>
        </w:tc>
      </w:tr>
      <w:tr>
        <w:trPr>
          <w:trHeight w:val="297"/>
        </w:trPr>
        <w:tc>
          <w:tcPr>
            <w:tcW w:w="180" w:type="dxa"/>
            <w:vAlign w:val="bottom"/>
            <w:tcBorders>
              <w:bottom w:val="single" w:sz="8" w:color="CCEEFF"/>
            </w:tcBorders>
          </w:tcPr>
          <w:p>
            <w:pPr>
              <w:spacing w:after="0"/>
              <w:rPr>
                <w:sz w:val="24"/>
                <w:szCs w:val="24"/>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common shares - Diluted</w:t>
            </w:r>
          </w:p>
        </w:tc>
        <w:tc>
          <w:tcPr>
            <w:tcW w:w="10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4"/>
              </w:rPr>
              <w:t>36,036</w:t>
            </w:r>
          </w:p>
        </w:tc>
        <w:tc>
          <w:tcPr>
            <w:tcW w:w="100" w:type="dxa"/>
            <w:vAlign w:val="bottom"/>
            <w:tcBorders>
              <w:bottom w:val="single" w:sz="8" w:color="CCEEFF"/>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36,255</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36,179</w:t>
            </w:r>
          </w:p>
        </w:tc>
        <w:tc>
          <w:tcPr>
            <w:tcW w:w="10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36,215</w:t>
            </w: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w w:val="91"/>
              </w:rPr>
              <w:t>Net income per share attributable to common shareholders</w:t>
            </w: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080" w:type="dxa"/>
            <w:vAlign w:val="bottom"/>
            <w:vMerge w:val="restart"/>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0.44</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7"/>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Basic</w:t>
            </w:r>
          </w:p>
        </w:tc>
        <w:tc>
          <w:tcPr>
            <w:tcW w:w="1080" w:type="dxa"/>
            <w:vAlign w:val="bottom"/>
            <w:tcBorders>
              <w:bottom w:val="single" w:sz="8" w:color="auto"/>
            </w:tcBorders>
            <w:vMerge w:val="continue"/>
          </w:tcPr>
          <w:p>
            <w:pPr>
              <w:spacing w:after="0"/>
              <w:rPr>
                <w:sz w:val="24"/>
                <w:szCs w:val="24"/>
                <w:color w:val="auto"/>
              </w:rPr>
            </w:pPr>
          </w:p>
        </w:tc>
        <w:tc>
          <w:tcPr>
            <w:tcW w:w="6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6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shd w:val="clear" w:color="auto" w:fill="CCEEFF"/>
          </w:tcPr>
          <w:p>
            <w:pPr>
              <w:spacing w:after="0"/>
              <w:rPr>
                <w:sz w:val="24"/>
                <w:szCs w:val="24"/>
                <w:color w:val="auto"/>
              </w:rPr>
            </w:pPr>
          </w:p>
        </w:tc>
        <w:tc>
          <w:tcPr>
            <w:tcW w:w="4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1080" w:type="dxa"/>
            <w:vAlign w:val="bottom"/>
            <w:vMerge w:val="restart"/>
          </w:tcPr>
          <w:p>
            <w:pPr>
              <w:jc w:val="right"/>
              <w:ind w:right="87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c>
          <w:tcPr>
            <w:tcW w:w="1080" w:type="dxa"/>
            <w:vAlign w:val="bottom"/>
            <w:vMerge w:val="restart"/>
          </w:tcPr>
          <w:p>
            <w:pPr>
              <w:jc w:val="right"/>
              <w:ind w:right="873"/>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19"/>
                <w:szCs w:val="19"/>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560" w:type="dxa"/>
            <w:vAlign w:val="bottom"/>
            <w:vMerge w:val="restart"/>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42"/>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shareholders - Diluted</w:t>
            </w:r>
          </w:p>
        </w:tc>
        <w:tc>
          <w:tcPr>
            <w:tcW w:w="1080" w:type="dxa"/>
            <w:vAlign w:val="bottom"/>
            <w:tcBorders>
              <w:bottom w:val="single" w:sz="8" w:color="auto"/>
            </w:tcBorders>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periods presented, no tax benefits have been assumed in the weighted average share calculation due to a full valuation allowance on the Company's deferred tax assets.</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Convertible Notes were paid in full on March 17, 2017. Applying the if-converted method, 967,342 shares were included in diluted weighted average shares for the nine months ended September 30, 2017 and 3,521,126 shares were included for the three and nine months ended September 30, 2016 because their effect was 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6780" w:type="dxa"/>
            <w:vAlign w:val="bottom"/>
            <w:gridSpan w:val="9"/>
          </w:tcPr>
          <w:p>
            <w:pPr>
              <w:jc w:val="center"/>
              <w:ind w:right="830"/>
              <w:spacing w:after="0"/>
              <w:rPr>
                <w:sz w:val="20"/>
                <w:szCs w:val="20"/>
                <w:color w:val="auto"/>
              </w:rPr>
            </w:pPr>
            <w:r>
              <w:rPr>
                <w:rFonts w:ascii="Arial" w:cs="Arial" w:eastAsia="Arial" w:hAnsi="Arial"/>
                <w:sz w:val="18"/>
                <w:szCs w:val="18"/>
                <w:b w:val="1"/>
                <w:bCs w:val="1"/>
                <w:color w:val="auto"/>
              </w:rPr>
              <w:t>6.  GOODWILL, TRADE NAMES, AND OTHER INTANGIBLE ASSETS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5540" w:type="dxa"/>
            <w:vAlign w:val="bottom"/>
            <w:gridSpan w:val="7"/>
          </w:tcPr>
          <w:p>
            <w:pPr>
              <w:spacing w:after="0"/>
              <w:rPr>
                <w:sz w:val="20"/>
                <w:szCs w:val="20"/>
                <w:color w:val="auto"/>
              </w:rPr>
            </w:pPr>
            <w:r>
              <w:rPr>
                <w:rFonts w:ascii="Arial" w:cs="Arial" w:eastAsia="Arial" w:hAnsi="Arial"/>
                <w:sz w:val="18"/>
                <w:szCs w:val="18"/>
                <w:color w:val="auto"/>
              </w:rPr>
              <w:t>The Company had the following acquired intangible assets: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September 30, 2017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 2016</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Net</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w:t>
            </w:r>
          </w:p>
        </w:tc>
      </w:tr>
      <w:tr>
        <w:trPr>
          <w:trHeight w:val="27"/>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5"/>
          </w:tcPr>
          <w:p>
            <w:pPr>
              <w:ind w:left="320"/>
              <w:spacing w:after="0"/>
              <w:rPr>
                <w:sz w:val="20"/>
                <w:szCs w:val="20"/>
                <w:color w:val="auto"/>
              </w:rPr>
            </w:pPr>
            <w:r>
              <w:rPr>
                <w:rFonts w:ascii="Arial" w:cs="Arial" w:eastAsia="Arial" w:hAnsi="Arial"/>
                <w:sz w:val="18"/>
                <w:szCs w:val="18"/>
                <w:color w:val="auto"/>
              </w:rPr>
              <w:t>(amounts in 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Databases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42,909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17,952</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24,957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31,609</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16,147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15,462</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55,524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25,091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30,433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18,408</w:t>
            </w: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3,574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7,716</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110,068</w:t>
            </w:r>
          </w:p>
        </w:tc>
        <w:tc>
          <w:tcPr>
            <w:tcW w:w="2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47,305</w:t>
            </w:r>
          </w:p>
        </w:tc>
        <w:tc>
          <w:tcPr>
            <w:tcW w:w="22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62,763</w:t>
            </w:r>
          </w:p>
        </w:tc>
        <w:tc>
          <w:tcPr>
            <w:tcW w:w="2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80,168</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43,333</w:t>
            </w:r>
          </w:p>
        </w:tc>
        <w:tc>
          <w:tcPr>
            <w:tcW w:w="220" w:type="dxa"/>
            <w:vAlign w:val="bottom"/>
          </w:tcPr>
          <w:p>
            <w:pPr>
              <w:spacing w:after="0"/>
              <w:rPr>
                <w:sz w:val="22"/>
                <w:szCs w:val="2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36,835</w:t>
            </w: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11"/>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Intangible assets not subject to</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230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35,402</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35,402</w:t>
            </w:r>
          </w:p>
        </w:tc>
      </w:tr>
      <w:tr>
        <w:trPr>
          <w:trHeight w:val="27"/>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98,165</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72,237</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estimated annual amortization expense is as follows: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Ending December 31:</w:t>
            </w:r>
          </w:p>
        </w:tc>
        <w:tc>
          <w:tcPr>
            <w:tcW w:w="5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91"/>
              <w:spacing w:after="0"/>
              <w:rPr>
                <w:sz w:val="20"/>
                <w:szCs w:val="20"/>
                <w:color w:val="auto"/>
              </w:rPr>
            </w:pPr>
            <w:r>
              <w:rPr>
                <w:rFonts w:ascii="Arial" w:cs="Arial" w:eastAsia="Arial" w:hAnsi="Arial"/>
                <w:sz w:val="16"/>
                <w:szCs w:val="16"/>
                <w:color w:val="auto"/>
                <w:w w:val="93"/>
              </w:rPr>
              <w:t>(amounts in thousands)</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2017</w:t>
            </w:r>
          </w:p>
        </w:tc>
        <w:tc>
          <w:tcPr>
            <w:tcW w:w="5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7,168</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color w:val="auto"/>
              </w:rPr>
              <w:t>2019</w:t>
            </w:r>
          </w:p>
        </w:tc>
        <w:tc>
          <w:tcPr>
            <w:tcW w:w="5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7,132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2021</w:t>
            </w:r>
          </w:p>
        </w:tc>
        <w:tc>
          <w:tcPr>
            <w:tcW w:w="5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ind w:right="31"/>
              <w:spacing w:after="0"/>
              <w:rPr>
                <w:sz w:val="20"/>
                <w:szCs w:val="20"/>
                <w:color w:val="auto"/>
              </w:rPr>
            </w:pPr>
            <w:r>
              <w:rPr>
                <w:rFonts w:ascii="Arial" w:cs="Arial" w:eastAsia="Arial" w:hAnsi="Arial"/>
                <w:sz w:val="18"/>
                <w:szCs w:val="18"/>
                <w:color w:val="auto"/>
              </w:rPr>
              <w:t>6,819</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54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32,832</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62,763</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5460" w:type="dxa"/>
            <w:vAlign w:val="bottom"/>
            <w:vMerge w:val="restart"/>
          </w:tcPr>
          <w:p>
            <w:pPr>
              <w:jc w:val="right"/>
              <w:ind w:right="347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4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86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Company's carrying amount of goodwill by segment is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Other Human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Nurse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Capital</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And Allied</w:t>
            </w:r>
          </w:p>
        </w:tc>
        <w:tc>
          <w:tcPr>
            <w:tcW w:w="260" w:type="dxa"/>
            <w:vAlign w:val="bottom"/>
          </w:tcPr>
          <w:p>
            <w:pPr>
              <w:spacing w:after="0"/>
              <w:rPr>
                <w:sz w:val="18"/>
                <w:szCs w:val="18"/>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Physician</w:t>
            </w:r>
          </w:p>
        </w:tc>
        <w:tc>
          <w:tcPr>
            <w:tcW w:w="1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Management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Staffing Segment</w:t>
            </w:r>
          </w:p>
        </w:tc>
        <w:tc>
          <w:tcPr>
            <w:tcW w:w="17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Staffing Segment</w:t>
            </w:r>
          </w:p>
        </w:tc>
        <w:tc>
          <w:tcPr>
            <w:tcW w:w="16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Services Segment</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560"/>
              <w:spacing w:after="0"/>
              <w:rPr>
                <w:sz w:val="20"/>
                <w:szCs w:val="20"/>
                <w:color w:val="auto"/>
              </w:rPr>
            </w:pPr>
            <w:r>
              <w:rPr>
                <w:rFonts w:ascii="Arial" w:cs="Arial" w:eastAsia="Arial" w:hAnsi="Arial"/>
                <w:sz w:val="16"/>
                <w:szCs w:val="16"/>
                <w:color w:val="auto"/>
              </w:rPr>
              <w:t>(amounts 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Balances as of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Aggregate goodwill acquired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304,277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43,405</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9,418</w:t>
            </w:r>
          </w:p>
        </w:tc>
        <w:tc>
          <w:tcPr>
            <w:tcW w:w="2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357,100</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Accumulated impairment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(277,452)</w:t>
            </w:r>
          </w:p>
        </w:tc>
        <w:tc>
          <w:tcPr>
            <w:tcW w:w="0" w:type="dxa"/>
            <w:vAlign w:val="bottom"/>
          </w:tcPr>
          <w:p>
            <w:pPr>
              <w:spacing w:after="0"/>
              <w:rPr>
                <w:sz w:val="1"/>
                <w:szCs w:val="1"/>
                <w:color w:val="auto"/>
              </w:rPr>
            </w:pPr>
          </w:p>
        </w:tc>
      </w:tr>
      <w:tr>
        <w:trPr>
          <w:trHeight w:val="23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Goodwill, net of impairment loss</w:t>
            </w: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44,545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25,685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79,648</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162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b w:val="1"/>
                <w:bCs w:val="1"/>
                <w:color w:val="auto"/>
              </w:rPr>
              <w:t>Changes to aggregate goodwill in 2017</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shd w:val="clear" w:color="auto" w:fill="CCEEFF"/>
              </w:rPr>
              <w:t>Goodwill acquired (a)</w:t>
            </w:r>
          </w:p>
        </w:tc>
        <w:tc>
          <w:tcPr>
            <w:tcW w:w="3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43,596</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43,596</w:t>
            </w:r>
          </w:p>
        </w:tc>
        <w:tc>
          <w:tcPr>
            <w:tcW w:w="0" w:type="dxa"/>
            <w:vAlign w:val="bottom"/>
          </w:tcPr>
          <w:p>
            <w:pPr>
              <w:spacing w:after="0"/>
              <w:rPr>
                <w:sz w:val="1"/>
                <w:szCs w:val="1"/>
                <w:color w:val="auto"/>
              </w:rPr>
            </w:pPr>
          </w:p>
        </w:tc>
      </w:tr>
      <w:tr>
        <w:trPr>
          <w:trHeight w:val="318"/>
        </w:trPr>
        <w:tc>
          <w:tcPr>
            <w:tcW w:w="16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Balances as of September 30, 2017</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Aggregate goodwill acquired</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347,873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43,405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9,418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400,696</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Accumulated impairment loss</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(259,732)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(277,452)</w:t>
            </w:r>
          </w:p>
        </w:tc>
        <w:tc>
          <w:tcPr>
            <w:tcW w:w="0" w:type="dxa"/>
            <w:vAlign w:val="bottom"/>
          </w:tcPr>
          <w:p>
            <w:pPr>
              <w:spacing w:after="0"/>
              <w:rPr>
                <w:sz w:val="1"/>
                <w:szCs w:val="1"/>
                <w:color w:val="auto"/>
              </w:rPr>
            </w:pPr>
          </w:p>
        </w:tc>
      </w:tr>
      <w:tr>
        <w:trPr>
          <w:trHeight w:val="257"/>
        </w:trPr>
        <w:tc>
          <w:tcPr>
            <w:tcW w:w="4800" w:type="dxa"/>
            <w:vAlign w:val="bottom"/>
            <w:gridSpan w:val="2"/>
          </w:tcPr>
          <w:p>
            <w:pPr>
              <w:ind w:left="40"/>
              <w:spacing w:after="0"/>
              <w:rPr>
                <w:sz w:val="20"/>
                <w:szCs w:val="20"/>
                <w:color w:val="auto"/>
              </w:rPr>
            </w:pPr>
            <w:r>
              <w:rPr>
                <w:rFonts w:ascii="Arial" w:cs="Arial" w:eastAsia="Arial" w:hAnsi="Arial"/>
                <w:sz w:val="18"/>
                <w:szCs w:val="18"/>
                <w:color w:val="auto"/>
              </w:rPr>
              <w:t>Goodwill, net of impairment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88,141</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25,685</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9,418</w:t>
            </w:r>
          </w:p>
        </w:tc>
        <w:tc>
          <w:tcPr>
            <w:tcW w:w="2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123,244</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318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2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(a) Goodwill acquired from the acquisition of Advantage. See Note 3 - Acquisitions.</w:t>
      </w:r>
    </w:p>
    <w:p>
      <w:pPr>
        <w:spacing w:after="0" w:line="346"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of September 30, 2017, the Company performed a qualitative assessment of each of its reporting units and determined it was less-likely-than-not that the fair value of its reporting units dropped below their carrying value. As a result, management concluded that no impairment testing was warranted as of September 30, 2017. Although management believes that the Company's current estimates and assumptions are reasonable and supportable, there can be no assurance that the estimates and assumptions made for purposes of the impairment testing will prove to be accurate predictions of future performance. The Company will conduct its annual impairment test of goodwill and other indefinite-lived intangible assets in the fourth quarter of 2017.</w:t>
      </w:r>
    </w:p>
    <w:p>
      <w:pPr>
        <w:spacing w:after="0" w:line="77" w:lineRule="exact"/>
        <w:rPr>
          <w:sz w:val="20"/>
          <w:szCs w:val="20"/>
          <w:color w:val="auto"/>
        </w:rPr>
      </w:pPr>
    </w:p>
    <w:p>
      <w:pPr>
        <w:ind w:right="2500"/>
        <w:spacing w:after="0" w:line="291" w:lineRule="auto"/>
        <w:rPr>
          <w:sz w:val="20"/>
          <w:szCs w:val="20"/>
          <w:color w:val="auto"/>
        </w:rPr>
      </w:pPr>
      <w:r>
        <w:rPr>
          <w:rFonts w:ascii="Arial" w:cs="Arial" w:eastAsia="Arial" w:hAnsi="Arial"/>
          <w:sz w:val="16"/>
          <w:szCs w:val="16"/>
          <w:color w:val="auto"/>
        </w:rPr>
        <w:t>During an evaluation of goodwill and other identified intangible assets at June 30, 2016, the Company determined that indicators were present in the Physician Staffing reporting unit which would suggest the fair value of the reporting unit may</w:t>
      </w:r>
    </w:p>
    <w:p>
      <w:pPr>
        <w:ind w:right="100"/>
        <w:spacing w:after="0" w:line="255" w:lineRule="auto"/>
        <w:rPr>
          <w:sz w:val="20"/>
          <w:szCs w:val="20"/>
          <w:color w:val="auto"/>
        </w:rPr>
      </w:pPr>
      <w:r>
        <w:rPr>
          <w:rFonts w:ascii="Arial" w:cs="Arial" w:eastAsia="Arial" w:hAnsi="Arial"/>
          <w:sz w:val="18"/>
          <w:szCs w:val="18"/>
          <w:color w:val="auto"/>
        </w:rPr>
        <w:t>have declined below the carrying value. The evaluation resulted in the carrying value of goodwill and other intangible assets for Physician Staffing to exceed the estimated fair value. As a result, the Company recorded pre-tax impairment charges totaling $24.3 million with $17.7 million related to goodwill, $0.6 million related to trade names, and $6.0 million related to customer relationships.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7.  DEBT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b w:val="1"/>
                <w:bCs w:val="1"/>
                <w:color w:val="auto"/>
              </w:rPr>
              <w:t>September 30, 2017</w:t>
            </w:r>
          </w:p>
        </w:tc>
        <w:tc>
          <w:tcPr>
            <w:tcW w:w="320" w:type="dxa"/>
            <w:vAlign w:val="bottom"/>
          </w:tcPr>
          <w:p>
            <w:pPr>
              <w:spacing w:after="0"/>
              <w:rPr>
                <w:sz w:val="24"/>
                <w:szCs w:val="24"/>
                <w:color w:val="auto"/>
              </w:rPr>
            </w:pPr>
          </w:p>
        </w:tc>
        <w:tc>
          <w:tcPr>
            <w:tcW w:w="25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Unamortized</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6"/>
                <w:szCs w:val="16"/>
                <w:b w:val="1"/>
                <w:bCs w:val="1"/>
                <w:color w:val="auto"/>
              </w:rPr>
              <w:t>Unamortized</w:t>
            </w:r>
          </w:p>
        </w:tc>
      </w:tr>
      <w:tr>
        <w:trPr>
          <w:trHeight w:val="203"/>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Discount and Debt</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Discount and Debt</w:t>
            </w: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Principal</w:t>
            </w: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Issuance Costs</w:t>
            </w:r>
          </w:p>
        </w:tc>
        <w:tc>
          <w:tcPr>
            <w:tcW w:w="3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Principal</w:t>
            </w:r>
          </w:p>
        </w:tc>
        <w:tc>
          <w:tcPr>
            <w:tcW w:w="140" w:type="dxa"/>
            <w:vAlign w:val="bottom"/>
          </w:tcPr>
          <w:p>
            <w:pPr>
              <w:spacing w:after="0"/>
              <w:rPr>
                <w:sz w:val="18"/>
                <w:szCs w:val="18"/>
                <w:color w:val="auto"/>
              </w:rPr>
            </w:pPr>
          </w:p>
        </w:tc>
        <w:tc>
          <w:tcPr>
            <w:tcW w:w="1220" w:type="dxa"/>
            <w:vAlign w:val="bottom"/>
          </w:tcPr>
          <w:p>
            <w:pPr>
              <w:jc w:val="right"/>
              <w:ind w:right="91"/>
              <w:spacing w:after="0"/>
              <w:rPr>
                <w:sz w:val="20"/>
                <w:szCs w:val="20"/>
                <w:color w:val="auto"/>
              </w:rPr>
            </w:pPr>
            <w:r>
              <w:rPr>
                <w:rFonts w:ascii="Arial" w:cs="Arial" w:eastAsia="Arial" w:hAnsi="Arial"/>
                <w:sz w:val="16"/>
                <w:szCs w:val="16"/>
                <w:b w:val="1"/>
                <w:bCs w:val="1"/>
                <w:color w:val="auto"/>
                <w:w w:val="86"/>
              </w:rPr>
              <w:t>Issuance Costs</w:t>
            </w:r>
          </w:p>
        </w:tc>
      </w:tr>
      <w:tr>
        <w:trPr>
          <w:trHeight w:val="33"/>
        </w:trPr>
        <w:tc>
          <w:tcPr>
            <w:tcW w:w="5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ind w:left="460"/>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Term Loan, interest 3.49% and 2.62% at September 30, 2017 and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 respectively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Convertible Notes, fixed rate interest of 8.00%</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(4,669)</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Convertible Notes derivative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96,254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89,792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(5,032)</w:t>
            </w:r>
          </w:p>
        </w:tc>
      </w:tr>
      <w:tr>
        <w:trPr>
          <w:trHeight w:val="20"/>
        </w:trPr>
        <w:tc>
          <w:tcPr>
            <w:tcW w:w="55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9"/>
        </w:trPr>
        <w:tc>
          <w:tcPr>
            <w:tcW w:w="7000" w:type="dxa"/>
            <w:vAlign w:val="bottom"/>
            <w:gridSpan w:val="4"/>
          </w:tcPr>
          <w:p>
            <w:pPr>
              <w:spacing w:after="0"/>
              <w:rPr>
                <w:sz w:val="20"/>
                <w:szCs w:val="20"/>
                <w:color w:val="auto"/>
              </w:rPr>
            </w:pPr>
            <w:r>
              <w:rPr>
                <w:rFonts w:ascii="Arial" w:cs="Arial" w:eastAsia="Arial" w:hAnsi="Arial"/>
                <w:sz w:val="18"/>
                <w:szCs w:val="18"/>
                <w:color w:val="auto"/>
                <w:w w:val="93"/>
              </w:rPr>
              <w:t>As of September 30, 2017, the aggregate scheduled maturities of the term loan are as follows: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5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Term Loan</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217"/>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6"/>
                <w:szCs w:val="16"/>
                <w:color w:val="auto"/>
              </w:rPr>
              <w:t>(amounts in thousands)</w:t>
            </w:r>
          </w:p>
        </w:tc>
      </w:tr>
      <w:tr>
        <w:trPr>
          <w:trHeight w:val="33"/>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Through Years Ending December 31:</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8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7,500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8,125</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5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67,500</w:t>
            </w:r>
          </w:p>
        </w:tc>
      </w:tr>
      <w:tr>
        <w:trPr>
          <w:trHeight w:val="257"/>
        </w:trPr>
        <w:tc>
          <w:tcPr>
            <w:tcW w:w="5500" w:type="dxa"/>
            <w:vAlign w:val="bottom"/>
          </w:tcPr>
          <w:p>
            <w:pPr>
              <w:ind w:left="50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1"/>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100,000</w:t>
            </w:r>
          </w:p>
        </w:tc>
      </w:tr>
      <w:tr>
        <w:trPr>
          <w:trHeight w:val="20"/>
        </w:trPr>
        <w:tc>
          <w:tcPr>
            <w:tcW w:w="5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Senior Credit Facility</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August 1, 2017, the Company entered into an Amendment and Restatement of its Credit Agreement dated June 22, 2016 (Amended and Restated Credit Agreement), to refinance and increase the current aggregate committed size of the facility to $215.0 million, including a term loan of $100.0 million (Amended Term Loan) and a $115.0 million revolving credit facility (Amended Revolving Credit Facility) (together with the Amended Term Loan, the Amended Credit Facilities). The Amended Revolving Credit Facility includes a subfacility for swingline loans up to an amount not to exceed $15.0 million, and a $35.0 million sublimit for the issuance of standby letters of credit. The proceeds of $106.5 million from this refinancing included $6.5 million under the new revolving credit facility and were used to repay borrowings under the Company’s 2016 Senior Credit Facilities (as defined below), as well as to pay related interest, fees, and expenses of the transaction.</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increasing the size of the facilities, the maturity date was extended to July 31, 2022. The Amended and Restated Credit Agreement also includes an accordion feature permitting the Company, subject to certain conditions, to increase the aggregate amount of the commitments under the Amended Revolving Credit Facility or establish one or more additional term loans in an aggregate amount not to exceed $50.0 million with optional additional commitments from existing lenders or new commitments from additional lenders. Other terms and pricing are substantially similar to the 2016 Credit Agreement (as defined below).</w:t>
      </w:r>
    </w:p>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Borrowings under the Amended Term Loan are payable in quarterly installments, commencing January 2, 2018, in an aggregate per annum amount equal to 5% for the first four installments, 7.5% for the next eight installments, and 10% for the remaining installments; provided that, to the extent not previously paid, the aggregate unpaid principal balance would be due and payable on the maturity date.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4" w:right="239" w:bottom="1440" w:gutter="0" w:footer="0" w:header="0"/>
        </w:sectPr>
      </w:pPr>
    </w:p>
    <w:bookmarkStart w:id="16" w:name="page17"/>
    <w:bookmarkEnd w:id="16"/>
    <w:p>
      <w:pPr>
        <w:ind w:right="100"/>
        <w:spacing w:after="0" w:line="297" w:lineRule="auto"/>
        <w:rPr>
          <w:sz w:val="20"/>
          <w:szCs w:val="20"/>
          <w:color w:val="auto"/>
        </w:rPr>
      </w:pPr>
      <w:r>
        <w:rPr>
          <w:rFonts w:ascii="Arial" w:cs="Arial" w:eastAsia="Arial" w:hAnsi="Arial"/>
          <w:sz w:val="16"/>
          <w:szCs w:val="16"/>
          <w:color w:val="auto"/>
        </w:rPr>
        <w:t>Subject to the Amended and Restated Credit Agreement, the Company pays interest on (i) each Base Rate Loan at the Base Rate (as defined therein) plus the Applicable Margin in effect from time to time, (ii) each LIBOR Index Rate Loan at the One Month LIBOR Index Rate (as defined therein) plus the Applicable Margin in effect from time to time and (iii) each Eurodollar Loan at the Adjusted LIBOR for the applicable Interest Period (as defined therein) in effect for such Loan plus the Applicable Margin in effect from time to time. The Applicable Margin, as of any date, is a percentage per annum determined by reference to the applicable Consolidated Net Leverage Ratio (as defined by the agreement) in effect on such date as set forth in the table below.</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40" w:type="dxa"/>
            <w:vAlign w:val="bottom"/>
            <w:tcBorders>
              <w:top w:val="single" w:sz="8" w:color="auto"/>
              <w:left w:val="single" w:sz="8" w:color="auto"/>
              <w:right w:val="single" w:sz="8" w:color="auto"/>
            </w:tcBorders>
          </w:tcPr>
          <w:p>
            <w:pPr>
              <w:spacing w:after="0"/>
              <w:rPr>
                <w:sz w:val="20"/>
                <w:szCs w:val="20"/>
                <w:color w:val="auto"/>
              </w:rPr>
            </w:pPr>
          </w:p>
        </w:tc>
        <w:tc>
          <w:tcPr>
            <w:tcW w:w="4000" w:type="dxa"/>
            <w:vAlign w:val="bottom"/>
            <w:tcBorders>
              <w:top w:val="single" w:sz="8" w:color="auto"/>
              <w:right w:val="single" w:sz="8" w:color="auto"/>
            </w:tcBorders>
          </w:tcPr>
          <w:p>
            <w:pPr>
              <w:spacing w:after="0"/>
              <w:rPr>
                <w:sz w:val="20"/>
                <w:szCs w:val="20"/>
                <w:color w:val="auto"/>
              </w:rPr>
            </w:pPr>
          </w:p>
        </w:tc>
        <w:tc>
          <w:tcPr>
            <w:tcW w:w="2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5"/>
              </w:rPr>
              <w:t>Eurodollar Loans, LIBOR</w:t>
            </w:r>
          </w:p>
        </w:tc>
        <w:tc>
          <w:tcPr>
            <w:tcW w:w="2160" w:type="dxa"/>
            <w:vAlign w:val="bottom"/>
            <w:tcBorders>
              <w:top w:val="single" w:sz="8" w:color="auto"/>
              <w:right w:val="single" w:sz="8" w:color="auto"/>
            </w:tcBorders>
          </w:tcPr>
          <w:p>
            <w:pPr>
              <w:spacing w:after="0"/>
              <w:rPr>
                <w:sz w:val="20"/>
                <w:szCs w:val="20"/>
                <w:color w:val="auto"/>
              </w:rPr>
            </w:pPr>
          </w:p>
        </w:tc>
        <w:tc>
          <w:tcPr>
            <w:tcW w:w="2160" w:type="dxa"/>
            <w:vAlign w:val="bottom"/>
            <w:tcBorders>
              <w:top w:val="single" w:sz="8" w:color="auto"/>
              <w:right w:val="single" w:sz="8" w:color="auto"/>
            </w:tcBorders>
          </w:tcPr>
          <w:p>
            <w:pPr>
              <w:spacing w:after="0"/>
              <w:rPr>
                <w:sz w:val="20"/>
                <w:szCs w:val="20"/>
                <w:color w:val="auto"/>
              </w:rPr>
            </w:pPr>
          </w:p>
        </w:tc>
      </w:tr>
      <w:tr>
        <w:trPr>
          <w:trHeight w:val="216"/>
        </w:trPr>
        <w:tc>
          <w:tcPr>
            <w:tcW w:w="940" w:type="dxa"/>
            <w:vAlign w:val="bottom"/>
            <w:tcBorders>
              <w:left w:val="single" w:sz="8" w:color="auto"/>
              <w:right w:val="single" w:sz="8" w:color="auto"/>
            </w:tcBorders>
          </w:tcPr>
          <w:p>
            <w:pPr>
              <w:spacing w:after="0"/>
              <w:rPr>
                <w:sz w:val="18"/>
                <w:szCs w:val="18"/>
                <w:color w:val="auto"/>
              </w:rPr>
            </w:pPr>
          </w:p>
        </w:tc>
        <w:tc>
          <w:tcPr>
            <w:tcW w:w="400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Index Rate Loans and</w:t>
            </w:r>
          </w:p>
        </w:tc>
        <w:tc>
          <w:tcPr>
            <w:tcW w:w="2160" w:type="dxa"/>
            <w:vAlign w:val="bottom"/>
            <w:tcBorders>
              <w:right w:val="single" w:sz="8" w:color="auto"/>
            </w:tcBorders>
          </w:tcPr>
          <w:p>
            <w:pPr>
              <w:spacing w:after="0"/>
              <w:rPr>
                <w:sz w:val="18"/>
                <w:szCs w:val="18"/>
                <w:color w:val="auto"/>
              </w:rPr>
            </w:pPr>
          </w:p>
        </w:tc>
        <w:tc>
          <w:tcPr>
            <w:tcW w:w="2160" w:type="dxa"/>
            <w:vAlign w:val="bottom"/>
            <w:tcBorders>
              <w:right w:val="single" w:sz="8" w:color="auto"/>
            </w:tcBorders>
          </w:tcPr>
          <w:p>
            <w:pPr>
              <w:spacing w:after="0"/>
              <w:rPr>
                <w:sz w:val="18"/>
                <w:szCs w:val="18"/>
                <w:color w:val="auto"/>
              </w:rPr>
            </w:pPr>
          </w:p>
        </w:tc>
      </w:tr>
      <w:tr>
        <w:trPr>
          <w:trHeight w:val="234"/>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Level</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0"/>
              </w:rPr>
              <w:t>Consolidated Net Leverage Ratio</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2"/>
              </w:rPr>
              <w:t>Letter of Credit Fee</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88"/>
              </w:rPr>
              <w:t>Base Rate Loans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404040"/>
                <w:w w:val="91"/>
              </w:rPr>
              <w:t>Commitment Fee</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Less than 1.50:1.00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0.25%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1.50:1.00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1.00%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2.00:1.00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III</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2.50:1.00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1.25%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22"/>
        </w:trPr>
        <w:tc>
          <w:tcPr>
            <w:tcW w:w="940" w:type="dxa"/>
            <w:vAlign w:val="bottom"/>
            <w:tcBorders>
              <w:left w:val="single" w:sz="8" w:color="auto"/>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2.50:1.00</w:t>
            </w:r>
          </w:p>
        </w:tc>
        <w:tc>
          <w:tcPr>
            <w:tcW w:w="218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tcPr>
          <w:p>
            <w:pPr>
              <w:spacing w:after="0"/>
              <w:rPr>
                <w:sz w:val="19"/>
                <w:szCs w:val="19"/>
                <w:color w:val="auto"/>
              </w:rPr>
            </w:pPr>
          </w:p>
        </w:tc>
      </w:tr>
      <w:tr>
        <w:trPr>
          <w:trHeight w:val="230"/>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IV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8"/>
              </w:rPr>
              <w:t>but less than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1.50%</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0.35%</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r>
        <w:trPr>
          <w:trHeight w:val="237"/>
        </w:trPr>
        <w:tc>
          <w:tcPr>
            <w:tcW w:w="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404040"/>
              </w:rPr>
              <w:t>V</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89"/>
              </w:rPr>
              <w:t>Greater than or equal to 3.00:1.00</w:t>
            </w:r>
          </w:p>
        </w:tc>
        <w:tc>
          <w:tcPr>
            <w:tcW w:w="21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3"/>
              </w:rPr>
              <w:t>2.75%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1.75%</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404040"/>
                <w:w w:val="90"/>
              </w:rPr>
              <w:t>0.40%</w:t>
            </w:r>
          </w:p>
        </w:tc>
      </w:tr>
      <w:tr>
        <w:trPr>
          <w:trHeight w:val="27"/>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 of September 30, 2017, the Amended Term Loan and Amended Revolving Credit Facility bore interest at a rate equal to One Month LIBOR plus 2.25%. The interest rate is subject to an increase of 2.00% if an event of default exists under the Amended and Restated Credit Agreement. The Company is required to pay a commitment fee on the average daily unused portion of the Amended Revolving Credit Facility, based on the Applicable Margin which is 0.30% as of September 30, 2017.</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has the right at any time and from time to time to prepay any borrowing, in whole or in part, without premium or penalty, by giving irrevocable written notice (or telephonic notice promptly confirmed in writing) except that such notice shall be revocable if a prepayment is being made in anticipation of concluding a financing arrangement, and the Company is ultimately unable to secure such financing arrangement. The Company is required to prepay the Amended Credit Facilities under certain circumstances including from net cash proceeds from asset sales or dispositions in excess of certain thresholds, as well as from net cash proceeds from the issuance of certain debt by the Company.</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contains customary representations, warranties, and affirmative covenants. The Amended and Restated Credit Agreement also contains customary negative covenants, subject to some exceptions, on (i) indebtedness and preferred equity, (ii) liens, (iii) fundamental changes, (iv) investments, (v) restricted payments, and (vi) sale of assets and certain other restrictive agreements. The Amended and Restated Credit Agreement also contains customary events of default, such as payment defaults, cross-defaults to other material indebtedness, bankruptcy and insolvency, the occurrence of a defined change in control and the failure to observe the negative covenants and other covenants related to the operation of the Company’s business.</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Amended and Restated Credit Agreement also includes two financial covenants: (i) limiting a maximum Consolidated Total Leverage ratio (as defined therein) to be no greater than 3.50:1.00 for the fiscal quarters ending September 30, 2017 through June 30, 2018, 3.25:1.00 for the fiscal quarters ending September 30, 2018 through June 30, 2019, and 3.00:1.00 for each fiscal quarter ending thereafter and as adjusted pursuant to a Qualified Permitted Acquisition (as defined therein); and (ii) requiring a minimum Consolidated Fixed Charge Coverage ratio (as defined therein) as of the end of each fiscal quarter of 1.50:1.00. As of September 30, 2017, the Company was in compliance with the financial covenants and other covenants contained in the Amended and Restated Credit Agreement.</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obligations under the Amended and Restated Credit Agreement are guaranteed by all of the Company’s domestic wholly-owned subsidiaries and are secured by a first-priority security interest in the Collateral (as defined therein).</w:t>
      </w:r>
    </w:p>
    <w:p>
      <w:pPr>
        <w:spacing w:after="0" w:line="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September 30, 2017, the Company has $21.6 million letters of credit outstanding and $93.4 million available under the Amended Revolving Credit Facility. The letters of credit relate to the Company’s workers’ compensation and professional liability insurance policies.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40"/>
          </w:cols>
          <w:pgMar w:left="240" w:top="368"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2016 Senior Credit Facilities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22, 2016, the Company entered into a senior credit agreement ( 2016 Credit Agreement), which provided for an initial term loan of $40.0 million (Term Loan) and a revolving credit facility of up to $100.0 million (Revolving Credit Facility) (together with the Term Loan, the 2016 Senior Credit Facilities) both of which would have matured on June 22, 2021. The Revolving Credit Facility included a subfacility for swingline loans up to an amount not to exceed $15.0 million, and a $35.0 million sublimit for the issuance of standby letters of credit. Proceeds of the Senior Credit Facilities were used primarily to refinance the Company’s First Lien Loan and Second Lien Term Loan (see Prior Credit Facilities) and to pay related transaction fees and expenses, including a prepayment penalty of $0.6 million. The repayment of the Second Lien Term Loan was treated as extinguishment of debt and, as a result, the Company recognized a loss on extinguishment of debt of approximately $1.6 million in the second quarter of 2016, related to the write-off of unamortized net debt discount and issuance costs as well as transaction fees and expenses.</w:t>
      </w:r>
    </w:p>
    <w:p>
      <w:pPr>
        <w:spacing w:after="0" w:line="9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July 5, 2017, the Company entered into a Second Amendment to its 2016 Credit Agreement primarily to allow for the acquisition of Advantage including a reset of the Applicable Margin to Level III, based on the incremental borrowings and consistent with the prior pricing grid (or 2.25% for Eurodollar Loans and LIBOR Index Rate Loans, 1.25% for Base Rate Loans and a 0.30% commitment fee). Also, on July 5, 2017, the Company entered into an Incremental Term Loan Agreement for $40.0 million with SunTrust as Lender and Administrative Agent to pay for part of the consideration of the acquisition of Advantage. The Incremental Term Loan maturity date was June 22, 2021 and was prepayable at any time without penalty.</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Borrowings under the Incremental Term Loan were payable in quarterly installments, commencing September 30, 2017, with each such installment being in the aggregate principal amount (subject to adjustment as a result of prepayments) for the first eight installments equal to 1.875% and 2.5% of the principal amount of the Incremental Term Loan for the remaining installments; provided that, to the extent not previously paid, the aggregate unpaid principal balance would be due and payable on the maturity date. As of July 5, 2017 the Applicable Margin for Eurodollar Loans and LIBOR Index Rate Loans was 2.25% and the Applicable Margin for Base Rate Loans was 1.25%.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and certain of its domestic subsidiaries entered into a Convertible Note Purchase Agreement (the Note Purchase Agreement), with certain note holders (collectively, the Noteholders) on June 30, 2014. Pursuant to the Note Purchase Agreement, the Company sold to the Noteholders an aggregate of $25.0 million of convertible notes (the Convertible Notes). On March 17, 2017, the Company paid in full the Convertible Notes. In connection with the repayment, the Company issued to the Noteholders an aggregate of 3,175,584 shares of Common Stock, par value $0.0001, and cash in the aggregate amount of $5.6 million (of which $5.0 million is included in repayment of debt and $0.6 million is presented as extinguishment fees, both within financing activities on the condensed consolidated statements of cash flows). Upon derecognition of the net carrying amounts of the Convertible Notes (the remaining $20.0 million after the $5.0 million cash payment) and derivative liability ($26.0 million), the Company recognized a non-cash charge of $5.0 million as loss on early extinguishment and a non-cash addition to additional paid-in capital of $46.0 million for the fair value of the shares, which is not presented on the condensed consolidated statements of cash flows. The loss on early extinguishment of debt includes the write-off of unamortized loan fees and remaining interest due through the Forced Conversion date (defined below) of June 30, 2017.</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Convertible Notes were convertible at the option of the holders thereof at any time into shares of the Common Stock at a conversion price of $7.10 per share, or 3,521,126 shares of Common Stock. After three years from the issuance date, the Company had the right to force a conversion of the Convertible Notes if the volume-weighted average price (VWAP) per share of its Common Stock exceeded 125% of the then conversion price for 20 days of a 30 day trading period (Forced Conversion date).</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Convertible Notes bore interest at a rate of 8.00% per annum, payable in quarterly cash installments. The Convertible Notes would have matured on June 30, 2020, unless earlier repurchased, redeemed or converted. Subject to certain exceptions, the Company was not permitted to redeem the Convertible Notes until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Credit Facilities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December 31, 2015, the Company had a senior secured asset-based revolving credit facility (First Lien Loan), with a termination date of June 30, 2017, in the aggregate principal amount of up to $85.0 million, which included a subfacility for swingline loans up to an amount equal to 10% of the aggregate Revolver Commitments, as defined in the agreement, and a $35.0 million subfacility for standby letters of credit. The Company also had a five-year second lien term loan facility (Second Lien Term Loan) in an aggregate principal amount of $30.0 million. The Company had the ability, at its option at any time, to</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68" w:right="259" w:bottom="144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8"/>
          <w:szCs w:val="18"/>
          <w:color w:val="auto"/>
        </w:rPr>
        <w:t>prepay the Second Lien Term Loan in whole or in part at the redemption prices set forth therein, which ranged from 103% of the principal amount thereof for prepayments during the period July 1, 2015 through June 30, 2016, 102% of the principal amount thereof for prepayments during the period July 1, 2016 through June 30, 2017, and 100% of the principal amount thereof for prepayments after June 30, 2017.</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CONVERTIBLE NOTES DERIVATIVE LIABILITY</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On March 17, 2017, the Company paid in full its Convertible Notes and, as a result, derecognized the derivative liability. See Note 7 - Debt. The Company does not use derivative financial instruments to hedge exposures to cash-flow, market or foreign-currency risks. However, the Company issued Convertible Notes with features that were either (i) not afforded equity classification, (ii) embody risks not clearly and closely related to host contracts, or (iii) may be net-cash settled by the counterparty. As required by the </w:t>
      </w:r>
      <w:r>
        <w:rPr>
          <w:rFonts w:ascii="Arial" w:cs="Arial" w:eastAsia="Arial" w:hAnsi="Arial"/>
          <w:sz w:val="16"/>
          <w:szCs w:val="16"/>
          <w:i w:val="1"/>
          <w:iCs w:val="1"/>
          <w:color w:val="auto"/>
        </w:rPr>
        <w:t>Accounting for Derivative Financial Instruments and Hedging Activities</w:t>
      </w:r>
      <w:r>
        <w:rPr>
          <w:rFonts w:ascii="Arial" w:cs="Arial" w:eastAsia="Arial" w:hAnsi="Arial"/>
          <w:sz w:val="16"/>
          <w:szCs w:val="16"/>
          <w:color w:val="auto"/>
        </w:rPr>
        <w:t xml:space="preserve"> Topic of the FASB ASC, in certain instances, these instruments were required to be carried as derivative liabilities, at fair value, in the financial statements.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Convertible Notes were subject to anti-dilution adjustments that allowed for the reduction in the Conversion Price, as defined in the agreement, in the event the Company subsequently issued equity securities including Common Stock or any security convertible or exchangeable for shares of Common Stock for a price less than the then current conversion price. In addition, the Convertible Notes allowed the issuer to exercise optional redemption features and the holder to exercise an offer to purchase feature, under certain conditions. The Company accounted for the conversion option in accordance with the </w:t>
      </w:r>
      <w:r>
        <w:rPr>
          <w:rFonts w:ascii="Arial" w:cs="Arial" w:eastAsia="Arial" w:hAnsi="Arial"/>
          <w:sz w:val="16"/>
          <w:szCs w:val="16"/>
          <w:i w:val="1"/>
          <w:iCs w:val="1"/>
          <w:color w:val="auto"/>
        </w:rPr>
        <w:t xml:space="preserve">Accounting for Derivative Financial Instruments and Hedging Activities </w:t>
      </w:r>
      <w:r>
        <w:rPr>
          <w:rFonts w:ascii="Arial" w:cs="Arial" w:eastAsia="Arial" w:hAnsi="Arial"/>
          <w:sz w:val="16"/>
          <w:szCs w:val="16"/>
          <w:color w:val="auto"/>
        </w:rPr>
        <w:t>Topic. Since this conversion feature is not considered to be solely indexed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own stock the derivative was recorded as a liability in the line item long-term debt on the Company's condensed consolidated balance sheets.</w:t>
      </w:r>
    </w:p>
    <w:p>
      <w:pPr>
        <w:spacing w:after="0" w:line="16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Company’s Convertible Notes derivative liability was measured at fair value using a trinomial lattice model. The optional redemption features, along with the offer to purchase features were incorporated into the valuation model. Inputs into the model required estimates, including such items as estimated volatility of the Company's stock, estimated credit risk of the Company, estimated probabilities of change of control and issuance of additional financing, risk-free interest rate, and the estimated life of the financial instruments being fair valued. In addition, since the conversion price contained an anti-dilution adjustment, the probability that the Conversion Price of the Notes would decrease as the share price decreased was incorporated into the valuation calculation.</w:t>
      </w:r>
    </w:p>
    <w:p>
      <w:pPr>
        <w:spacing w:after="0" w:line="15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fair value of the derivative liability was primarily determined by fluctuations in our stock price. In addition, changes in our credit risk profile impacted the fair value determination. These fluctuations resulted in a current period gain or loss that was presented on the condensed consolidated statements of operations as loss (gain) on derivative liability.</w:t>
      </w:r>
    </w:p>
    <w:p>
      <w:pPr>
        <w:spacing w:after="0" w:line="17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of the FASB ASC defines fair value as the exchange price that would be received for an asset or paid to transfer a liability (an exit price) in the principal or most advantageous market for the asset or liability in an orderly transaction between market participants on the measurement date. The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Topic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 active;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inputs that are observable or can be corroborated by observable market data for substantially the full term of the assets or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Company’s financial assets/liabilities required to be measured on a recurring basis were its: deferred compensation liability included in other long-term liabilities, Convertible Notes derivative liability included in long-term debt and capital lease obligations, and contingent consideration liabilities.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ind w:right="60"/>
        <w:spacing w:after="0" w:line="277" w:lineRule="auto"/>
        <w:rPr>
          <w:sz w:val="20"/>
          <w:szCs w:val="20"/>
          <w:color w:val="auto"/>
        </w:rPr>
      </w:pPr>
      <w:r>
        <w:rPr>
          <w:rFonts w:ascii="Arial" w:cs="Arial" w:eastAsia="Arial" w:hAnsi="Arial"/>
          <w:sz w:val="18"/>
          <w:szCs w:val="18"/>
          <w:i w:val="1"/>
          <w:iCs w:val="1"/>
          <w:color w:val="auto"/>
        </w:rPr>
        <w:t>Deferred compensation</w:t>
      </w:r>
      <w:r>
        <w:rPr>
          <w:rFonts w:ascii="Arial" w:cs="Arial" w:eastAsia="Arial" w:hAnsi="Arial"/>
          <w:sz w:val="18"/>
          <w:szCs w:val="18"/>
          <w:color w:val="auto"/>
        </w:rPr>
        <w:t>—The Company utilizes Level 1 inputs to value its deferred compensation liability. The Company’s deferred compensation liability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publicly available indices that define the liability amounts, as per the plan documents.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Convertible Notes derivative liability</w:t>
      </w:r>
      <w:r>
        <w:rPr>
          <w:rFonts w:ascii="Arial" w:cs="Arial" w:eastAsia="Arial" w:hAnsi="Arial"/>
          <w:sz w:val="18"/>
          <w:szCs w:val="18"/>
          <w:color w:val="auto"/>
        </w:rPr>
        <w:t>—The Company utilized Level 3 inputs to value its Convertible Notes derivative liability. See Note 7 - Debt and Note 8 -</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derivative liability.</w:t>
      </w:r>
    </w:p>
    <w:p>
      <w:pPr>
        <w:spacing w:after="0" w:line="17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Contingent consideration liabilities</w:t>
      </w:r>
      <w:r>
        <w:rPr>
          <w:rFonts w:ascii="Arial" w:cs="Arial" w:eastAsia="Arial" w:hAnsi="Arial"/>
          <w:sz w:val="18"/>
          <w:szCs w:val="18"/>
          <w:color w:val="auto"/>
        </w:rPr>
        <w:t>—Potential earnout payments related to the acquisition of Mediscan and USR are contingent upon meeting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requirements through 2019. See Note 3 - Acquisitions. The long-term portion of these liabilities is included in contingent consideration, and the short-term portion is included in other current liabilities on the condensed consolidated balance sheets. The Company utilized Level 3 inputs to value these contingent consideration liabilities as significant unobservable inputs were used in the calculation of their fair value. Both of the Mediscan contingent consideration liabilities have been measured at fair value using a discounted cash flow model in a Monte Carlo simulation setting, utilizing significant unobservable inputs, including the expected volatility of the acquisitions' gross profits and an estimated discount rate commensurate with the risks of the expected gross profit stream. In the third quarter of 2017, the Company determined that one of the contingent consideration earnouts related to the Mediscan acquisition would not be achieved for 2017 and, as a result, the entire earnout was reversed. See Note 3 - Acquisitions. The USR contingent consideration is recorded as a liability and measured at fair value using a discounted cash flow model utilizing significant unobservable inputs, including the probability of achieving each of the potential milestones and an estimated discount rate commensurate with the risks of the expected cash flows attributable to the milestones.</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fair value of contingent consideration and the associated liabilities will be adjusted to fair value at each reporting date until actual settlement occurs, with the changes in fair value and related accretion reflected as acquisition-related contingent consideration on the condensed consolidated statements of operations. Significant increases (decreases) in the volatility or in any of the probabilities of success, or decreases (increases) in the discount rate would result in a significantly higher (lower) fair value, respectively, and commensurate changes to these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which follows summarizes the estimated fair value of the Company’s financial assets and liabilities measured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94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91"/>
              </w:rPr>
              <w:t>Fair Value Measurements</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2017</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142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4"/>
            <w:shd w:val="clear" w:color="auto" w:fill="CCEEFF"/>
          </w:tcPr>
          <w:p>
            <w:pPr>
              <w:jc w:val="right"/>
              <w:ind w:right="1530"/>
              <w:spacing w:after="0"/>
              <w:rPr>
                <w:sz w:val="20"/>
                <w:szCs w:val="20"/>
                <w:color w:val="auto"/>
              </w:rPr>
            </w:pPr>
            <w:r>
              <w:rPr>
                <w:rFonts w:ascii="Arial" w:cs="Arial" w:eastAsia="Arial" w:hAnsi="Arial"/>
                <w:sz w:val="16"/>
                <w:szCs w:val="16"/>
                <w:color w:val="auto"/>
                <w:shd w:val="clear" w:color="auto" w:fill="CCEEFF"/>
              </w:rPr>
              <w:t>(amounts in thousands)</w:t>
            </w:r>
          </w:p>
        </w:tc>
        <w:tc>
          <w:tcPr>
            <w:tcW w:w="0" w:type="dxa"/>
            <w:vAlign w:val="bottom"/>
          </w:tcPr>
          <w:p>
            <w:pPr>
              <w:spacing w:after="0"/>
              <w:rPr>
                <w:sz w:val="1"/>
                <w:szCs w:val="1"/>
                <w:color w:val="auto"/>
              </w:rPr>
            </w:pPr>
          </w:p>
        </w:tc>
      </w:tr>
      <w:tr>
        <w:trPr>
          <w:trHeight w:val="237"/>
        </w:trPr>
        <w:tc>
          <w:tcPr>
            <w:tcW w:w="296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1)</w:t>
            </w:r>
          </w:p>
        </w:tc>
        <w:tc>
          <w:tcPr>
            <w:tcW w:w="3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Deferred compensation</w:t>
            </w:r>
          </w:p>
        </w:tc>
        <w:tc>
          <w:tcPr>
            <w:tcW w:w="39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6"/>
                <w:szCs w:val="16"/>
                <w:b w:val="1"/>
                <w:bCs w:val="1"/>
                <w:color w:val="auto"/>
              </w:rPr>
              <w:t>(Level 3)</w:t>
            </w: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60" w:type="dxa"/>
            <w:vAlign w:val="bottom"/>
            <w:gridSpan w:val="3"/>
            <w:vMerge w:val="continue"/>
          </w:tcPr>
          <w:p>
            <w:pPr>
              <w:spacing w:after="0"/>
              <w:rPr>
                <w:sz w:val="18"/>
                <w:szCs w:val="18"/>
                <w:color w:val="auto"/>
              </w:rPr>
            </w:pPr>
          </w:p>
        </w:tc>
        <w:tc>
          <w:tcPr>
            <w:tcW w:w="3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3"/>
                <w:shd w:val="clear" w:color="auto" w:fill="CCEEFF"/>
              </w:rPr>
              <w:t>Convertible Notes derivative liability</w:t>
            </w:r>
          </w:p>
        </w:tc>
        <w:tc>
          <w:tcPr>
            <w:tcW w:w="36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2920" w:type="dxa"/>
            <w:vAlign w:val="bottom"/>
            <w:gridSpan w:val="2"/>
          </w:tcPr>
          <w:p>
            <w:pPr>
              <w:ind w:left="240"/>
              <w:spacing w:after="0"/>
              <w:rPr>
                <w:sz w:val="20"/>
                <w:szCs w:val="20"/>
                <w:color w:val="auto"/>
              </w:rPr>
            </w:pPr>
            <w:r>
              <w:rPr>
                <w:rFonts w:ascii="Arial" w:cs="Arial" w:eastAsia="Arial" w:hAnsi="Arial"/>
                <w:sz w:val="18"/>
                <w:szCs w:val="18"/>
                <w:color w:val="auto"/>
                <w:w w:val="97"/>
              </w:rPr>
              <w:t>Contingent consideration liabilities</w:t>
            </w:r>
          </w:p>
        </w:tc>
        <w:tc>
          <w:tcPr>
            <w:tcW w:w="3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2"/>
              <w:spacing w:after="0"/>
              <w:rPr>
                <w:sz w:val="20"/>
                <w:szCs w:val="20"/>
                <w:color w:val="auto"/>
              </w:rPr>
            </w:pPr>
            <w:r>
              <w:rPr>
                <w:rFonts w:ascii="Arial" w:cs="Arial" w:eastAsia="Arial" w:hAnsi="Arial"/>
                <w:sz w:val="18"/>
                <w:szCs w:val="18"/>
                <w:color w:val="auto"/>
              </w:rPr>
              <w:t>5,269</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80" w:type="dxa"/>
            <w:vAlign w:val="bottom"/>
            <w:vMerge w:val="restart"/>
          </w:tcPr>
          <w:p>
            <w:pPr>
              <w:jc w:val="right"/>
              <w:ind w:right="750"/>
              <w:spacing w:after="0"/>
              <w:rPr>
                <w:sz w:val="20"/>
                <w:szCs w:val="20"/>
                <w:color w:val="auto"/>
              </w:rPr>
            </w:pPr>
            <w:r>
              <w:rPr>
                <w:rFonts w:ascii="Arial" w:cs="Arial" w:eastAsia="Arial" w:hAnsi="Arial"/>
                <w:sz w:val="18"/>
                <w:szCs w:val="18"/>
                <w:color w:val="auto"/>
              </w:rPr>
              <w:t>17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20" w:name="page21"/>
    <w:bookmarkEnd w:id="20"/>
    <w:p>
      <w:pPr>
        <w:ind w:right="440"/>
        <w:spacing w:after="0" w:line="277" w:lineRule="auto"/>
        <w:rPr>
          <w:sz w:val="20"/>
          <w:szCs w:val="20"/>
          <w:color w:val="auto"/>
        </w:rPr>
      </w:pPr>
      <w:r>
        <w:rPr>
          <w:rFonts w:ascii="Arial" w:cs="Arial" w:eastAsia="Arial" w:hAnsi="Arial"/>
          <w:sz w:val="18"/>
          <w:szCs w:val="18"/>
          <w:color w:val="auto"/>
        </w:rPr>
        <w:t>The table which follows reconciles the opening balances to the closing balances for fair value measurements categorized within Level 3 of the fair value hierarchy:</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Contingent Consideration</w:t>
            </w:r>
          </w:p>
        </w:tc>
        <w:tc>
          <w:tcPr>
            <w:tcW w:w="340" w:type="dxa"/>
            <w:vAlign w:val="bottom"/>
          </w:tcPr>
          <w:p>
            <w:pPr>
              <w:spacing w:after="0"/>
              <w:rPr>
                <w:sz w:val="20"/>
                <w:szCs w:val="20"/>
                <w:color w:val="auto"/>
              </w:rPr>
            </w:pPr>
          </w:p>
        </w:tc>
        <w:tc>
          <w:tcPr>
            <w:tcW w:w="2260" w:type="dxa"/>
            <w:vAlign w:val="bottom"/>
          </w:tcPr>
          <w:p>
            <w:pPr>
              <w:jc w:val="right"/>
              <w:ind w:right="530"/>
              <w:spacing w:after="0"/>
              <w:rPr>
                <w:sz w:val="20"/>
                <w:szCs w:val="20"/>
                <w:color w:val="auto"/>
              </w:rPr>
            </w:pPr>
            <w:r>
              <w:rPr>
                <w:rFonts w:ascii="Arial" w:cs="Arial" w:eastAsia="Arial" w:hAnsi="Arial"/>
                <w:sz w:val="18"/>
                <w:szCs w:val="18"/>
                <w:b w:val="1"/>
                <w:bCs w:val="1"/>
                <w:color w:val="auto"/>
              </w:rPr>
              <w:t>Convertible Notes</w:t>
            </w:r>
          </w:p>
        </w:tc>
      </w:tr>
      <w:tr>
        <w:trPr>
          <w:trHeight w:val="270"/>
        </w:trPr>
        <w:tc>
          <w:tcPr>
            <w:tcW w:w="5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Liabilities (a)</w:t>
            </w:r>
          </w:p>
        </w:tc>
        <w:tc>
          <w:tcPr>
            <w:tcW w:w="340" w:type="dxa"/>
            <w:vAlign w:val="bottom"/>
          </w:tcPr>
          <w:p>
            <w:pPr>
              <w:spacing w:after="0"/>
              <w:rPr>
                <w:sz w:val="23"/>
                <w:szCs w:val="23"/>
                <w:color w:val="auto"/>
              </w:rPr>
            </w:pPr>
          </w:p>
        </w:tc>
        <w:tc>
          <w:tcPr>
            <w:tcW w:w="2260" w:type="dxa"/>
            <w:vAlign w:val="bottom"/>
          </w:tcPr>
          <w:p>
            <w:pPr>
              <w:jc w:val="right"/>
              <w:ind w:right="470"/>
              <w:spacing w:after="0"/>
              <w:rPr>
                <w:sz w:val="20"/>
                <w:szCs w:val="20"/>
                <w:color w:val="auto"/>
              </w:rPr>
            </w:pPr>
            <w:r>
              <w:rPr>
                <w:rFonts w:ascii="Arial" w:cs="Arial" w:eastAsia="Arial" w:hAnsi="Arial"/>
                <w:sz w:val="18"/>
                <w:szCs w:val="18"/>
                <w:b w:val="1"/>
                <w:bCs w:val="1"/>
                <w:color w:val="auto"/>
              </w:rPr>
              <w:t>Derivative Liability</w:t>
            </w: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gridSpan w:val="4"/>
          </w:tcPr>
          <w:p>
            <w:pPr>
              <w:spacing w:after="0"/>
              <w:rPr>
                <w:sz w:val="2"/>
                <w:szCs w:val="2"/>
                <w:color w:val="auto"/>
              </w:rPr>
            </w:pPr>
          </w:p>
        </w:tc>
      </w:tr>
      <w:tr>
        <w:trPr>
          <w:trHeight w:val="217"/>
        </w:trPr>
        <w:tc>
          <w:tcPr>
            <w:tcW w:w="5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gridSpan w:val="4"/>
          </w:tcPr>
          <w:p>
            <w:pPr>
              <w:jc w:val="right"/>
              <w:ind w:right="1850"/>
              <w:spacing w:after="0"/>
              <w:rPr>
                <w:sz w:val="20"/>
                <w:szCs w:val="20"/>
                <w:color w:val="auto"/>
              </w:rPr>
            </w:pPr>
            <w:r>
              <w:rPr>
                <w:rFonts w:ascii="Arial" w:cs="Arial" w:eastAsia="Arial" w:hAnsi="Arial"/>
                <w:sz w:val="16"/>
                <w:szCs w:val="16"/>
                <w:color w:val="auto"/>
              </w:rPr>
              <w:t>(amounts in thousands)</w:t>
            </w:r>
          </w:p>
        </w:tc>
      </w:tr>
      <w:tr>
        <w:trPr>
          <w:trHeight w:val="33"/>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December 31,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27,532</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Payments/Settlements</w:t>
            </w: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(25,951)</w:t>
            </w: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Accretion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Valuation gain for the period</w:t>
            </w:r>
          </w:p>
        </w:tc>
        <w:tc>
          <w:tcPr>
            <w:tcW w:w="200" w:type="dxa"/>
            <w:vAlign w:val="bottom"/>
          </w:tcPr>
          <w:p>
            <w:pPr>
              <w:spacing w:after="0"/>
              <w:rPr>
                <w:sz w:val="21"/>
                <w:szCs w:val="21"/>
                <w:color w:val="auto"/>
              </w:rPr>
            </w:pPr>
          </w:p>
        </w:tc>
        <w:tc>
          <w:tcPr>
            <w:tcW w:w="2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March 31, 2017</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21"/>
                <w:szCs w:val="21"/>
                <w:color w:val="auto"/>
              </w:rPr>
            </w:pPr>
          </w:p>
        </w:tc>
        <w:tc>
          <w:tcPr>
            <w:tcW w:w="238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June 30,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6,054</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shd w:val="clear" w:color="auto" w:fill="CCEEFF"/>
              </w:rPr>
              <w:t>Accretion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880" w:type="dxa"/>
            <w:vAlign w:val="bottom"/>
          </w:tcPr>
          <w:p>
            <w:pPr>
              <w:ind w:left="160"/>
              <w:spacing w:after="0"/>
              <w:rPr>
                <w:sz w:val="20"/>
                <w:szCs w:val="20"/>
                <w:color w:val="auto"/>
              </w:rPr>
            </w:pPr>
            <w:r>
              <w:rPr>
                <w:rFonts w:ascii="Arial" w:cs="Arial" w:eastAsia="Arial" w:hAnsi="Arial"/>
                <w:sz w:val="18"/>
                <w:szCs w:val="18"/>
                <w:color w:val="auto"/>
              </w:rPr>
              <w:t>Valuation adjustment</w:t>
            </w:r>
          </w:p>
        </w:tc>
        <w:tc>
          <w:tcPr>
            <w:tcW w:w="2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September 30, 2017</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w:t>
      </w:r>
    </w:p>
    <w:p>
      <w:pPr>
        <w:spacing w:after="0" w:line="211" w:lineRule="exact"/>
        <w:rPr>
          <w:sz w:val="20"/>
          <w:szCs w:val="20"/>
          <w:color w:val="auto"/>
        </w:rPr>
      </w:pPr>
    </w:p>
    <w:p>
      <w:pPr>
        <w:ind w:left="660" w:right="58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Related to the Mediscan acquisition on October 30, 2015 and the USR acquisition on December 1, 2016. Valuation adjustments and accretion expense is included as acquisition-related contingent consideration on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Non-Recurring Basis: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non-financial assets, such as goodwill, trade names, other intangible assets, and property and equipment, are measured at fair value when there is an indicator of impairment and are recorded at fair value only when an impairment charge is recognized. As of September 30, 2017 and December 31, 2016, no impairment charges were recognized.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Disclosures: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Financial instruments not measured or recorded at fair value in the accompanying condensed consolidated balance sheets consist of cash and cash equivalents, accounts receivable, accounts payable and accrued expenses and short and long-term debt. The estimated fair value of accounts receivable, accounts payable and accrued expenses approximate their carrying amount due to the short-term nature of these instruments. The estimated fair value of the Company's debt was calculated using a discounted cash flow analysis and appropriate valuation methodologies using Level 2 inputs from available market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8" w:right="2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represents the carrying amounts and estimated fair value of the Company’s significant financial instruments that were not measured at fair value: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 2017</w:t>
            </w: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December 31, 2016</w:t>
            </w:r>
          </w:p>
        </w:tc>
        <w:tc>
          <w:tcPr>
            <w:tcW w:w="10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Carrying</w:t>
            </w:r>
          </w:p>
        </w:tc>
        <w:tc>
          <w:tcPr>
            <w:tcW w:w="660" w:type="dxa"/>
            <w:vAlign w:val="bottom"/>
          </w:tcPr>
          <w:p>
            <w:pPr>
              <w:spacing w:after="0"/>
              <w:rPr>
                <w:sz w:val="19"/>
                <w:szCs w:val="19"/>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6"/>
              </w:rPr>
              <w:t>Fair</w:t>
            </w:r>
          </w:p>
        </w:tc>
        <w:tc>
          <w:tcPr>
            <w:tcW w:w="320" w:type="dxa"/>
            <w:vAlign w:val="bottom"/>
          </w:tcPr>
          <w:p>
            <w:pPr>
              <w:spacing w:after="0"/>
              <w:rPr>
                <w:sz w:val="19"/>
                <w:szCs w:val="19"/>
                <w:color w:val="auto"/>
              </w:rPr>
            </w:pPr>
          </w:p>
        </w:tc>
        <w:tc>
          <w:tcPr>
            <w:tcW w:w="1600" w:type="dxa"/>
            <w:vAlign w:val="bottom"/>
            <w:gridSpan w:val="3"/>
          </w:tcPr>
          <w:p>
            <w:pPr>
              <w:jc w:val="center"/>
              <w:ind w:right="520"/>
              <w:spacing w:after="0"/>
              <w:rPr>
                <w:sz w:val="20"/>
                <w:szCs w:val="20"/>
                <w:color w:val="auto"/>
              </w:rPr>
            </w:pPr>
            <w:r>
              <w:rPr>
                <w:rFonts w:ascii="Arial" w:cs="Arial" w:eastAsia="Arial" w:hAnsi="Arial"/>
                <w:sz w:val="18"/>
                <w:szCs w:val="18"/>
                <w:color w:val="auto"/>
                <w:w w:val="94"/>
              </w:rPr>
              <w:t>Carrying</w:t>
            </w:r>
          </w:p>
        </w:tc>
        <w:tc>
          <w:tcPr>
            <w:tcW w:w="640" w:type="dxa"/>
            <w:vAlign w:val="bottom"/>
          </w:tcPr>
          <w:p>
            <w:pPr>
              <w:spacing w:after="0"/>
              <w:rPr>
                <w:sz w:val="19"/>
                <w:szCs w:val="19"/>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Fair</w:t>
            </w:r>
          </w:p>
        </w:tc>
      </w:tr>
      <w:tr>
        <w:trPr>
          <w:trHeight w:val="230"/>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Amount</w:t>
            </w:r>
          </w:p>
        </w:tc>
        <w:tc>
          <w:tcPr>
            <w:tcW w:w="660" w:type="dxa"/>
            <w:vAlign w:val="bottom"/>
          </w:tcPr>
          <w:p>
            <w:pPr>
              <w:spacing w:after="0"/>
              <w:rPr>
                <w:sz w:val="20"/>
                <w:szCs w:val="20"/>
                <w:color w:val="auto"/>
              </w:rPr>
            </w:pPr>
          </w:p>
        </w:tc>
        <w:tc>
          <w:tcPr>
            <w:tcW w:w="1280" w:type="dxa"/>
            <w:vAlign w:val="bottom"/>
            <w:gridSpan w:val="2"/>
          </w:tcPr>
          <w:p>
            <w:pPr>
              <w:jc w:val="center"/>
              <w:ind w:right="860"/>
              <w:spacing w:after="0"/>
              <w:rPr>
                <w:sz w:val="20"/>
                <w:szCs w:val="20"/>
                <w:color w:val="auto"/>
              </w:rPr>
            </w:pPr>
            <w:r>
              <w:rPr>
                <w:rFonts w:ascii="Arial" w:cs="Arial" w:eastAsia="Arial" w:hAnsi="Arial"/>
                <w:sz w:val="18"/>
                <w:szCs w:val="18"/>
                <w:color w:val="auto"/>
                <w:w w:val="91"/>
              </w:rPr>
              <w:t>Value</w:t>
            </w:r>
          </w:p>
        </w:tc>
        <w:tc>
          <w:tcPr>
            <w:tcW w:w="320" w:type="dxa"/>
            <w:vAlign w:val="bottom"/>
          </w:tcPr>
          <w:p>
            <w:pPr>
              <w:spacing w:after="0"/>
              <w:rPr>
                <w:sz w:val="20"/>
                <w:szCs w:val="20"/>
                <w:color w:val="auto"/>
              </w:rPr>
            </w:pPr>
          </w:p>
        </w:tc>
        <w:tc>
          <w:tcPr>
            <w:tcW w:w="1600" w:type="dxa"/>
            <w:vAlign w:val="bottom"/>
            <w:gridSpan w:val="3"/>
          </w:tcPr>
          <w:p>
            <w:pPr>
              <w:jc w:val="center"/>
              <w:ind w:right="540"/>
              <w:spacing w:after="0"/>
              <w:rPr>
                <w:sz w:val="20"/>
                <w:szCs w:val="20"/>
                <w:color w:val="auto"/>
              </w:rPr>
            </w:pPr>
            <w:r>
              <w:rPr>
                <w:rFonts w:ascii="Arial" w:cs="Arial" w:eastAsia="Arial" w:hAnsi="Arial"/>
                <w:sz w:val="18"/>
                <w:szCs w:val="18"/>
                <w:color w:val="auto"/>
                <w:w w:val="93"/>
              </w:rPr>
              <w:t>Amount</w:t>
            </w:r>
          </w:p>
        </w:tc>
        <w:tc>
          <w:tcPr>
            <w:tcW w:w="64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color w:val="auto"/>
                <w:w w:val="86"/>
              </w:rPr>
              <w:t>Value</w:t>
            </w:r>
          </w:p>
        </w:tc>
      </w:tr>
      <w:tr>
        <w:trPr>
          <w:trHeight w:val="27"/>
        </w:trPr>
        <w:tc>
          <w:tcPr>
            <w:tcW w:w="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shd w:val="clear" w:color="auto" w:fill="CCEEFF"/>
              </w:rPr>
              <w:t>Financial Liabilities:</w:t>
            </w:r>
          </w:p>
        </w:tc>
        <w:tc>
          <w:tcPr>
            <w:tcW w:w="23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4"/>
            <w:shd w:val="clear" w:color="auto" w:fill="CCEEFF"/>
          </w:tcPr>
          <w:p>
            <w:pPr>
              <w:ind w:left="420"/>
              <w:spacing w:after="0"/>
              <w:rPr>
                <w:sz w:val="20"/>
                <w:szCs w:val="20"/>
                <w:color w:val="auto"/>
              </w:rPr>
            </w:pPr>
            <w:r>
              <w:rPr>
                <w:rFonts w:ascii="Arial" w:cs="Arial" w:eastAsia="Arial" w:hAnsi="Arial"/>
                <w:sz w:val="16"/>
                <w:szCs w:val="16"/>
                <w:color w:val="auto"/>
                <w:w w:val="88"/>
                <w:shd w:val="clear" w:color="auto" w:fill="CCEEFF"/>
              </w:rPr>
              <w:t>(amounts in thousands)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3900" w:type="dxa"/>
            <w:vAlign w:val="bottom"/>
            <w:gridSpan w:val="3"/>
          </w:tcPr>
          <w:p>
            <w:pPr>
              <w:ind w:left="40"/>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shd w:val="clear" w:color="auto" w:fill="CCEEFF"/>
              </w:rPr>
              <w:t>Term Loan, net</w:t>
            </w:r>
          </w:p>
        </w:tc>
        <w:tc>
          <w:tcPr>
            <w:tcW w:w="23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99,077</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101,000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39,137</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3860" w:type="dxa"/>
            <w:vAlign w:val="bottom"/>
            <w:gridSpan w:val="2"/>
          </w:tcPr>
          <w:p>
            <w:pPr>
              <w:ind w:left="240"/>
              <w:spacing w:after="0"/>
              <w:rPr>
                <w:sz w:val="20"/>
                <w:szCs w:val="20"/>
                <w:color w:val="auto"/>
              </w:rPr>
            </w:pPr>
            <w:r>
              <w:rPr>
                <w:rFonts w:ascii="Arial" w:cs="Arial" w:eastAsia="Arial" w:hAnsi="Arial"/>
                <w:sz w:val="18"/>
                <w:szCs w:val="18"/>
                <w:color w:val="auto"/>
              </w:rPr>
              <w:t>Convertible Notes,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20,331</w:t>
            </w:r>
          </w:p>
        </w:tc>
        <w:tc>
          <w:tcPr>
            <w:tcW w:w="2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27,250</w:t>
            </w: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invested its excess cash in highly-rated overnight funds and other highly-rated liquid accounts. The Company has been exposed to credit risk associated with these investments. The Company minimizes its credit risk relating to these positions by monitoring the financial condition of the financial institutions involved and by primarily conducting business with large, well established financial institutions and diversifying its counterparties.</w:t>
      </w:r>
    </w:p>
    <w:p>
      <w:pPr>
        <w:spacing w:after="0" w:line="14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The Company generally does not require collateral and mitigates its credit risk by performing credit evaluations and monitoring at-risk accounts. The allowance for doubtful accounts represents the Company’s estimate of uncollectible receivables based on a review of specific accounts and the Company’s historical collection experience. The Company writes off specific accounts based on an ongoing review of collectability as well as past experience with the customer. The Company’s contract terms typically require payment between 15 to 60 days from the date services are provided and are considered past due based on the particular negotiated contract terms. Overall, based on the large number of customers in differing geographic areas, primarily throughout the United States and its territories, the Company believes the concentration of credit risk is limited.</w:t>
      </w:r>
    </w:p>
    <w:p>
      <w:pPr>
        <w:spacing w:after="0" w:line="174" w:lineRule="exact"/>
        <w:rPr>
          <w:sz w:val="20"/>
          <w:szCs w:val="20"/>
          <w:color w:val="auto"/>
        </w:rPr>
      </w:pPr>
    </w:p>
    <w:p>
      <w:pPr>
        <w:ind w:right="8440" w:firstLine="8"/>
        <w:spacing w:after="0" w:line="503" w:lineRule="auto"/>
        <w:tabs>
          <w:tab w:leader="none" w:pos="64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Repurchase Program</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nine months ended September 30, 2017 and 2016, the Company did not repurchase any shares of its Common Stock under its February 2008 Board authorization.</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As of September 30, 2017, the Company may purchase up to an additional 942,443 shares of Common Stock under the February 2008 Board authorization, subject to certain conditions in the Company's Amended and Restated Credit Agreement. The Company may repurchase up to an aggregate amount not to exceed $2.5 million in any fiscal year, or an unlimited amount if the Company meets certain conditions as described in its Amended and Restated Credit Agreement. At September 30, 2017, the Company had 35,758,297 shares of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Issued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issued 3,175,584 shares to its prior Convertible Notes noteholders. See Note 7 - Debt.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23, 2017, the Company's shareholders approved an amendment and restatement of its 2014 Omnibus Incentive Plan (2014 Plan), which, among others, included the following modifications: (i) a 2,000,000 share increase of the aggregate share reserve to 6,100,000 shares, (2) extension of the 2014 Plan until May 23, 2027, and (3) re-approval of the Section 162(m) performance goals so that certain incentive awards granted to certain executive officers of the Company may qualify as exempt performance-based compensation.</w:t>
      </w:r>
    </w:p>
    <w:p>
      <w:pPr>
        <w:spacing w:after="0" w:line="1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nine months ended September 30, 2017, 323,503 of restricted stock awards and 181,067 targeted performance stock awards were granted under the 2014 Plan to the Company's non-employee directors and management team. The restricted stock awards vest ratably over a three year period and vesting is subject to the employee's continuing employment. The number of shares that are issued for the performance-based stock awards are determined based on the level of attainment of the performance targets. If the minimum level of performance is attained for the 2017 awards, restricted stock will be issued with a vesting date of March 31, 2020, subject to the employee’s continuing employment.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22" w:name="page23"/>
    <w:bookmarkEnd w:id="22"/>
    <w:p>
      <w:pPr>
        <w:ind w:right="680"/>
        <w:spacing w:after="0" w:line="308" w:lineRule="auto"/>
        <w:rPr>
          <w:sz w:val="20"/>
          <w:szCs w:val="20"/>
          <w:color w:val="auto"/>
        </w:rPr>
      </w:pPr>
      <w:r>
        <w:rPr>
          <w:rFonts w:ascii="Arial" w:cs="Arial" w:eastAsia="Arial" w:hAnsi="Arial"/>
          <w:sz w:val="17"/>
          <w:szCs w:val="17"/>
          <w:color w:val="auto"/>
        </w:rPr>
        <w:t>During the first quarter of 2017, the Company's Compensation Committee of the Board of Directors approved a 48% level of attainment for the 2016 performance-based share awards, resulting in the issuance of 86,784 performance shares that will vest on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restricted stock awards and performance stock awards activity issued under the 2014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5"/>
          </w:tcPr>
          <w:p>
            <w:pPr>
              <w:ind w:left="620"/>
              <w:spacing w:after="0"/>
              <w:rPr>
                <w:sz w:val="20"/>
                <w:szCs w:val="20"/>
                <w:color w:val="auto"/>
              </w:rPr>
            </w:pPr>
            <w:r>
              <w:rPr>
                <w:rFonts w:ascii="Arial" w:cs="Arial" w:eastAsia="Arial" w:hAnsi="Arial"/>
                <w:sz w:val="18"/>
                <w:szCs w:val="18"/>
                <w:b w:val="1"/>
                <w:bCs w:val="1"/>
                <w:color w:val="auto"/>
              </w:rPr>
              <w:t>Restricted Stock Awards</w:t>
            </w:r>
          </w:p>
        </w:tc>
        <w:tc>
          <w:tcPr>
            <w:tcW w:w="30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Performance Stock Awards</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6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Grant Date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4"/>
              </w:rPr>
              <w:t>Number of Target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16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c>
          <w:tcPr>
            <w:tcW w:w="1480" w:type="dxa"/>
            <w:vAlign w:val="bottom"/>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January 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532,294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332,092</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323,503</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181,067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(292,615)</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(47,581)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(131,016)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 September 30, 2017</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515,601</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382,143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2017, $1.1 million and $3.1 million, respectively, was included in selling, general and administrative expenses related to share-based payments, and a net of 3,110 and 204,786 shares, respectively, of Common Stock were issued upon the vesting of restricted stock.</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and nine months ended September 30, 2016, $0.8 million and $2.6 million, respectively, was included in selling, general and administrative expenses related to share-based payments, and a net of 9,742 and 225,107 shares, respectively, of Common Stock were issued upon the vesting of restricted stock.</w:t>
      </w:r>
    </w:p>
    <w:p>
      <w:pPr>
        <w:spacing w:after="0" w:line="177"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Topic of the FASB ASC, the Company reports three business segments – Nurse and Allied Staffing, Physician Staffing, and Other Human Capital Management Services. The Company manages and segments its business based on the services it offers to its customers as described below:</w:t>
      </w:r>
    </w:p>
    <w:p>
      <w:pPr>
        <w:spacing w:after="0" w:line="181" w:lineRule="exact"/>
        <w:rPr>
          <w:sz w:val="20"/>
          <w:szCs w:val="20"/>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Nurse and Allied Staffing </w:t>
      </w:r>
      <w:r>
        <w:rPr>
          <w:rFonts w:ascii="Arial" w:cs="Arial" w:eastAsia="Arial" w:hAnsi="Arial"/>
          <w:sz w:val="18"/>
          <w:szCs w:val="18"/>
          <w:color w:val="auto"/>
        </w:rPr>
        <w:t>– Nurse and Allied Staffing provides traditional staffing, recruiting, and value-added workforce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and permanent placement of travel and local branch-based nurse and allied professionals, MSP services, education healthcare services, and outsourcing services. Its clients include: public and private acute-care and non-acute care hospitals, government facilities, public schools and charter schools, outpatient clinics, ambulatory care facilities, physician practice groups, retailers, and many other healthcare providers throughout the United States. Substantially all of the results of the Advantage acquisition have been aggregated with the Company's Nurse and Allied Staffing business segment. See Note 3 - Acquisitions.</w:t>
      </w:r>
    </w:p>
    <w:p>
      <w:pPr>
        <w:spacing w:after="0" w:line="193" w:lineRule="exact"/>
        <w:rPr>
          <w:rFonts w:ascii="Arial" w:cs="Arial" w:eastAsia="Arial" w:hAnsi="Arial"/>
          <w:sz w:val="18"/>
          <w:szCs w:val="18"/>
          <w:color w:val="auto"/>
        </w:rPr>
      </w:pPr>
    </w:p>
    <w:p>
      <w:pPr>
        <w:ind w:left="660" w:right="1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Physician Staffing </w:t>
      </w:r>
      <w:r>
        <w:rPr>
          <w:rFonts w:ascii="Arial" w:cs="Arial" w:eastAsia="Arial" w:hAnsi="Arial"/>
          <w:sz w:val="16"/>
          <w:szCs w:val="16"/>
          <w:color w:val="auto"/>
        </w:rPr>
        <w:t>– Physician Staffing provides physicians in many specialties, as well as certified registered nurse anesthetists (CRNAs), nurse</w:t>
      </w:r>
      <w:r>
        <w:rPr>
          <w:rFonts w:ascii="Arial" w:cs="Arial" w:eastAsia="Arial" w:hAnsi="Arial"/>
          <w:sz w:val="16"/>
          <w:szCs w:val="16"/>
          <w:i w:val="1"/>
          <w:iCs w:val="1"/>
          <w:color w:val="auto"/>
        </w:rPr>
        <w:t xml:space="preserve"> </w:t>
      </w:r>
      <w:r>
        <w:rPr>
          <w:rFonts w:ascii="Arial" w:cs="Arial" w:eastAsia="Arial" w:hAnsi="Arial"/>
          <w:sz w:val="16"/>
          <w:szCs w:val="16"/>
          <w:color w:val="auto"/>
        </w:rPr>
        <w:t>practitioners (NPs), and physician assistants (PAs) as independent contractors on temporary assignments throughout the U.S. at various healthcare facilities, such as acute and non-acute care facilities, medical group practices, government facilities, and managed care organizations. Less than 2% of the business related to the Advantage acquisition is managed by, and included in, the Physician Staffing business segment.</w:t>
      </w:r>
    </w:p>
    <w:p>
      <w:pPr>
        <w:spacing w:after="0" w:line="154" w:lineRule="exact"/>
        <w:rPr>
          <w:rFonts w:ascii="Arial" w:cs="Arial" w:eastAsia="Arial" w:hAnsi="Arial"/>
          <w:sz w:val="16"/>
          <w:szCs w:val="16"/>
          <w:color w:val="auto"/>
        </w:rPr>
      </w:pPr>
    </w:p>
    <w:p>
      <w:pPr>
        <w:ind w:left="660" w:right="4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includes retained and contingent search services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healthcare executives and other healthcare professionals within the United States.</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Company’s management evaluates performance of each segment primarily based on revenue and contribution income. The Company defines contribution income as income or loss from operations before depreciation and amortization, acquisition-related contingent consideration, acquisition and integration costs, restructuring costs, impairment charges, and corporate expenses not specifically identified to a reporting segment. Contribution income is a financial measure used by management when assessing segment performance and is provided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3" w:name="page24"/>
    <w:bookmarkEnd w:id="23"/>
    <w:p>
      <w:pPr>
        <w:ind w:right="20"/>
        <w:spacing w:after="0" w:line="286" w:lineRule="auto"/>
        <w:rPr>
          <w:sz w:val="20"/>
          <w:szCs w:val="20"/>
          <w:color w:val="auto"/>
        </w:rPr>
      </w:pPr>
      <w:r>
        <w:rPr>
          <w:rFonts w:ascii="Arial" w:cs="Arial" w:eastAsia="Arial" w:hAnsi="Arial"/>
          <w:sz w:val="17"/>
          <w:szCs w:val="17"/>
          <w:color w:val="auto"/>
        </w:rPr>
        <w:t>Company’s management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(loss) from operations for the periods indicated are as follows:</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r>
      <w:tr>
        <w:trPr>
          <w:trHeight w:val="27"/>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1"/>
              <w:spacing w:after="0"/>
              <w:rPr>
                <w:sz w:val="20"/>
                <w:szCs w:val="20"/>
                <w:color w:val="auto"/>
              </w:rPr>
            </w:pPr>
            <w:r>
              <w:rPr>
                <w:rFonts w:ascii="Arial" w:cs="Arial" w:eastAsia="Arial" w:hAnsi="Arial"/>
                <w:sz w:val="18"/>
                <w:szCs w:val="18"/>
                <w:b w:val="1"/>
                <w:bCs w:val="1"/>
                <w:color w:val="auto"/>
                <w:w w:val="94"/>
              </w:rPr>
              <w:t>2016</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4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200,492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186,623</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564,527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527,436</w:t>
            </w:r>
          </w:p>
        </w:tc>
      </w:tr>
      <w:tr>
        <w:trPr>
          <w:trHeight w:val="27"/>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25,090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71,055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73,470</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10,108</w:t>
            </w:r>
          </w:p>
        </w:tc>
      </w:tr>
      <w:tr>
        <w:trPr>
          <w:trHeight w:val="27"/>
        </w:trPr>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5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228,488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214,988</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645,374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Contribution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Nurse and Allied Staffing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20,663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19,472</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54,426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53,877</w:t>
            </w:r>
          </w:p>
        </w:tc>
      </w:tr>
      <w:tr>
        <w:trPr>
          <w:trHeight w:val="27"/>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Physician Staffing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Other Human Capital Management Services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59,684</w:t>
            </w:r>
          </w:p>
        </w:tc>
      </w:tr>
      <w:tr>
        <w:trPr>
          <w:trHeight w:val="297"/>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Unallocated corporate overhead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29,608</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6,969</w:t>
            </w:r>
          </w:p>
        </w:tc>
      </w:tr>
      <w:tr>
        <w:trPr>
          <w:trHeight w:val="27"/>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Acquisition and integration costs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4520" w:type="dxa"/>
            <w:vAlign w:val="bottom"/>
          </w:tcPr>
          <w:p>
            <w:pPr>
              <w:ind w:left="160"/>
              <w:spacing w:after="0"/>
              <w:rPr>
                <w:sz w:val="20"/>
                <w:szCs w:val="20"/>
                <w:color w:val="auto"/>
              </w:rPr>
            </w:pPr>
            <w:r>
              <w:rPr>
                <w:rFonts w:ascii="Arial" w:cs="Arial" w:eastAsia="Arial" w:hAnsi="Arial"/>
                <w:sz w:val="18"/>
                <w:szCs w:val="18"/>
                <w:color w:val="auto"/>
              </w:rPr>
              <w:t>Impairment charges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4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9,329</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0"/>
        </w:trPr>
        <w:tc>
          <w:tcPr>
            <w:tcW w:w="4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540" w:firstLine="8"/>
        <w:spacing w:after="0" w:line="503" w:lineRule="auto"/>
        <w:tabs>
          <w:tab w:leader="none" w:pos="405"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is subject to legal proceedings and claims that arise in the ordinary course of its business. The Company does not believe the outcome of these matters will have a material adverse effect on the Company's business, financial condition, results of operations or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Other State Non-Income Tax Liabilities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on its condensed consolidated statements of operations and the liability is reflected in other current liabilities as of September 30, 2017 and December 31, 2016, on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68" w:right="259" w:bottom="1440" w:gutter="0" w:footer="0" w:header="0"/>
        </w:sectPr>
      </w:pPr>
    </w:p>
    <w:bookmarkStart w:id="24" w:name="page25"/>
    <w:bookmarkEnd w:id="24"/>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periods ended September 30, 2017 and 2016, the Company has calculated its effective tax rate based on year-to-date results (under ASC 740-270-30-</w:t>
      </w:r>
    </w:p>
    <w:p>
      <w:pPr>
        <w:spacing w:after="0" w:line="46" w:lineRule="exact"/>
        <w:rPr>
          <w:sz w:val="20"/>
          <w:szCs w:val="20"/>
          <w:color w:val="auto"/>
        </w:rPr>
      </w:pPr>
    </w:p>
    <w:p>
      <w:pPr>
        <w:ind w:right="20" w:firstLine="8"/>
        <w:spacing w:after="0" w:line="295" w:lineRule="auto"/>
        <w:tabs>
          <w:tab w:leader="none" w:pos="2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opposed to estimating its annual effective tax rate. The Company’s effective tax rate for the three and nine months ended September 30, 2017 was 2.2% and 10.8%, respectively, including the impact of discrete items. Excluding discrete items, the Company’s effective tax rate for the three and nine months ended September 30, 2017 was 14.9% and 21.5%, respectively. The effective tax rates are different than the statutory rates primarily due to the impact from amortization of indefinite-lived intangible assets for tax purposes, the partial non-deductibility of certain per diem expenses, and international and state taxes.</w:t>
      </w:r>
    </w:p>
    <w:p>
      <w:pPr>
        <w:spacing w:after="0" w:line="1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records valuation allowances to reduce deferred tax assets when it is more likely than not that a tax benefit will not be realized. The assessment of whether or not a valuation allowance is required often requires significant judgment, including the long-range forecast of future taxable income and the evaluation of tax planning initiatives. Any conclusions made related to the deferred tax valuation allowance are based on a detailed evaluation of all available positive and negative evidence and the weight of such evidence. The Company believes it is necessary to see further positive evidence, such as sustained achievement of cumulative profits, before these valuation allowances can be released. Based on the Company's forecast, it is possible that the Company may release all or a portion of the remaining valuation allowance, within the next twelve months. The Company will continue to assess the realizability of its deferred tax assets.</w:t>
      </w:r>
    </w:p>
    <w:p>
      <w:pPr>
        <w:spacing w:after="0" w:line="18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As of September 30, 2017, the Company had approximately $0.5 million of unrecognized tax benefits included in other current liabilities and other long-term liabilities ($5.5 million, net of deferred taxes, which would affect the effective tax rate if recognized). During the nine months ended September 30, 2017, the Company had gross increases of $0.6 million to its current year unrecognized tax benefits related to federal and state tax issues.</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tax years of 2004, 2005, 2008, and 2010 through 2016 remain open to examination by certain taxing jurisdictions to which the Company is subject to tax, other than certain states in which the statute of limitations has been extended.</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provides services to hospitals which are affiliated with certain members of the Company’s Board of Directors. Management believes services with related parties were conducted on terms equivalent to those prevailing in an arm's-length transaction. Revenue related to these transactions was $1.2 million and $3.8 million for the three and nine months ended September 30, 2017, respectively, and $1.3 million and $4.0 million for the three and nine months ended September 30, 2016, respectively. Accounts receivable due from these hospitals at September 30, 2017 and December 31, 2016 were approximately $0.8 million and $1.0 million, respectively.</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connection with the acquisition of MSN, the Company acquired a 68% ownership interest in Cross Country Talent Acquisition Group, LLC (formerly InteliStaf of Oklahoma, LLC), a joint venture between the Company and a hospital system. The Company generated revenue providing staffing services to the hospital system of $4.6 million and $13.3 million for the three and nine months ended September 30, 2017, respectively, and $3.1 million and $9.1 million for the three and nine months ended September 30, 2016, respectively. At September 30, 2017 and December 31, 2016, the Company had a receivable balance of $1.7 million and $1.5 million, respectively, and a payable balance of $0.3 million and $0.2 million, respectively.</w:t>
      </w:r>
    </w:p>
    <w:p>
      <w:pPr>
        <w:spacing w:after="0" w:line="17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Subsequent to the Company's acquisition of Mediscan on October 30, 2015, Mediscan continued to operate at premises owned, in part, by the founding members of Mediscan. The Company paid $0.1 million and $0.3 million in rent expense for these premises for the three and nine months ended September 30, 2017 and 2016.</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RECENT ACCOUNTING PRONOUNCEMENTS</w:t>
      </w:r>
    </w:p>
    <w:p>
      <w:pPr>
        <w:spacing w:after="0" w:line="229"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 (Topic 260), Distinguishing Liabilities from Equity (Topic 480),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color w:val="auto"/>
        </w:rPr>
        <w:t>. The amendments in Part I of this Update change the classification analysis of certain equity-linked financial instruments (or embedded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with down round features. When determining whether certain financial instruments should be classified as liabilities or equity instruments, a down round feature no longer precludes equity classification when assessing whether the instrument is indexed</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to an entity’s own stock. The amendments in Part II of this Update recharacterize the indefinite deferral of certain provisions of Topic 480 that now are presented as pending content in the Codification, to a scope exception. Those amendments do not have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an accounting effect. For public business entities, the amendments in Part I of this Update are effective for fiscal years, and interim periods within those fiscal years, beginning after December 15, 2018, and should be applied retrospectively to outstanding financial instruments with a down round feature by means of either a cumulative-effect adjustment or for each prior reporting period presented. Early adoption is permitted for all entities, including adoption in an interim period. The Company expects to adopt this standard in its first quarter of 2019, and does not expect this guidance to have a material impact on its consolidated financial statements.</w:t>
      </w:r>
    </w:p>
    <w:p>
      <w:pPr>
        <w:spacing w:after="0" w:line="18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to provide guidance about which changes to the terms or conditions of a share-based payment award require an entity to apply modification accounting in Topic 718. Under this guidance, an entity should account for the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all entities for annual periods, and interim periods within those annual periods, beginning after December 15, 2017 and is to be applied prospectively to an award modified on or after the adoption date. Early adoption is permitted. The Company expects to adopt this standard in its first quarter of 2018, and does not expect this guidance to have a material impact on its consolidated financial statements.</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to simplify how an entity is required to test goodwill for impairment by eliminating Step 2 from the goodwill impairment test. Under this guidance, an entity would perform its annual, or interim goodwill impairment test by comparing the fair value of a reporting unit with its carrying amount. An impairment charge would be recognized for the amount by which the carrying amount exceeds the reporting unit’s fair value; however, the loss recognized should not exceed the total amount of goodwill allocated to that reporting unit. Additionally, an entity would consider income tax effects from any tax deductible goodwill on the carrying amount of the reporting unit when measuring the goodwill impairment loss, if applicable. An entity still has the option to perform the qualitative assessment for a reporting unit to determine if the quantitative impairment test is necessary. ASU 2017-04 is effective for annual or any interim goodwill impairment tests in fiscal years beginning after December 15, 2019 and is to be applied prospectively. Early adoption is permitted for interim or annual goodwill impairment tests performed on testing dates after January 1, 2017. The Company expects to early adopt this standard in 2017 in the first quarter in which an impairment test is performed, and does not expect this guidance to have a material impact on its consolidated financial statements.</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clarifies the definition of a business, with the objective of adding guidance to assist entities with evaluating whether transactions should be accounted for as acquisitions (or disposals) of assets or businesses. This update provides a framework to assist entities in evaluating whether both an input and a substantive process are present, and narrows the definition of the term output so that the term is consistent with how outputs are described in the new revenue recognition standard. ASU 2017-01 is effective for annual periods beginning after December 15, 2017, and interim periods within those annual periods. Early adoption is permitted depending upon the date of the transaction. Entities should apply the guidance prospectively on or after the effective date. No disclosures are required at transition. The Company expects to adopt this standard in its first quarter of 2018, and does not expect this guidance to have a material impact on its consolidated financial statements.</w:t>
      </w: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will require, among other items, lessees to recognize most leases as assets and liabilities on the balance sheet. Qualitative and quantitative disclosures will be enhanced to better understand the amount, timing and uncertainty of cash flows arising from leases. ASU 2016-02 is effective for fiscal years beginning after December 15, 2018, and interim periods within those fiscal years, with early adoption permitted. Entities are required to use a modified retrospective approach for leases that exist or are entered into after the beginning of the earliest comparative period in the financial statements. Full retrospective application is prohibited. The Company expects the valuation of right of use assets and lease liabilities, previously described as operating leases, to be the present value of our forecasted future lease commitments. The Company is continuing to assess the overall impacts of the new standard, including the discount rate to be applied in these valuations. See Note 12 - Commitments and Contingencies to the audited consolidated financial statements included in the Company's Annual Report on Form 10-K.</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May 2014, the FASB and the International Accounting Standards Board jointly issued ASU No. 2014-09, </w:t>
      </w:r>
      <w:r>
        <w:rPr>
          <w:rFonts w:ascii="Arial" w:cs="Arial" w:eastAsia="Arial" w:hAnsi="Arial"/>
          <w:sz w:val="18"/>
          <w:szCs w:val="18"/>
          <w:i w:val="1"/>
          <w:iCs w:val="1"/>
          <w:color w:val="auto"/>
        </w:rPr>
        <w:t>Revenue from Contracts with Customers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that introduces a new five-step revenue recognition model in which an entity should recognize revenue to depict the transfer of promised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in an amount that reflects the consideration to which the entity expects to be entitled in exchange for those goods or services. This ASU also requires disclosures sufficient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6" w:name="page27"/>
    <w:bookmarkEnd w:id="26"/>
    <w:p>
      <w:pPr>
        <w:ind w:right="20"/>
        <w:spacing w:after="0" w:line="289" w:lineRule="auto"/>
        <w:rPr>
          <w:sz w:val="20"/>
          <w:szCs w:val="20"/>
          <w:color w:val="auto"/>
        </w:rPr>
      </w:pPr>
      <w:r>
        <w:rPr>
          <w:rFonts w:ascii="Arial" w:cs="Arial" w:eastAsia="Arial" w:hAnsi="Arial"/>
          <w:sz w:val="16"/>
          <w:szCs w:val="16"/>
          <w:color w:val="auto"/>
        </w:rPr>
        <w:t>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In March 2016, the FASB issued ASU 2016-08 which further clarifies the guidance on the principal versus agent considerations within ASU 2014-09. In April 2016, the FASB issued ASU 2016-10 to expand the guidance on identifying performance obligations and licensing within ASU 2014-09. In May 2016, the FASB issued ASU 2016-12 to improve revenue recognition in the areas of collectability, presentation of sales tax and other similar taxes collected from customers, non-cash consideration, contract modifications and completed contracts at transition. This update also amends the disclosure requirements within ASU 2014-09 for entities that retrospectively apply the guidance. The latest amendments are intended to address implementation issues that were raised by stakeholders and discussed by the Revenue Recognition Transition Resource Group, and provide additional practical expedients. These updates are effective for fiscal years beginning after December 15, 2017, including interim periods within that reporting period.</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established a cross-functional implementation team which consisted of representatives from across all of its business segments. The initial phase of analyzing and identifying material revenue streams and the largest customers within those streams has been completed. The Company has substantially completed a thorough review of its existing contracts and business practices with its largest customers within each material revenue stream and business segment to assess the impacts of the new standard. Management will finalize the contract and business practice reviews in the fourth quarter and intends to evaluate and implement appropriate changes to its business processes, systems, and controls to support the recognition and disclosure requirements under the new standard. The Company expects to use the modified retrospective method to adopt this accounting standard and expects a full assessment through the date of adoption. Based on the steps taken to date, the Company does not expect this guidance to have a material impact on its consolidated financial statements. The Company will include the additional required disclosures regarding revenue recognition in its notes to the consolidated financial statements.</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purpose of the following Management’s Discussion and Analysis (MD&amp;A) is to help facilitate the understanding of significant factors influencing the quarterly operating results, financial condition and cash flows of Cross Country Healthcare, Inc. Additionally, the MD&amp;A also conveys our expectations of the potential impact of known trends, events or uncertainties that may impact future results. This discussion supplements the detailed information presented in the condensed consolidated financial statements and notes thereto which should be read in conjunction with the consolidated financial statements and related notes contained in the Company’s Annual Report on Form 10-K, filed for the year ended December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healthcare staffing, recruiting and workforce solutions to our customers through a network of 80 office locations throughout the United States. Our services include placing clinicians on travel and per diem assignments, local short-term contracts, and permanent positions. In addition, we offer flexible workforce management solutions to our customers including: managed service programs (MSP), education healthcare, recruitment process outsourcing (RPO) and other outsourcing and value-added services as described in Item 1. Business in our Annual Report on Form 10-K for the year ended December 31, 2016. In addition, we provide both retained and contingent placement services for healthcare executives, physicians, and other healthcare professionals.</w:t>
      </w:r>
    </w:p>
    <w:p>
      <w:pPr>
        <w:spacing w:after="0" w:line="15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 xml:space="preserve">We manage and segment our business based on the nature of the services we offer to our customers. As a result, in accordance with the </w:t>
      </w:r>
      <w:r>
        <w:rPr>
          <w:rFonts w:ascii="Arial" w:cs="Arial" w:eastAsia="Arial" w:hAnsi="Arial"/>
          <w:sz w:val="16"/>
          <w:szCs w:val="16"/>
          <w:i w:val="1"/>
          <w:iCs w:val="1"/>
          <w:color w:val="auto"/>
        </w:rPr>
        <w:t>Segment Reporting</w:t>
      </w:r>
      <w:r>
        <w:rPr>
          <w:rFonts w:ascii="Arial" w:cs="Arial" w:eastAsia="Arial" w:hAnsi="Arial"/>
          <w:sz w:val="16"/>
          <w:szCs w:val="16"/>
          <w:color w:val="auto"/>
        </w:rPr>
        <w:t xml:space="preserve"> Topic of the FASB ASC, we report three business segments – Nurse and Allied Staffing, Physician Staffing, and Other Human Capital Management Services.</w:t>
      </w:r>
    </w:p>
    <w:p>
      <w:pPr>
        <w:spacing w:after="0" w:line="124" w:lineRule="exact"/>
        <w:rPr>
          <w:sz w:val="20"/>
          <w:szCs w:val="20"/>
          <w:color w:val="auto"/>
        </w:rPr>
      </w:pPr>
    </w:p>
    <w:p>
      <w:pPr>
        <w:ind w:left="660" w:hanging="328"/>
        <w:spacing w:after="0" w:line="27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Nurse and Allied Staffing </w:t>
      </w:r>
      <w:r>
        <w:rPr>
          <w:rFonts w:ascii="Arial" w:cs="Arial" w:eastAsia="Arial" w:hAnsi="Arial"/>
          <w:sz w:val="17"/>
          <w:szCs w:val="17"/>
          <w:color w:val="auto"/>
        </w:rPr>
        <w:t>– Nurse and Allied Staffing represented approximately 88% of our total revenue in the third quarter of 2017. Nurse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Staffing provides traditional staffing, recruiting, and value-added workforce solutions including: temporary and permanent placement of travel and local branch-based nurse and allied professionals, MSP services, education healthcare services, and outsourcing services. Substantially all of the results of the acquisition of Advantage RN, LLC and its subsidiaries (collectively, Advantage) have been aggregated with our Nurse and Allied Staffing business segment. See Note 3 - Acquisitions to our condensed consolidated financial statements.</w:t>
      </w:r>
    </w:p>
    <w:p>
      <w:pPr>
        <w:spacing w:after="0" w:line="172" w:lineRule="exact"/>
        <w:rPr>
          <w:rFonts w:ascii="Arial" w:cs="Arial" w:eastAsia="Arial" w:hAnsi="Arial"/>
          <w:sz w:val="17"/>
          <w:szCs w:val="17"/>
          <w:color w:val="auto"/>
        </w:rPr>
      </w:pPr>
    </w:p>
    <w:p>
      <w:pPr>
        <w:ind w:left="660" w:right="4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Physician Staffing </w:t>
      </w:r>
      <w:r>
        <w:rPr>
          <w:rFonts w:ascii="Arial" w:cs="Arial" w:eastAsia="Arial" w:hAnsi="Arial"/>
          <w:sz w:val="18"/>
          <w:szCs w:val="18"/>
          <w:color w:val="auto"/>
        </w:rPr>
        <w:t>– Physician Staffing represented approximately 11% of our total revenue in the third quarter of 2017 as compared with 12%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The decline is predominantly due to the impact of acquisitions in our Nurse and Allied Staffing segment. Physician Staffing provides physicians in many specialties, as well as certified registered nurse anesthetists, nurse practitioners and physician assistants under our Medical Doctor Associates (MDA)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27" w:name="page28"/>
    <w:bookmarkEnd w:id="27"/>
    <w:p>
      <w:pPr>
        <w:ind w:left="660" w:right="360"/>
        <w:spacing w:after="0" w:line="324" w:lineRule="auto"/>
        <w:rPr>
          <w:sz w:val="20"/>
          <w:szCs w:val="20"/>
          <w:color w:val="auto"/>
        </w:rPr>
      </w:pPr>
      <w:r>
        <w:rPr>
          <w:rFonts w:ascii="Arial" w:cs="Arial" w:eastAsia="Arial" w:hAnsi="Arial"/>
          <w:sz w:val="18"/>
          <w:szCs w:val="18"/>
          <w:color w:val="auto"/>
        </w:rPr>
        <w:t>brand as independent contractors on temporary assignments throughout the United States. Less than 2% of the business related to the Advantage acquisition is managed by, and included in, the Physician Staffing business segment.</w:t>
      </w:r>
    </w:p>
    <w:p>
      <w:pPr>
        <w:spacing w:after="0" w:line="143" w:lineRule="exact"/>
        <w:rPr>
          <w:sz w:val="20"/>
          <w:szCs w:val="20"/>
          <w:color w:val="auto"/>
        </w:rPr>
      </w:pPr>
    </w:p>
    <w:p>
      <w:pPr>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Other Human Capital Management Services </w:t>
      </w:r>
      <w:r>
        <w:rPr>
          <w:rFonts w:ascii="Arial" w:cs="Arial" w:eastAsia="Arial" w:hAnsi="Arial"/>
          <w:sz w:val="18"/>
          <w:szCs w:val="18"/>
          <w:color w:val="auto"/>
        </w:rPr>
        <w:t>– Other Human Capital Management Services (OHCMS) represented approximately 1%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 the third quarter of 2017. OHCMS is comprised of retained and contingent search services for physicians, healthcare executives, and other healthcare professionals within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Operations</w:t>
      </w:r>
    </w:p>
    <w:p>
      <w:pPr>
        <w:spacing w:after="0" w:line="3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For the quarter ended September 30, 2017, revenue from services grew 6% to $228.5 million primarily due to growth in our Nurse and Allied Staffing segment, driven by the acquisition of Advantage and partly offset by a decline in our other segments. Demand in our Nurse and Allied Staffing segment remained stable, with a modest increase in orders towards the end of the quarter. The slight decline in our Physician Staffing segment is due to lower volume of days filled and the impact of specialty mix. Our volume of days filled increased for advanced practices compared to a decline for physician specialties. Generally, our pricing remained strong across all segments and we continued to add our growing number of Managed Service Programs (MSPs) that should drive continued growth in demand for our services. Severe weather forced the closure of our travel nurse and allied office in Florida, as well as several branches, resulting in a relatively minor negative impact to revenue and profitability for the third quarter and, due to the nature of our business, it is expected to result in a more significant impact for the fourth quarter. Excluding the impact of the Advantage acquisition, we continued to manage our selling, general and administrative expenses as we remain committed to improving operating leverage and overall profitability. Net income attributable to common shareholders was $6.7 million, or $0.19 per diluted share.</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financed the acquisition of Advantage using available cash and borrowings under our existing senior credit facility which was subsequently refinanced and upsized leaving us with extra capacity for further growth.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See Results from Operations, Segments Results, and Liquidity and Capital Resources sections that follow for further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Metrics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evaluate our financial condition by tracking operating metrics and financial results specific to each of our segments. Key operating metrics include hours worked, days filled, number of FTEs,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GAAP results for the periods presented. Some of the segment financial results analyzed include revenue, gross profit margins, operating expenses, and contribution income. In addition, we monitor cash flow as well as operating and leverage ratios to help us assess our liquidity needs.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Business Segment</w:t>
            </w:r>
          </w:p>
        </w:tc>
        <w:tc>
          <w:tcPr>
            <w:tcW w:w="7840" w:type="dxa"/>
            <w:vAlign w:val="bottom"/>
          </w:tcPr>
          <w:p>
            <w:pPr>
              <w:ind w:left="1600"/>
              <w:spacing w:after="0"/>
              <w:rPr>
                <w:sz w:val="20"/>
                <w:szCs w:val="20"/>
                <w:color w:val="auto"/>
              </w:rPr>
            </w:pPr>
            <w:r>
              <w:rPr>
                <w:rFonts w:ascii="Arial" w:cs="Arial" w:eastAsia="Arial" w:hAnsi="Arial"/>
                <w:sz w:val="18"/>
                <w:szCs w:val="18"/>
                <w:b w:val="1"/>
                <w:bCs w:val="1"/>
                <w:color w:val="auto"/>
              </w:rPr>
              <w:t>Business Measurement</w:t>
            </w:r>
          </w:p>
        </w:tc>
      </w:tr>
      <w:tr>
        <w:trPr>
          <w:trHeight w:val="27"/>
        </w:trPr>
        <w:tc>
          <w:tcPr>
            <w:tcW w:w="3580" w:type="dxa"/>
            <w:vAlign w:val="bottom"/>
            <w:tcBorders>
              <w:bottom w:val="single" w:sz="8" w:color="auto"/>
            </w:tcBorders>
          </w:tcPr>
          <w:p>
            <w:pPr>
              <w:spacing w:after="0"/>
              <w:rPr>
                <w:sz w:val="2"/>
                <w:szCs w:val="2"/>
                <w:color w:val="auto"/>
              </w:rPr>
            </w:pPr>
          </w:p>
        </w:tc>
        <w:tc>
          <w:tcPr>
            <w:tcW w:w="7840" w:type="dxa"/>
            <w:vAlign w:val="bottom"/>
            <w:tcBorders>
              <w:bottom w:val="single" w:sz="8" w:color="auto"/>
            </w:tcBorders>
          </w:tcPr>
          <w:p>
            <w:pPr>
              <w:spacing w:after="0"/>
              <w:rPr>
                <w:sz w:val="2"/>
                <w:szCs w:val="2"/>
                <w:color w:val="auto"/>
              </w:rPr>
            </w:pPr>
          </w:p>
        </w:tc>
      </w:tr>
      <w:tr>
        <w:trPr>
          <w:trHeight w:val="222"/>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Nurse and Allied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3"/>
              </w:rPr>
              <w:t>FTEs represent the average number of Nurse and Allied Staffing contract personnel</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on a full-time equivalent basis.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Average revenue per FTE per day is calculated by dividing the Nurse and Allied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2"/>
              </w:rPr>
              <w:t>Staffing revenue by the number of days worked in the respective periods. Nurse and</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8"/>
              </w:rPr>
              <w:t>Allied Staffing revenue also includes revenue from the permanent placement of</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nurses.</w:t>
            </w:r>
          </w:p>
        </w:tc>
      </w:tr>
      <w:tr>
        <w:trPr>
          <w:trHeight w:val="60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Physician Staffing</w:t>
            </w:r>
          </w:p>
        </w:tc>
        <w:tc>
          <w:tcPr>
            <w:tcW w:w="7840" w:type="dxa"/>
            <w:vAlign w:val="bottom"/>
          </w:tcPr>
          <w:p>
            <w:pPr>
              <w:ind w:left="1600"/>
              <w:spacing w:after="0"/>
              <w:rPr>
                <w:sz w:val="20"/>
                <w:szCs w:val="20"/>
                <w:color w:val="auto"/>
              </w:rPr>
            </w:pPr>
            <w:r>
              <w:rPr>
                <w:rFonts w:ascii="Arial" w:cs="Arial" w:eastAsia="Arial" w:hAnsi="Arial"/>
                <w:sz w:val="18"/>
                <w:szCs w:val="18"/>
                <w:color w:val="auto"/>
                <w:w w:val="96"/>
              </w:rPr>
              <w:t>Days filled is calculated by dividing the total hours invoiced during the period by 8</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1"/>
              </w:rPr>
              <w:t>hours. This method does not reflect the impact of revenue generated from permanent</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4"/>
              </w:rPr>
              <w:t>placements, reimbursed expenses, discounts and allowances, and the impact from</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accruals and adjustments recorded for financial statement purposes.</w:t>
            </w:r>
          </w:p>
        </w:tc>
      </w:tr>
      <w:tr>
        <w:trPr>
          <w:trHeight w:val="256"/>
        </w:trPr>
        <w:tc>
          <w:tcPr>
            <w:tcW w:w="3580" w:type="dxa"/>
            <w:vAlign w:val="bottom"/>
          </w:tcPr>
          <w:p>
            <w:pPr>
              <w:spacing w:after="0"/>
              <w:rPr>
                <w:sz w:val="22"/>
                <w:szCs w:val="22"/>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5"/>
              </w:rPr>
              <w:t>Revenue per day filled is calculated by dividing revenue invoiced by days filled for</w:t>
            </w:r>
          </w:p>
        </w:tc>
      </w:tr>
      <w:tr>
        <w:trPr>
          <w:trHeight w:val="216"/>
        </w:trPr>
        <w:tc>
          <w:tcPr>
            <w:tcW w:w="3580" w:type="dxa"/>
            <w:vAlign w:val="bottom"/>
          </w:tcPr>
          <w:p>
            <w:pPr>
              <w:spacing w:after="0"/>
              <w:rPr>
                <w:sz w:val="18"/>
                <w:szCs w:val="18"/>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w w:val="91"/>
              </w:rPr>
              <w:t>the period presented. Invoiced revenue excludes revenue from permanent placement</w:t>
            </w:r>
          </w:p>
        </w:tc>
      </w:tr>
      <w:tr>
        <w:trPr>
          <w:trHeight w:val="230"/>
        </w:trPr>
        <w:tc>
          <w:tcPr>
            <w:tcW w:w="3580" w:type="dxa"/>
            <w:vAlign w:val="bottom"/>
          </w:tcPr>
          <w:p>
            <w:pPr>
              <w:spacing w:after="0"/>
              <w:rPr>
                <w:sz w:val="20"/>
                <w:szCs w:val="20"/>
                <w:color w:val="auto"/>
              </w:rPr>
            </w:pPr>
          </w:p>
        </w:tc>
        <w:tc>
          <w:tcPr>
            <w:tcW w:w="7840" w:type="dxa"/>
            <w:vAlign w:val="bottom"/>
          </w:tcPr>
          <w:p>
            <w:pPr>
              <w:ind w:left="1600"/>
              <w:spacing w:after="0"/>
              <w:rPr>
                <w:sz w:val="20"/>
                <w:szCs w:val="20"/>
                <w:color w:val="auto"/>
              </w:rPr>
            </w:pPr>
            <w:r>
              <w:rPr>
                <w:rFonts w:ascii="Arial" w:cs="Arial" w:eastAsia="Arial" w:hAnsi="Arial"/>
                <w:sz w:val="18"/>
                <w:szCs w:val="18"/>
                <w:color w:val="auto"/>
              </w:rPr>
              <w:t>and accrued revenue.</w:t>
            </w:r>
          </w:p>
        </w:tc>
      </w:tr>
      <w:tr>
        <w:trPr>
          <w:trHeight w:val="918"/>
        </w:trPr>
        <w:tc>
          <w:tcPr>
            <w:tcW w:w="3580" w:type="dxa"/>
            <w:vAlign w:val="bottom"/>
          </w:tcPr>
          <w:p>
            <w:pPr>
              <w:spacing w:after="0"/>
              <w:rPr>
                <w:sz w:val="24"/>
                <w:szCs w:val="24"/>
                <w:color w:val="auto"/>
              </w:rPr>
            </w:pPr>
          </w:p>
        </w:tc>
        <w:tc>
          <w:tcPr>
            <w:tcW w:w="7840" w:type="dxa"/>
            <w:vAlign w:val="bottom"/>
          </w:tcPr>
          <w:p>
            <w:pPr>
              <w:ind w:left="204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for the periods indicated, selected condensed consolidated statements of operations data expressed as a percentage of revenue. Our historical results of operations are not necessarily indicative of future operating results.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42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29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70"/>
        </w:trPr>
        <w:tc>
          <w:tcPr>
            <w:tcW w:w="5020" w:type="dxa"/>
            <w:vAlign w:val="bottom"/>
          </w:tcPr>
          <w:p>
            <w:pPr>
              <w:spacing w:after="0"/>
              <w:rPr>
                <w:sz w:val="23"/>
                <w:szCs w:val="23"/>
                <w:color w:val="auto"/>
              </w:rPr>
            </w:pPr>
          </w:p>
        </w:tc>
        <w:tc>
          <w:tcPr>
            <w:tcW w:w="22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Pr>
          <w:p>
            <w:pPr>
              <w:spacing w:after="0"/>
              <w:rPr>
                <w:sz w:val="23"/>
                <w:szCs w:val="23"/>
                <w:color w:val="auto"/>
              </w:rPr>
            </w:pPr>
          </w:p>
        </w:tc>
      </w:tr>
      <w:tr>
        <w:trPr>
          <w:trHeight w:val="27"/>
        </w:trPr>
        <w:tc>
          <w:tcPr>
            <w:tcW w:w="5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ind w:right="45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5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73.1</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21.9</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208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0.1</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charges</w:t>
            </w:r>
          </w:p>
        </w:tc>
        <w:tc>
          <w:tcPr>
            <w:tcW w:w="222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(0.4)</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r>
      <w:tr>
        <w:trPr>
          <w:trHeight w:val="243"/>
        </w:trPr>
        <w:tc>
          <w:tcPr>
            <w:tcW w:w="5020" w:type="dxa"/>
            <w:vAlign w:val="bottom"/>
          </w:tcPr>
          <w:p>
            <w:pPr>
              <w:ind w:left="180"/>
              <w:spacing w:after="0"/>
              <w:rPr>
                <w:sz w:val="20"/>
                <w:szCs w:val="20"/>
                <w:color w:val="auto"/>
              </w:rPr>
            </w:pPr>
            <w:r>
              <w:rPr>
                <w:rFonts w:ascii="Arial" w:cs="Arial" w:eastAsia="Arial" w:hAnsi="Arial"/>
                <w:sz w:val="18"/>
                <w:szCs w:val="18"/>
                <w:color w:val="auto"/>
              </w:rPr>
              <w:t>Gain on derivative liability</w:t>
            </w:r>
          </w:p>
        </w:tc>
        <w:tc>
          <w:tcPr>
            <w:tcW w:w="22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early extinguishment of debt</w:t>
            </w:r>
          </w:p>
        </w:tc>
        <w:tc>
          <w:tcPr>
            <w:tcW w:w="2220" w:type="dxa"/>
            <w:vAlign w:val="bottom"/>
            <w:tcBorders>
              <w:bottom w:val="single" w:sz="8" w:color="CCEEFF"/>
            </w:tcBorders>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r>
      <w:tr>
        <w:trPr>
          <w:trHeight w:val="237"/>
        </w:trPr>
        <w:tc>
          <w:tcPr>
            <w:tcW w:w="5020" w:type="dxa"/>
            <w:vAlign w:val="bottom"/>
          </w:tcPr>
          <w:p>
            <w:pPr>
              <w:ind w:left="40"/>
              <w:spacing w:after="0"/>
              <w:rPr>
                <w:sz w:val="20"/>
                <w:szCs w:val="20"/>
                <w:color w:val="auto"/>
              </w:rPr>
            </w:pPr>
            <w:r>
              <w:rPr>
                <w:rFonts w:ascii="Arial" w:cs="Arial" w:eastAsia="Arial" w:hAnsi="Arial"/>
                <w:sz w:val="18"/>
                <w:szCs w:val="18"/>
                <w:color w:val="auto"/>
              </w:rPr>
              <w:t>Consolidated net income</w:t>
            </w:r>
          </w:p>
        </w:tc>
        <w:tc>
          <w:tcPr>
            <w:tcW w:w="15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 in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subsidiary</w:t>
            </w: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2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r>
      <w:tr>
        <w:trPr>
          <w:trHeight w:val="20"/>
        </w:trPr>
        <w:tc>
          <w:tcPr>
            <w:tcW w:w="50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78"/>
        </w:trPr>
        <w:tc>
          <w:tcPr>
            <w:tcW w:w="5020" w:type="dxa"/>
            <w:vAlign w:val="bottom"/>
          </w:tcPr>
          <w:p>
            <w:pPr>
              <w:spacing w:after="0"/>
              <w:rPr>
                <w:sz w:val="24"/>
                <w:szCs w:val="24"/>
                <w:color w:val="auto"/>
              </w:rPr>
            </w:pPr>
          </w:p>
        </w:tc>
        <w:tc>
          <w:tcPr>
            <w:tcW w:w="1560" w:type="dxa"/>
            <w:vAlign w:val="bottom"/>
          </w:tcPr>
          <w:p>
            <w:pPr>
              <w:jc w:val="right"/>
              <w:ind w:right="69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Comparison of Results for the Three Months Ended September 30, 2017 compared to the Three Months Ended September 30, 2016</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Increase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5"/>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(Amounts in thousands)</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156,778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1,424</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derivative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43.9 %</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14,066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Revenue from services increased 6.3%, to $228.5 million for the three months ended September 30, 2017, as compared to $215.0 million for the three months ended September 30, 2016, due entirely to the impact of the acquisition of Advantage in Nurse and Allied Staffing, which was partially offset by declines in revenue in Physician Staffing and OHCMS. See further discussion in Segment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 operating expenses are comprised primarily of field employee compensation and independent contractor expenses,</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housing expenses, travel expenses, and related insurance expenses. Direct operating expenses increased $11.2 million or 7.2%, to $168.0 million for the three months ended September 30, 2017, as compared to $156.8 million for the three months ended</w:t>
      </w:r>
    </w:p>
    <w:p>
      <w:pPr>
        <w:spacing w:after="0" w:line="1" w:lineRule="exact"/>
        <w:rPr>
          <w:sz w:val="20"/>
          <w:szCs w:val="20"/>
          <w:color w:val="auto"/>
        </w:rPr>
      </w:pPr>
    </w:p>
    <w:p>
      <w:pPr>
        <w:jc w:val="both"/>
        <w:ind w:right="40"/>
        <w:spacing w:after="0" w:line="323" w:lineRule="auto"/>
        <w:rPr>
          <w:sz w:val="20"/>
          <w:szCs w:val="20"/>
          <w:color w:val="auto"/>
        </w:rPr>
      </w:pPr>
      <w:r>
        <w:rPr>
          <w:rFonts w:ascii="Arial" w:cs="Arial" w:eastAsia="Arial" w:hAnsi="Arial"/>
          <w:sz w:val="16"/>
          <w:szCs w:val="16"/>
          <w:color w:val="auto"/>
        </w:rPr>
        <w:t>September 30, 2016. As a percentage of total revenue, direct operating expenses increased to 73.5% compared to 72.9% in the prior year period primarily due to the impact of the Advantage acquisition, which has higher direct operating expenses as a percentage of revenue for its mix of business.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Selling, general and administrative expenses increased 3.1%, to $47.3 million for the three months ended September 30, 2017, as compared to $45.9 million for the three months ended September 30, 2016. The increase was entirely due to the impact of the Advantage acquisition. Excluding the acquisition, selling, general, and administrative expenses decreased 3.6%, reflecting tight cost controls and targeted cost savings. As a percentage of total revenue, selling, general and administrative expenses were 20.8% and 21.4%, for the three months ended September 30, 2017 and September 30, 2016, respectively.</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increased to $2.8 million for the three months ended September 30, 2017 from $2.1 million for the three months ended September 30, 2016, partly due to the additional amortization of other intangible assets of Advantage. As a percentage of revenue, depreciation and amortization expense was 1.2% and 1.0% for the three months ended September 30,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Acquisition-related contingent consideration is comprised of accretion and valuation adjustments on our contingent consideration liabilities for our Mediscan and USR acquisitions. The three months ended September 30, 2017 resulted in a benefit of $0.6 million primarily as a result of the reversal of an earnout liability related to Mediscan which was determined would not be achieved, as compared to expense of $0.2 million in the three months ended September 30, 2016 related to accretion of earnout liabilities. See Note 9 - Fair Value Measurements to our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Acquisition and integration costs during the three months ended September 30, 2017 were $1.4 million and primarily consisted of transaction, advisory, and legal fees related to the acquisition of Advantage. There were no such costs for the three months ended September 30, 2016. See Note 3 - Acquisitions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Restructuring costs totaled $0.7 million and $0.6 million during the three months ended September 30, 2017 and September 30,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include severance and exit costs incurred as part of separate and discrete cost savings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Interest expense totaled $1.2 million and $1.4 million for the three months ended September 30, 2017 and September 30, 2016, respectively. Interest expense for the three months ended September 30, 2017 was lower despite higher average borrowings related to the acquisition due to a lower effective rate on our borrowings. The effective interest rate on our borrowings was 4.0% for the three month period ended September 30, 2017 compared to 7.4% for the three months ended September 30, 2016. The prior year included $25.0 million of 8% fixed rate Convertible Notes that were paid off on March 17, 2017. See Note 7 - Debt.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incurred a gain on derivative liability of $7.1 million for the three months ended September 30, 2016 related to the change in the fair value of embedded features of our Convertible Notes from the end of the prior quarter. There were no such charges for the three months ended September 30, 2017 as we paid off the Convertible Notes in the first quarter of 2017. See Note 7 - Debt and Note 8 - Convertible Notes Derivative Liability to our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Income tax expense from continuing operations totaled $0.2 million and $0.8 million for the three months ended September 30, 2017 and September 30, 2016, respectively, related primarily to the impact from amortization of indefinite-lived intangible assets for tax purposes. For the current quarter, we realized approximately $0.9 million in discrete benefits.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Comparison of Results for the Nine Months Ended September 30, 2017 compared to the Nine Months Ended September 30, 2016</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Nine Months Ended September 30,</w:t>
            </w:r>
          </w:p>
        </w:tc>
        <w:tc>
          <w:tcPr>
            <w:tcW w:w="15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Increase</w:t>
            </w:r>
          </w:p>
        </w:tc>
      </w:tr>
      <w:tr>
        <w:trPr>
          <w:trHeight w:val="234"/>
        </w:trPr>
        <w:tc>
          <w:tcPr>
            <w:tcW w:w="5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(Decrease)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(Decrease)</w:t>
            </w:r>
          </w:p>
        </w:tc>
      </w:tr>
      <w:tr>
        <w:trPr>
          <w:trHeight w:val="270"/>
        </w:trPr>
        <w:tc>
          <w:tcPr>
            <w:tcW w:w="5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w w:val="79"/>
              </w:rPr>
              <w:t>$</w:t>
            </w:r>
          </w:p>
        </w:tc>
        <w:tc>
          <w:tcPr>
            <w:tcW w:w="1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7"/>
        </w:trPr>
        <w:tc>
          <w:tcPr>
            <w:tcW w:w="5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(Amounts in thousands)</w:t>
            </w:r>
          </w:p>
        </w:tc>
        <w:tc>
          <w:tcPr>
            <w:tcW w:w="150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from services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645,374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Direct operating expenses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475,091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Bad debt expense</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118.1 %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and integration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Restructuring costs</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18.5 %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(24,311)</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54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20,593</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816.5 %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Gain on derivative liability</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18,389</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92.1 %</w:t>
            </w:r>
          </w:p>
        </w:tc>
      </w:tr>
      <w:tr>
        <w:trPr>
          <w:trHeight w:val="27"/>
        </w:trPr>
        <w:tc>
          <w:tcPr>
            <w:tcW w:w="5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216.9 %</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125.4 %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 in subsidiary</w:t>
            </w:r>
          </w:p>
        </w:tc>
        <w:tc>
          <w:tcPr>
            <w:tcW w:w="3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85.8 %</w:t>
            </w:r>
          </w:p>
        </w:tc>
      </w:tr>
      <w:tr>
        <w:trPr>
          <w:trHeight w:val="27"/>
        </w:trPr>
        <w:tc>
          <w:tcPr>
            <w:tcW w:w="5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services</w:t>
      </w:r>
    </w:p>
    <w:p>
      <w:pPr>
        <w:spacing w:after="0" w:line="225"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Revenue from services increased 5.6%, to $645.4 million for the nine months ended September 30, 2017, as compared to $611.0 million for the nine months ended September 30, 2016. The increase was entirely from Nurse and Allied Staffing partly due to the impact of the acquisition of Advantage, and partially offset by lower revenue from Physician Staffing and OHCMS. See further discussion in Segment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operating expenses</w:t>
      </w:r>
    </w:p>
    <w:p>
      <w:pPr>
        <w:spacing w:after="0" w:line="225" w:lineRule="exact"/>
        <w:rPr>
          <w:sz w:val="20"/>
          <w:szCs w:val="20"/>
          <w:color w:val="auto"/>
        </w:rPr>
      </w:pPr>
    </w:p>
    <w:p>
      <w:pPr>
        <w:ind w:right="2240"/>
        <w:spacing w:after="0" w:line="288" w:lineRule="auto"/>
        <w:rPr>
          <w:sz w:val="20"/>
          <w:szCs w:val="20"/>
          <w:color w:val="auto"/>
        </w:rPr>
      </w:pPr>
      <w:r>
        <w:rPr>
          <w:rFonts w:ascii="Arial" w:cs="Arial" w:eastAsia="Arial" w:hAnsi="Arial"/>
          <w:sz w:val="16"/>
          <w:szCs w:val="16"/>
          <w:color w:val="auto"/>
        </w:rPr>
        <w:t>Direct operating expenses are comprised primarily of field employee compensation and independent contractor expenses, housing expenses, travel expenses, and field insurance expenses. Direct operating expenses increased $28.2 million or 6.3%, to $475.1 million for the nine months ended September 30, 2017, as compared to $446.9 million for the nine months ended</w:t>
      </w:r>
    </w:p>
    <w:p>
      <w:pPr>
        <w:jc w:val="both"/>
        <w:ind w:right="100"/>
        <w:spacing w:after="0" w:line="255" w:lineRule="auto"/>
        <w:rPr>
          <w:sz w:val="20"/>
          <w:szCs w:val="20"/>
          <w:color w:val="auto"/>
        </w:rPr>
      </w:pPr>
      <w:r>
        <w:rPr>
          <w:rFonts w:ascii="Arial" w:cs="Arial" w:eastAsia="Arial" w:hAnsi="Arial"/>
          <w:sz w:val="18"/>
          <w:szCs w:val="18"/>
          <w:color w:val="auto"/>
        </w:rPr>
        <w:t>September 30, 2016, reflecting higher total compensation costs for healthcare professionals in Nursing and Allied Staffing at certain large accounts earlier in the year, coupled with the impact of the Advantage acquisition. As a percentage of total revenue, direct operating expenses increased to 73.6% compared to 73.1% in the prior year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5.7%, to $141.2 million for the nine months ended September 30, 2017, as compared to $133.5 million for the nine months ended September 30, 2016, partly due to the impact of the acquisition of Advantage. Excluding the impact of Advantage, the increase was primarily due to investments in revenue-producing headcount, higher marketing costs for candidate attraction, and higher compensation and benefit costs. As a percentage of total revenue, selling, general and administrative expenses were 21.9% for both nine month periods ended September 30, 2017 and September 30, 2016.</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75"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Depreciation and amortization expense totaled $7.3 million for the nine months ended September 30, 2017 and $7.0 million for the nine months ended September 30, 2016, partly due to the additional amortization of other intangible assets of Advantage. As a percentage of revenue, depreciation and amortization expense was 1.1% for each of the nine month periods ended September 30, 2017 and September 30,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nine months ended September 30, 2017 resulted in a benefit of $0.1 million as a result of the reversal of an earnout liability related to Mediscan which was determined would not be achieved, partly offset by accretion on the other earnouts, as compared to expense of $0.7 million in the nine months ended September 30, 2016 related to accretion of the Mediscan earnouts. See Note 9 - Fair Value Measurements to our condensed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integration costs</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Acquisition and integration costs during the nine months ended September 20, 2017 were $2.0 million and primarily consisted of transaction, advisory, and legal fees related to the acquisition of Advantage. There were no such costs for the nine months ended September 30, 2016. See Note 3 - Acquisitions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Restructuring costs totaled $0.7 million and $0.6 million during the nine months ended September 30, 2017 and September 30, 2016,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include severance and exit costs incurred as part of separate and discrete cost savings initiatives.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nine months ended September 30, 2016, we recorded impairment charges of $24.3 million related to our Physician Staffing reporting unit. We did not incur impairment charges during the nine months ended September 30, 2017. See Note 6 - Goodwill, Trade Names, and Other Intangible Assets to our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Interest expense decreased to $3.0 million in the nine months ended September 30, 2017 from $4.7 million in the nine months ended September 30, 2016, respectively, primarily due to a lower effective interest rate. The effective interest rate on our borrowings decreased to 4.8% for the nine month period ended September 30, 2017 compared to 8.7% for the nine months ended September 30, 2016, primarily due to the payoff of our $25.0 million 8% fixed rate Convertible Notes on March 17, 2017. See Note 7 -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derivative liability</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had a gain on derivative liability of $1.6 million and $20.0 million for the nine months ended September 30, 2017 and September 30, 2016, respectively, related to the change in the fair value of embedded features of our Convertible Notes. The gains in both periods primarily resulted from decreases in our share price from the end of the respective prior years through the 2017 payoff date and through September 30, 2016. The gain in 2016 was partially offset by a reduction in credit risk. See Note 7 - Debt and Note 8 - Convertible Notes Derivative Liability to our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Loss on early extinguishment of debt of $5.0 million for the nine months ended September 30, 2017 relates to the write-off of original issue discount and debt issuance costs of $4.4 million and a pre-payment fee of $0.6 million due to the early settlement of our Convertible Notes. Loss on early extinguishment of debt was $1.6 million for the nine months ended September 30, 2016 and related to the write-off of unamortized net debt discount and issuance costs, including a redemption premium of $0.6 million, related to our Second Lien Term Loan. See Note 7 - Debt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58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Income tax expense from continuing operations totaled $1.3 million for the nine months ended September 30, 2017, compared to income tax benefit of $5.0 million for the nine months ended September 30, 2016. The nine months ended September 30, 2016 included an income tax benefit related to the impairment charge recorded in the second quarter of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operating segments and a reconciliation to income from operations for the periods indicated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0"/>
                <w:szCs w:val="20"/>
                <w:color w:val="auto"/>
              </w:rPr>
            </w:pPr>
          </w:p>
        </w:tc>
        <w:tc>
          <w:tcPr>
            <w:tcW w:w="29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4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1"/>
              <w:spacing w:after="0"/>
              <w:rPr>
                <w:sz w:val="20"/>
                <w:szCs w:val="20"/>
                <w:color w:val="auto"/>
              </w:rPr>
            </w:pPr>
            <w:r>
              <w:rPr>
                <w:rFonts w:ascii="Arial" w:cs="Arial" w:eastAsia="Arial" w:hAnsi="Arial"/>
                <w:sz w:val="18"/>
                <w:szCs w:val="18"/>
                <w:b w:val="1"/>
                <w:bCs w:val="1"/>
                <w:color w:val="auto"/>
                <w:w w:val="99"/>
              </w:rPr>
              <w:t>2016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4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40" w:type="dxa"/>
            <w:vAlign w:val="bottom"/>
            <w:gridSpan w:val="5"/>
          </w:tcPr>
          <w:p>
            <w:pPr>
              <w:ind w:left="380"/>
              <w:spacing w:after="0"/>
              <w:rPr>
                <w:sz w:val="20"/>
                <w:szCs w:val="20"/>
                <w:color w:val="auto"/>
              </w:rPr>
            </w:pPr>
            <w:r>
              <w:rPr>
                <w:rFonts w:ascii="Arial" w:cs="Arial" w:eastAsia="Arial" w:hAnsi="Arial"/>
                <w:sz w:val="16"/>
                <w:szCs w:val="16"/>
                <w:color w:val="auto"/>
              </w:rPr>
              <w:t>(amounts in thousands)</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200,492</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186,623</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564,527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527,436</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24,871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73,470</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3,275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10,108</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228,488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214,988</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645,374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611,014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Contribution income: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Nurse and Allied Staffing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20,663</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19,472</w:t>
            </w:r>
          </w:p>
        </w:tc>
        <w:tc>
          <w:tcPr>
            <w:tcW w:w="2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54,426</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53,877</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Physician Staffing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6,003</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Other Human Capital Management Services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21,718</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59,684</w:t>
            </w:r>
          </w:p>
        </w:tc>
      </w:tr>
      <w:tr>
        <w:trPr>
          <w:trHeight w:val="324"/>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Unallocated corporate overhead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29,608</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2,849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6,969</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Acquisition and integration costs</w:t>
            </w:r>
          </w:p>
        </w:tc>
        <w:tc>
          <w:tcPr>
            <w:tcW w:w="3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Impairment charges</w:t>
            </w:r>
          </w:p>
        </w:tc>
        <w:tc>
          <w:tcPr>
            <w:tcW w:w="3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24,311</w:t>
            </w:r>
          </w:p>
        </w:tc>
      </w:tr>
      <w:tr>
        <w:trPr>
          <w:trHeight w:val="27"/>
        </w:trPr>
        <w:tc>
          <w:tcPr>
            <w:tcW w:w="4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8,367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9,329</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18,071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w:t>
            </w:r>
          </w:p>
        </w:tc>
      </w:tr>
      <w:tr>
        <w:trPr>
          <w:trHeight w:val="20"/>
        </w:trPr>
        <w:tc>
          <w:tcPr>
            <w:tcW w:w="4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78"/>
        </w:trPr>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Certain statistical data for our business segments for the periods indicated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 Ended</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2016</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7,706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6,954</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15,777</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16,639</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(862)</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507"/>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September 30,</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Percent</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2017</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2016</w:t>
            </w:r>
          </w:p>
        </w:tc>
        <w:tc>
          <w:tcPr>
            <w:tcW w:w="200" w:type="dxa"/>
            <w:vAlign w:val="bottom"/>
          </w:tcPr>
          <w:p>
            <w:pPr>
              <w:spacing w:after="0"/>
              <w:rPr>
                <w:sz w:val="23"/>
                <w:szCs w:val="23"/>
                <w:color w:val="auto"/>
              </w:rPr>
            </w:pPr>
          </w:p>
        </w:tc>
        <w:tc>
          <w:tcPr>
            <w:tcW w:w="1580" w:type="dxa"/>
            <w:vAlign w:val="bottom"/>
            <w:gridSpan w:val="2"/>
          </w:tcPr>
          <w:p>
            <w:pPr>
              <w:ind w:left="42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1"/>
              </w:rPr>
              <w:t>Nurse and Allied Staffing statistical data: (a)</w:t>
            </w:r>
          </w:p>
        </w:tc>
        <w:tc>
          <w:tcPr>
            <w:tcW w:w="1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4980" w:type="dxa"/>
            <w:vAlign w:val="bottom"/>
            <w:gridSpan w:val="4"/>
          </w:tcPr>
          <w:p>
            <w:pPr>
              <w:ind w:left="20"/>
              <w:spacing w:after="0"/>
              <w:rPr>
                <w:sz w:val="20"/>
                <w:szCs w:val="20"/>
                <w:color w:val="auto"/>
              </w:rPr>
            </w:pPr>
            <w:r>
              <w:rPr>
                <w:rFonts w:ascii="Arial" w:cs="Arial" w:eastAsia="Arial" w:hAnsi="Arial"/>
                <w:sz w:val="16"/>
                <w:szCs w:val="16"/>
                <w:color w:val="auto"/>
              </w:rPr>
              <w:t>FTEs</w:t>
            </w: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7,355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6,885</w:t>
            </w:r>
          </w:p>
        </w:tc>
        <w:tc>
          <w:tcPr>
            <w:tcW w:w="20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470</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Average Nurse and Allied Staffing revenue per FTE per day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70"/>
        </w:trPr>
        <w:tc>
          <w:tcPr>
            <w:tcW w:w="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20" w:type="dxa"/>
            <w:vAlign w:val="bottom"/>
            <w:shd w:val="clear" w:color="auto" w:fill="CCEEFF"/>
          </w:tcPr>
          <w:p>
            <w:pPr>
              <w:spacing w:after="0"/>
              <w:rPr>
                <w:sz w:val="21"/>
                <w:szCs w:val="21"/>
                <w:color w:val="auto"/>
              </w:rPr>
            </w:pPr>
          </w:p>
        </w:tc>
        <w:tc>
          <w:tcPr>
            <w:tcW w:w="496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Physician Staffing statistical data: (a)</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7"/>
        </w:trPr>
        <w:tc>
          <w:tcPr>
            <w:tcW w:w="20" w:type="dxa"/>
            <w:vAlign w:val="bottom"/>
            <w:tcBorders>
              <w:top w:val="single" w:sz="8" w:color="CCEEFF"/>
            </w:tcBorders>
          </w:tcPr>
          <w:p>
            <w:pPr>
              <w:spacing w:after="0"/>
              <w:rPr>
                <w:sz w:val="20"/>
                <w:szCs w:val="20"/>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Days filled</w:t>
            </w:r>
          </w:p>
        </w:tc>
        <w:tc>
          <w:tcPr>
            <w:tcW w:w="2380" w:type="dxa"/>
            <w:vAlign w:val="bottom"/>
            <w:tcBorders>
              <w:top w:val="single" w:sz="8" w:color="CCEEFF"/>
            </w:tcBorders>
            <w:gridSpan w:val="2"/>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46,033</w:t>
            </w: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30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47,961</w:t>
            </w:r>
          </w:p>
        </w:tc>
        <w:tc>
          <w:tcPr>
            <w:tcW w:w="200" w:type="dxa"/>
            <w:vAlign w:val="bottom"/>
            <w:tcBorders>
              <w:top w:val="single" w:sz="8" w:color="CCEEFF"/>
            </w:tcBorders>
          </w:tcPr>
          <w:p>
            <w:pPr>
              <w:spacing w:after="0"/>
              <w:rPr>
                <w:sz w:val="20"/>
                <w:szCs w:val="20"/>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(1,928)</w:t>
            </w:r>
          </w:p>
        </w:tc>
        <w:tc>
          <w:tcPr>
            <w:tcW w:w="220" w:type="dxa"/>
            <w:vAlign w:val="bottom"/>
            <w:tcBorders>
              <w:top w:val="single" w:sz="8" w:color="CCEEFF"/>
            </w:tcBorders>
          </w:tcPr>
          <w:p>
            <w:pPr>
              <w:spacing w:after="0"/>
              <w:rPr>
                <w:sz w:val="20"/>
                <w:szCs w:val="20"/>
                <w:color w:val="auto"/>
              </w:rPr>
            </w:pPr>
          </w:p>
        </w:tc>
        <w:tc>
          <w:tcPr>
            <w:tcW w:w="14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(4.0)%</w:t>
            </w:r>
          </w:p>
        </w:tc>
      </w:tr>
      <w:tr>
        <w:trPr>
          <w:trHeight w:val="33"/>
        </w:trPr>
        <w:tc>
          <w:tcPr>
            <w:tcW w:w="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4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Revenue per day filled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33"/>
        </w:trPr>
        <w:tc>
          <w:tcPr>
            <w:tcW w:w="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780" w:firstLine="8"/>
        <w:spacing w:after="0" w:line="495" w:lineRule="auto"/>
        <w:tabs>
          <w:tab w:leader="none" w:pos="6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definition of Business Measurement under the Operating Metrics section of our Management's Discussion and Analysis. See Note 11 - Segment Data.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Three Months Ended September 30, 2017 compared to the Three Months Ended September 30, 2016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 from Nurse and Allied Staffing increased $13.9 million, or 7.4%, to $200.5 million for the three months ended September 30, 2017, as compared to $186.6 million for the three months ended September 30, 2016, predominantly due to the Advantage acquisition. Excluding the Advantage acquisition, revenue decreased 5.4%, primarily driven by the impact of higher average bill rates related to specific project revenue in the prior year and lower premium rate business in 2017.</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Contribution income from Nurse and Allied Staffing increased $1.2 million or 6.1%, to $20.7 million for the three months ended September 30, 2017, as compared to $19.5 million for the three months ended September 30, 2016. As a percentage of segment revenue, contribution income was 10.3% for the three months ended September 30, 2017, compared to 10.4% for the three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three months ended September 30, 2017 increased 10.8% from the three months ended September 30, 2016, entirely due to the added FTEs from the Advantage acquisition. The average Nurse and Allied Staffing revenue per FTE per day decreased 3.1%, primarily reflecting a change in the mix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Revenue from Physician Staffing decreased $0.2 million, or 0.9%, to $24.9 million for the three months ended September 30, 2017, as compared to $25.1 million for the three months ended September 30, 2016. The slight decline in revenue was predominantly due to a lower volume of days filled for physicians, partly offset by an increase in the volume for advanced practices which generally have a lower bill rate, as well as the addition of Advantage Locums.</w:t>
      </w:r>
    </w:p>
    <w:p>
      <w:pPr>
        <w:sectPr>
          <w:pgSz w:w="11900" w:h="16838" w:orient="portrait"/>
          <w:cols w:equalWidth="0" w:num="1">
            <w:col w:w="11400"/>
          </w:cols>
          <w:pgMar w:left="240" w:top="58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584" w:right="259" w:bottom="1440" w:gutter="0" w:footer="0" w:header="0"/>
          <w:type w:val="continuous"/>
        </w:sectPr>
      </w:pPr>
    </w:p>
    <w:bookmarkStart w:id="35" w:name="page36"/>
    <w:bookmarkEnd w:id="35"/>
    <w:p>
      <w:pPr>
        <w:jc w:val="both"/>
        <w:ind w:right="120"/>
        <w:spacing w:after="0" w:line="264" w:lineRule="auto"/>
        <w:rPr>
          <w:sz w:val="20"/>
          <w:szCs w:val="20"/>
          <w:color w:val="auto"/>
        </w:rPr>
      </w:pPr>
      <w:r>
        <w:rPr>
          <w:rFonts w:ascii="Arial" w:cs="Arial" w:eastAsia="Arial" w:hAnsi="Arial"/>
          <w:sz w:val="18"/>
          <w:szCs w:val="18"/>
          <w:color w:val="auto"/>
        </w:rPr>
        <w:t>Contribution income from Physician Staffing decreased $1.1 million, or 44.2%, to $1.3 million for the three months ended September 30, 2017, compared to $2.4 million for the three months ended September 30, 2016. As a percentage of segment revenue, contribution income was 5.4% for the three months ended September 30, 2017 and 9.6% for the three months ended September 30,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Total days filled were 15,777 as compared with 16,639 in the prior year, with declines in physician specialties partly offset by growth in advanced practices. Revenue per day filled was $1,562 as compared with $1,576 in the prior year, representing the impact of the shift in mix from growth in advanced practices, which generally have a lower daily bill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Revenue from OHCMS decreased $0.2 million, or 4.6%, to $3.1 million for the three months ended September 30, 2017, as compared to $3.3 million for the three months ended September 30, 2016, primarily due to a decrease in executive searches and placements, partially offset by higher physician searches.</w:t>
      </w:r>
    </w:p>
    <w:p>
      <w:pPr>
        <w:spacing w:after="0" w:line="12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Segment contribution income for the three months ended September 30, 2017 was essentially break-even compared to a loss of $0.2 million for the three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$9.3 million for the three months ended September 30, 2017, compared to $9.4 million for the three months ended September 30, 2016. As a percentage of consolidated revenue, unallocated corporate overhead was 4.1% for the three months ended September 30, 2017 and 4.4% for the three months ended September 30,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Comparison - Nine Months Ended September 30, 2017 compared to the Nine Months Ended September 30, 2016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 and Allied Staffing</w:t>
      </w:r>
    </w:p>
    <w:p>
      <w:pPr>
        <w:spacing w:after="0" w:line="21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Revenue from Nurse and Allied Staffing increased $37.1 million, or 7.0%, to $564.5 million for the nine months ended September 30, 2017, as compared to $527.4 million for the nine months ended September 30, 2016. The year-over-year increase was due to higher volume and improved pricing, as well as the impact of the Advantage acquisition. Excluding the impact of the Advantage acquisition, revenue increased 2.5%.</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Contribution income from Nurse and Allied Staffing increased $0.5 million, or 1.0%, to $54.4 million for the nine months ended September 30, 2017, as compared to $53.9 million for the nine months ended September 30, 2016. As a percentage of segment revenue, contribution income was 9.6% for the nine months ended September 30, 2017, compared to 10.2% for the nine months ended September 30, 2016. The margin decline is primarily attributable to higher compensation packages provided to our field staff and increased investments in revenue-producing headcount and marketing spend to support recent contract wins.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average number of Nurse and Allied Staffing FTEs on contract during the nine months ended September 30, 2017 increased 6.8% from the nine months ended September 30, 2016, in part due to the impact of the acquisition of Advantage. The average Nurse and Allied Staffing revenue per FTE per day increased 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Staffing</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from Physician Staffing decreased $2.4 million, or 3.3%, to $71.1 million for the nine months ended September 30, 2017, as compared to $73.5 million for the nine months ended September 30, 2016, primarily due to a decrease in volume.</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Contribution income from Physician Staffing decreased $1.8 million, or 29.9%, to $4.2 million for the nine months ended September 30, 2017, compared to $6.0 million for the nine months ended September 30, 2016. As a percentage of segment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revenue, contribution income was 5.9% for the nine months ended September 30, 2017 and 8.2% for the nine months ended September 30,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Metrics</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Physician Staffing days filled decreased 4.0%, to 46,033 days in the nine months ended September 30, 2017, as compared to 47,961 days in the nine months ended September 30, 2016, primarily due to a decline in physician specialties, partly offset by an increase in advanced practices. Revenue per day filled for the nine months ended September 30, 2017 was $1,570, up 1.8% over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Human Capital Management Services</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 from OHCMS decreased $0.3 million, or 3.1%, to $9.8 million for the nine months ended September 30, 2017, as compared to $10.1 million for the nine months ended September 30, 2016. The decrease in revenue was primarily due to a decrease in executive searches and placements, partially offset by higher physician searches.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Contribution loss from OHCMS was $0.2 million for each of the nine month periods ended September 30, 2017 and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Unallocated Corporate Overhead</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Included in unallocated corporate overhead is corporate compensation and benefits, and general and administrative expenses including rent and utilities, computer supplies and expenses, insurance, professional expenses, corporate-wide projects (initiatives), and public company expenses. Unallocated corporate overhead was $30.4 million for the nine months ended September 30, 2017 compared to $29.6 million for the nine months ended September 30, 2016, due to an increase in compensation and benefits. As a percentage of consolidated revenue, unallocated corporate overhead was 4.7% for the nine months ended September 30, 2017 and 4.8% for the nine months ended September 30,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14 - Related Party Transactions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At September 30, 2017, we had $10.8 million in cash and cash equivalents and $100.0 million of Term Loan outstanding. Working capital decreased to $107.8 million as of September 30, 2017 from $108.5 million as of December 31, 2016. Our net days' sales outstanding (DSO), which excludes amounts owed to subcontractors, increased 2 days to 57 days as of September 30, 2017, compared to 55 days as of December 31, 2016.</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operating cash flow constitutes our primary source of liquidity, and historically, has been sufficient to fund our working capital, capital expenditures, internal business expansion and debt service, including our commitments as described in the Commitments table which follows. We expect to meet our future needs for working capital, capital expenditures, internal business expansion and debt service from a combination of cash on hand, operating cash flows and funds available through the revolving loan portion of our Amended and Restated Credit Agreement. See debt discussion which follows. Operating cash flows and cash on hand, along with amounts available under our revolving credit facility, should be sufficient to meet these needs during the next twelve months.</w:t>
      </w:r>
    </w:p>
    <w:p>
      <w:pPr>
        <w:spacing w:after="0" w:line="15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Net cash provided by operating activities was $28.7 million in the nine months ended September 30, 2017 compared to $32.3 million in the nine months ended September 30, 2016, primarily due to the timing of payments and a higher days sales outstanding in the nine months ended September 30, 2017.</w:t>
      </w:r>
    </w:p>
    <w:p>
      <w:pPr>
        <w:spacing w:after="0" w:line="12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investing activities was $90.3 million in the nine months ended September 30, 2017, compared to $6.4 million in the nine months ended September 30, 2016. The primary use for cash in the nine months ended September 30, 2017 was for the Advantage acquisition. Both periods used cash for capital expenditures and acquisition-related settlements, which were partially offset by proceeds from the sale of our education seminars business in the nine months ended September 30, 2016.</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financing activities during the nine months ended September 30, 2017 was $51.7 million, compared to $1.6 million net cash used during the nine months ended September 30, 2016. During the nine months ended September 30, 2017, in the first quarter we paid off our Convertible Notes with a partial cash payment of $5.0 million and extinguishment fees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7" w:name="page38"/>
    <w:bookmarkEnd w:id="37"/>
    <w:p>
      <w:pPr>
        <w:ind w:right="20"/>
        <w:spacing w:after="0" w:line="290" w:lineRule="auto"/>
        <w:rPr>
          <w:sz w:val="20"/>
          <w:szCs w:val="20"/>
          <w:color w:val="auto"/>
        </w:rPr>
      </w:pPr>
      <w:r>
        <w:rPr>
          <w:rFonts w:ascii="Arial" w:cs="Arial" w:eastAsia="Arial" w:hAnsi="Arial"/>
          <w:sz w:val="16"/>
          <w:szCs w:val="16"/>
          <w:color w:val="auto"/>
        </w:rPr>
        <w:t>of $0.6 million. We also funded the acquisition of Advantage using our Senior Credit Facility and subsequently refinanced, resulting in net borrowings of $68.5 million on the Senior Credit Facility ($62.0 million in Term Loans and $6.5 million on the Revolving Credit Facility) and debt issuance costs of $0.9 million. In addition, we used cash to pay $1.2 million for shares withheld for taxes, $0.9 million for noncontrolling shareholder payments, and $0.2 million of contingent consideration. During the nine months ended September 30, 2016, we entered into the 2016 Senior Credit Facility which provided us with $40.0 million of borrowings under the Term Loan Facility. Part of the proceeds from the borrowings were used to prepay our $30.0 million Second Lien Term Loan including a prepayment penalty of $0.6 million and $1.2 million of debt issuance costs. In addition, during the nine months ended September 30, 2016, we repaid a net of $8.0 million on our senior secured asset-based credit facility and $0.5 million on our term loan facility. In addition, we used cash to pay $0.6 million for shares withheld for taxes, $0.5 million for noncontrolling shareholder payments, and $0.2 million of contingent consideration.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more fully described in Note 7 - Debt to our condensed consolidated financial statements, on June 22, 2016, we entered into a senior credit agreement (2016 Credit Agreement), which provided a term loan of $40.0 million (Term Loan) and a revolving credit facility of up to $100.0 million (Revolving Credit Facility) (together with the Term Loan, the 2016 Senior Credit Facilities) both of which would have matured in five years.</w:t>
      </w:r>
    </w:p>
    <w:p>
      <w:pPr>
        <w:spacing w:after="0" w:line="16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Effective July 1, 2017, we completed the acquisition of substantially all of the assets of Advantage, for cash consideration of $86.6 million, net of cash acquired, using available cash and $66.9 million in borrowings under the 2016 Credit Facility, including a $40.0 million Incremental Term Loan. The total purchase price of $88.0 million was subject to a net working capital reduction of $0.6 million at the closing and an additional $0.8 million was received during the third quarter as the final adjustment for net working capital.</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Effective July 1, 2017, we entered into a Second Amendment to our 2016 Credit Agreement to permit the acquisition of Advantage. Also in connection with the acquisition of Advantage, effective July 1, 2017, pursuant to the 2016 Credit Agreement, we entered into an Incremental Term Loan Agreement which provided us with an incremental term loan of $40.0 million to pay for part of the consideration of the acquisition.</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 2017, we entered into an Amendment and Restatement to our Credit Agreement (Amended and Restated Credit Agreement) to refinance and increase the current aggregate committed size of the facility to $215.0 million, including a term loan of $100.0 million (Amended Term Loan) and a $115.0 million revolving credit facility (Amended Revolving Credit Facility) (together with the Amended Term Loan, the Amended Credit Facilities). The proceeds of $106.5 million from this refinancing included $6.5 million under the new revolving credit facility, and were used to repay borrowings under our previously existing credit facilities, as well as to pay related interest, fees and expenses. As of September 30, 2017 the Applicable Margin is 2.25% for Eurodollar Loans and LIBOR Index Rate Loans and 1.25% for Base Rate Loans. As of September 30, 2017, we had a $100.0 million Amended Term Loan and $21.6 million in letters of credit outstanding, leaving $93.4 million available under the Amended Revolving Credit Facility. We believe this provides us with the ability to continue to execute our strategy to grow the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17, 2017, we paid in full our fixed rate 8% Convertible Notes. The Convertible Notes, had an aggregate principal amount of $25.0 million, and were convertible into shares of our Common Stock, at a conversion price of $7.10 per share. As a result of the early repayment, we recognized $5.0 million as loss on early extinguishment of debt.</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inception of the notes, and at the time of the payoff, the conversion price of $7.10 was below the market price. The initial agreement allowed us to force conversion of the Notes only after three years, beginning July 1, 2017, and if the VWAP exceeded 125% of the Conversion Price for 20 days of a 30 day trading period (the threshold was $8.88, which we were well above). As such, we and the Noteholders agreed to an early settlement at fair value based on the stock price. In connection with the repayment, we issued to the Noteholders an aggregate of 3,175,584 shares of Common Stock and cash in the aggregate amount of $5.6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7 - Debt to our condensed consolidated financial statement for further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58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10 - Stockholders' Equity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 and 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contractual obligations and other commitments as of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3400" w:type="dxa"/>
            <w:vAlign w:val="bottom"/>
          </w:tcPr>
          <w:p>
            <w:pPr>
              <w:ind w:left="1140"/>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8"/>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8"/>
          </w:tcPr>
          <w:p>
            <w:pPr>
              <w:ind w:left="80"/>
              <w:spacing w:after="0"/>
              <w:rPr>
                <w:sz w:val="20"/>
                <w:szCs w:val="20"/>
                <w:color w:val="auto"/>
              </w:rPr>
            </w:pPr>
            <w:r>
              <w:rPr>
                <w:rFonts w:ascii="Arial" w:cs="Arial" w:eastAsia="Arial" w:hAnsi="Arial"/>
                <w:sz w:val="18"/>
                <w:szCs w:val="18"/>
                <w:b w:val="1"/>
                <w:bCs w:val="1"/>
                <w:color w:val="auto"/>
              </w:rPr>
              <w:t>(Unaudited, amounts in thousands)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Interest on debt (b)</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5,216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 consideration (c)</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Operating lease obligations (d)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34,303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6,562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5,050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4,389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12,430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w w:val="89"/>
              </w:rPr>
              <w:t>_______________</w:t>
            </w: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 our Amended Term Loan, we are required to comply with certain financial covenants. Our inability to comply with the required covenants or other provisions could result in default under our amended credit facilities. In the event of any such default and our inability to obtain a waiver of the default, all amounts outstanding under the Amended Credit Facilities could be declared immediately due and payable.</w:t>
      </w:r>
    </w:p>
    <w:p>
      <w:pPr>
        <w:ind w:left="660" w:right="200" w:hanging="652"/>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 debt represents payments due through maturity for our Term Loan, calculated using the October 2, 2017 applicable LIBOR and margin rate totaling 3.5%.</w:t>
      </w:r>
    </w:p>
    <w:p>
      <w:pPr>
        <w:ind w:left="660" w:hanging="652"/>
        <w:spacing w:after="0" w:line="265"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contingent consideration represents the estimated payments due to the sellers related to the Mediscan and USR acquisitions, including accretion. In the third quarter of 2017, we determined that one of the contingent consideration earnouts related to the Mediscan acquisition would not be achieved for 2017 and, as a result, the entire earnout was reversed. See Note 3 - Acquisitions to our condensed consolidated financial statements. While it is not certain if, or when, the remaining contingent payments will be made, we have included the payments in the table based on our best estimates of the amounts and dates when the contingencies may be resolved.</w:t>
      </w:r>
    </w:p>
    <w:p>
      <w:pPr>
        <w:spacing w:after="0" w:line="1" w:lineRule="exact"/>
        <w:rPr>
          <w:rFonts w:ascii="Arial" w:cs="Arial" w:eastAsia="Arial" w:hAnsi="Arial"/>
          <w:sz w:val="17"/>
          <w:szCs w:val="17"/>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future minimum lease payments associated with operating lease agreements with original terms of more than one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12 - Commitments and Contingencies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critical accounting policies and estimates remain consistent with those reported in our Annual Report on Form 10-K for the year ended December 31, 2016, filed with the SEC.</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15 - Recent Accounting Pronouncements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0" w:right="279" w:bottom="1440" w:gutter="0" w:footer="0" w:header="0"/>
        </w:sectPr>
      </w:pPr>
    </w:p>
    <w:bookmarkStart w:id="39" w:name="page40"/>
    <w:bookmarkEnd w:id="39"/>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exposed to the risk of fluctuation in interest rates relating to our variable rate debt related to our Amended Credit Facilities. During the nine months ended September 30, 2017 or 2016, we did not use interest rate swaps or other types of derivative financial instruments to hedge our interest rate risk. Our current credit agreement charges us interest at a rate of LIBOR plus a leverage-based margin. See Note 7 - Debt to our condensed consolidated financial statements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Risks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Aside from settlement of our Convertible Notes as described in Note 7 - Debt to our condensed consolidated financial statements, there have been no material changes to our other exposures as disclosed in our Annual Report on Form 10-K filed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364" w:right="279" w:bottom="1440" w:gutter="0" w:footer="0" w:header="0"/>
        </w:sectPr>
      </w:pPr>
    </w:p>
    <w:bookmarkStart w:id="40" w:name="page41"/>
    <w:bookmarkEnd w:id="40"/>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Securities and Exchange Commission’s rules and forms. The disclosure controls and procedures are designed to ensure that information required to be disclosed by us in reports required under the Exchange Act of 1934, as amended, is accumulated and communicated to our management, including the Chief Executive Officer and Chief Financial Officer, in order to allow timely decisions regarding any required disclosure.</w:t>
      </w:r>
    </w:p>
    <w:p>
      <w:pPr>
        <w:spacing w:after="0" w:line="18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evaluation has not identified any changes in our internal controls over financial reporting or in other factors that occurred during the last fiscal quarter that have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364" w:right="299" w:bottom="1440" w:gutter="0" w:footer="0" w:header="0"/>
        </w:sectPr>
      </w:pPr>
    </w:p>
    <w:bookmarkStart w:id="41" w:name="page42"/>
    <w:bookmarkEnd w:id="41"/>
    <w:p>
      <w:pPr>
        <w:jc w:val="center"/>
        <w:ind w:right="-25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subject to legal proceedings and claims that arise in the ordinary course of our business. We do not believe the outcome of these matters will have a material adverse effect on our business, financial condition, results of operations or cash flows.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2140"/>
        <w:spacing w:after="0" w:line="277" w:lineRule="auto"/>
        <w:rPr>
          <w:sz w:val="20"/>
          <w:szCs w:val="20"/>
          <w:color w:val="auto"/>
        </w:rPr>
      </w:pPr>
      <w:r>
        <w:rPr>
          <w:rFonts w:ascii="Arial" w:cs="Arial" w:eastAsia="Arial" w:hAnsi="Arial"/>
          <w:sz w:val="18"/>
          <w:szCs w:val="18"/>
          <w:color w:val="auto"/>
        </w:rPr>
        <w:t>There are no material changes to our Risk Factors as previously disclosed in our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immediately following signature page.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364" w:right="47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CROSS COUNTRY HEALTHCARE, INC.</w:t>
      </w:r>
    </w:p>
    <w:p>
      <w:pPr>
        <w:spacing w:after="0" w:line="189" w:lineRule="exact"/>
        <w:rPr>
          <w:sz w:val="20"/>
          <w:szCs w:val="20"/>
          <w:color w:val="auto"/>
        </w:rPr>
      </w:pPr>
    </w:p>
    <w:p>
      <w:pPr>
        <w:ind w:left="40"/>
        <w:spacing w:after="0"/>
        <w:tabs>
          <w:tab w:leader="none" w:pos="5720" w:val="left"/>
          <w:tab w:leader="none" w:pos="6300" w:val="left"/>
        </w:tabs>
        <w:rPr>
          <w:sz w:val="20"/>
          <w:szCs w:val="20"/>
          <w:color w:val="auto"/>
        </w:rPr>
      </w:pPr>
      <w:r>
        <w:rPr>
          <w:rFonts w:ascii="Arial" w:cs="Arial" w:eastAsia="Arial" w:hAnsi="Arial"/>
          <w:sz w:val="18"/>
          <w:szCs w:val="18"/>
          <w:color w:val="auto"/>
        </w:rPr>
        <w:t>Date: November 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EVP &amp; Chief Financial Officer (Principal Accounting and Financial</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580" w:right="3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00" w:type="dxa"/>
            <w:vAlign w:val="bottom"/>
            <w:gridSpan w:val="5"/>
          </w:tcPr>
          <w:p>
            <w:pPr>
              <w:jc w:val="center"/>
              <w:ind w:right="410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1620" w:type="dxa"/>
            <w:vAlign w:val="bottom"/>
            <w:gridSpan w:val="2"/>
          </w:tcPr>
          <w:p>
            <w:pPr>
              <w:ind w:left="500"/>
              <w:spacing w:after="0"/>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520"/>
        </w:trPr>
        <w:tc>
          <w:tcPr>
            <w:tcW w:w="1260" w:type="dxa"/>
            <w:vAlign w:val="bottom"/>
          </w:tcPr>
          <w:p>
            <w:pPr>
              <w:ind w:left="4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Fourth Amendment to Lease Agreement between RNSI City Place Owner, LLC and Cejka Search, Inc., dated May 31, 2017</w:t>
              </w:r>
            </w:hyperlink>
          </w:p>
        </w:tc>
        <w:tc>
          <w:tcPr>
            <w:tcW w:w="820" w:type="dxa"/>
            <w:vAlign w:val="bottom"/>
            <w:gridSpan w:val="4"/>
          </w:tcPr>
          <w:p>
            <w:pPr>
              <w:spacing w:after="0"/>
              <w:rPr>
                <w:sz w:val="24"/>
                <w:szCs w:val="24"/>
                <w:color w:val="auto"/>
              </w:rPr>
            </w:pPr>
          </w:p>
        </w:tc>
      </w:tr>
      <w:tr>
        <w:trPr>
          <w:trHeight w:val="520"/>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8"/>
          </w:tcPr>
          <w:p>
            <w:pPr>
              <w:spacing w:after="0"/>
              <w:rPr>
                <w:rFonts w:ascii="Arial" w:cs="Arial" w:eastAsia="Arial" w:hAnsi="Arial"/>
                <w:sz w:val="18"/>
                <w:szCs w:val="18"/>
                <w:color w:val="0000FF"/>
                <w:w w:val="97"/>
              </w:rPr>
            </w:pPr>
            <w:hyperlink w:anchor="page47">
              <w:r>
                <w:rPr>
                  <w:rFonts w:ascii="Arial" w:cs="Arial" w:eastAsia="Arial" w:hAnsi="Arial"/>
                  <w:sz w:val="18"/>
                  <w:szCs w:val="18"/>
                  <w:color w:val="0000FF"/>
                  <w:w w:val="97"/>
                </w:rPr>
                <w:t>Certification pursuant to Rule 13a-14(a) and Rule 15d-14 (a) by William J. Grubbs, President, Chief Executive Officer, Director</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3"/>
              </w:rPr>
            </w:pPr>
            <w:hyperlink w:anchor="page47">
              <w:r>
                <w:rPr>
                  <w:rFonts w:ascii="Arial" w:cs="Arial" w:eastAsia="Arial" w:hAnsi="Arial"/>
                  <w:sz w:val="18"/>
                  <w:szCs w:val="18"/>
                  <w:color w:val="0000FF"/>
                  <w:w w:val="93"/>
                </w:rPr>
                <w:t>(Principal Executive Officer)</w:t>
              </w:r>
            </w:hyperlink>
          </w:p>
        </w:tc>
        <w:tc>
          <w:tcPr>
            <w:tcW w:w="7120" w:type="dxa"/>
            <w:vAlign w:val="bottom"/>
            <w:tcBorders>
              <w:top w:val="single" w:sz="8" w:color="0000FF"/>
            </w:tcBorders>
            <w:gridSpan w:val="4"/>
          </w:tcPr>
          <w:p>
            <w:pPr>
              <w:spacing w:after="0"/>
              <w:rPr>
                <w:sz w:val="17"/>
                <w:szCs w:val="17"/>
                <w:color w:val="auto"/>
              </w:rPr>
            </w:pPr>
          </w:p>
        </w:tc>
        <w:tc>
          <w:tcPr>
            <w:tcW w:w="560" w:type="dxa"/>
            <w:vAlign w:val="bottom"/>
            <w:gridSpan w:val="2"/>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pursuant to Rule 13a-14(a) and Rule 15d-14 (a) by William J. Burns, EVP &amp; Chief Financial Officer (Principal</w:t>
              </w:r>
            </w:hyperlink>
          </w:p>
        </w:tc>
        <w:tc>
          <w:tcPr>
            <w:tcW w:w="82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8"/>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Accounting and Financial Officer)</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8"/>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pursuant to 18 U.S.C. Section 1350 by William J. Grubbs, President, Chief Executive Officer, Director (Principal</w:t>
              </w:r>
            </w:hyperlink>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0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Executive Officer)</w:t>
              </w:r>
            </w:hyperlink>
          </w:p>
        </w:tc>
        <w:tc>
          <w:tcPr>
            <w:tcW w:w="680" w:type="dxa"/>
            <w:vAlign w:val="bottom"/>
            <w:gridSpan w:val="3"/>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1260" w:type="dxa"/>
            <w:vAlign w:val="bottom"/>
          </w:tcPr>
          <w:p>
            <w:pPr>
              <w:ind w:left="4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8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Certification pursuant to 18 U.S.C. Section 1350 by William J. Burns, EVP &amp; Chief Financial Officer (Principal Accounting and</w:t>
              </w:r>
            </w:hyperlink>
          </w:p>
        </w:tc>
        <w:tc>
          <w:tcPr>
            <w:tcW w:w="50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tcPr>
          <w:p>
            <w:pPr>
              <w:spacing w:after="0" w:line="196" w:lineRule="exact"/>
              <w:rPr>
                <w:rFonts w:ascii="Arial" w:cs="Arial" w:eastAsia="Arial" w:hAnsi="Arial"/>
                <w:sz w:val="18"/>
                <w:szCs w:val="18"/>
                <w:color w:val="0000FF"/>
                <w:w w:val="95"/>
              </w:rPr>
            </w:pPr>
            <w:hyperlink w:anchor="page50">
              <w:r>
                <w:rPr>
                  <w:rFonts w:ascii="Arial" w:cs="Arial" w:eastAsia="Arial" w:hAnsi="Arial"/>
                  <w:sz w:val="18"/>
                  <w:szCs w:val="18"/>
                  <w:color w:val="0000FF"/>
                  <w:w w:val="95"/>
                </w:rPr>
                <w:t>Financial Officer)</w:t>
              </w:r>
            </w:hyperlink>
          </w:p>
        </w:tc>
        <w:tc>
          <w:tcPr>
            <w:tcW w:w="8440" w:type="dxa"/>
            <w:vAlign w:val="bottom"/>
            <w:gridSpan w:val="7"/>
          </w:tcPr>
          <w:p>
            <w:pPr>
              <w:spacing w:after="0"/>
              <w:rPr>
                <w:sz w:val="17"/>
                <w:szCs w:val="17"/>
                <w:color w:val="auto"/>
              </w:rPr>
            </w:pPr>
          </w:p>
        </w:tc>
      </w:tr>
      <w:tr>
        <w:trPr>
          <w:trHeight w:val="41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Filed herewith</w:t>
            </w:r>
          </w:p>
        </w:tc>
      </w:tr>
      <w:tr>
        <w:trPr>
          <w:trHeight w:val="392"/>
        </w:trPr>
        <w:tc>
          <w:tcPr>
            <w:tcW w:w="1260" w:type="dxa"/>
            <w:vAlign w:val="bottom"/>
          </w:tcPr>
          <w:p>
            <w:pPr>
              <w:ind w:left="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8"/>
          </w:tcPr>
          <w:p>
            <w:pPr>
              <w:spacing w:after="0"/>
              <w:rPr>
                <w:sz w:val="20"/>
                <w:szCs w:val="20"/>
                <w:color w:val="auto"/>
              </w:rPr>
            </w:pPr>
            <w:r>
              <w:rPr>
                <w:rFonts w:ascii="Arial" w:cs="Arial" w:eastAsia="Arial" w:hAnsi="Arial"/>
                <w:sz w:val="18"/>
                <w:szCs w:val="18"/>
                <w:color w:val="auto"/>
              </w:rPr>
              <w:t>Furnished herewith</w:t>
            </w:r>
          </w:p>
        </w:tc>
      </w:tr>
      <w:tr>
        <w:trPr>
          <w:trHeight w:val="70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80" w:type="dxa"/>
            <w:vAlign w:val="bottom"/>
            <w:gridSpan w:val="5"/>
          </w:tcPr>
          <w:p>
            <w:pPr>
              <w:jc w:val="right"/>
              <w:ind w:right="471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EXHIBIT 10.1</w:t>
      </w:r>
    </w:p>
    <w:p>
      <w:pPr>
        <w:spacing w:after="0" w:line="322" w:lineRule="exact"/>
        <w:rPr>
          <w:sz w:val="20"/>
          <w:szCs w:val="20"/>
          <w:color w:val="auto"/>
        </w:rPr>
      </w:pPr>
    </w:p>
    <w:p>
      <w:pPr>
        <w:ind w:left="3040"/>
        <w:spacing w:after="0"/>
        <w:rPr>
          <w:sz w:val="20"/>
          <w:szCs w:val="20"/>
          <w:color w:val="auto"/>
        </w:rPr>
      </w:pPr>
      <w:r>
        <w:rPr>
          <w:rFonts w:ascii="Arial" w:cs="Arial" w:eastAsia="Arial" w:hAnsi="Arial"/>
          <w:sz w:val="21"/>
          <w:szCs w:val="21"/>
          <w:b w:val="1"/>
          <w:bCs w:val="1"/>
          <w:u w:val="single" w:color="auto"/>
          <w:color w:val="212121"/>
        </w:rPr>
        <w:t>FOURTH AMENDMENT TO LEASE AGREEMENT</w:t>
      </w:r>
    </w:p>
    <w:p>
      <w:pPr>
        <w:spacing w:after="0" w:line="200" w:lineRule="exact"/>
        <w:rPr>
          <w:sz w:val="20"/>
          <w:szCs w:val="20"/>
          <w:color w:val="auto"/>
        </w:rPr>
      </w:pPr>
    </w:p>
    <w:p>
      <w:pPr>
        <w:spacing w:after="0" w:line="329" w:lineRule="exact"/>
        <w:rPr>
          <w:sz w:val="20"/>
          <w:szCs w:val="20"/>
          <w:color w:val="auto"/>
        </w:rPr>
      </w:pPr>
    </w:p>
    <w:p>
      <w:pPr>
        <w:ind w:left="2000"/>
        <w:spacing w:after="0"/>
        <w:rPr>
          <w:sz w:val="20"/>
          <w:szCs w:val="20"/>
          <w:color w:val="auto"/>
        </w:rPr>
      </w:pPr>
      <w:r>
        <w:rPr>
          <w:rFonts w:ascii="Arial" w:cs="Arial" w:eastAsia="Arial" w:hAnsi="Arial"/>
          <w:sz w:val="21"/>
          <w:szCs w:val="21"/>
          <w:color w:val="212121"/>
        </w:rPr>
        <w:t xml:space="preserve">This </w:t>
      </w:r>
      <w:r>
        <w:rPr>
          <w:rFonts w:ascii="Arial" w:cs="Arial" w:eastAsia="Arial" w:hAnsi="Arial"/>
          <w:sz w:val="19"/>
          <w:szCs w:val="19"/>
          <w:b w:val="1"/>
          <w:bCs w:val="1"/>
          <w:color w:val="212121"/>
        </w:rPr>
        <w:t>FOURTH AMENDMENT TO LEASE AGREEMENT</w:t>
      </w:r>
      <w:r>
        <w:rPr>
          <w:rFonts w:ascii="Arial" w:cs="Arial" w:eastAsia="Arial" w:hAnsi="Arial"/>
          <w:sz w:val="21"/>
          <w:szCs w:val="21"/>
          <w:color w:val="212121"/>
        </w:rPr>
        <w:t xml:space="preserve"> </w:t>
      </w:r>
      <w:r>
        <w:rPr>
          <w:rFonts w:ascii="Arial" w:cs="Arial" w:eastAsia="Arial" w:hAnsi="Arial"/>
          <w:sz w:val="18"/>
          <w:szCs w:val="18"/>
          <w:b w:val="1"/>
          <w:bCs w:val="1"/>
          <w:i w:val="1"/>
          <w:iCs w:val="1"/>
          <w:color w:val="212121"/>
        </w:rPr>
        <w:t>("Amendment")</w:t>
      </w:r>
      <w:r>
        <w:rPr>
          <w:rFonts w:ascii="Arial" w:cs="Arial" w:eastAsia="Arial" w:hAnsi="Arial"/>
          <w:sz w:val="21"/>
          <w:szCs w:val="21"/>
          <w:color w:val="212121"/>
        </w:rPr>
        <w:t xml:space="preserve"> is entered into as of the </w:t>
      </w:r>
      <w:r>
        <w:rPr>
          <w:rFonts w:ascii="Arial" w:cs="Arial" w:eastAsia="Arial" w:hAnsi="Arial"/>
          <w:sz w:val="21"/>
          <w:szCs w:val="21"/>
          <w:b w:val="1"/>
          <w:bCs w:val="1"/>
          <w:u w:val="single" w:color="auto"/>
          <w:color w:val="212121"/>
        </w:rPr>
        <w:t>2</w:t>
      </w:r>
      <w:r>
        <w:rPr>
          <w:rFonts w:ascii="Arial" w:cs="Arial" w:eastAsia="Arial" w:hAnsi="Arial"/>
          <w:sz w:val="21"/>
          <w:szCs w:val="21"/>
          <w:b w:val="1"/>
          <w:bCs w:val="1"/>
          <w:color w:val="212121"/>
        </w:rPr>
        <w:t>1</w:t>
      </w:r>
      <w:r>
        <w:rPr>
          <w:rFonts w:ascii="Arial" w:cs="Arial" w:eastAsia="Arial" w:hAnsi="Arial"/>
          <w:sz w:val="21"/>
          <w:szCs w:val="21"/>
          <w:color w:val="212121"/>
        </w:rPr>
        <w:t xml:space="preserve"> day</w:t>
      </w:r>
    </w:p>
    <w:p>
      <w:pPr>
        <w:spacing w:after="0" w:line="92" w:lineRule="exact"/>
        <w:rPr>
          <w:sz w:val="20"/>
          <w:szCs w:val="20"/>
          <w:color w:val="auto"/>
        </w:rPr>
      </w:pPr>
    </w:p>
    <w:p>
      <w:pPr>
        <w:ind w:left="2000" w:right="280"/>
        <w:spacing w:after="0" w:line="344" w:lineRule="auto"/>
        <w:rPr>
          <w:sz w:val="20"/>
          <w:szCs w:val="20"/>
          <w:color w:val="auto"/>
        </w:rPr>
      </w:pPr>
      <w:r>
        <w:rPr>
          <w:rFonts w:ascii="Arial" w:cs="Arial" w:eastAsia="Arial" w:hAnsi="Arial"/>
          <w:sz w:val="21"/>
          <w:szCs w:val="21"/>
          <w:color w:val="212121"/>
        </w:rPr>
        <w:t xml:space="preserve">of </w:t>
      </w:r>
      <w:r>
        <w:rPr>
          <w:rFonts w:ascii="Arial" w:cs="Arial" w:eastAsia="Arial" w:hAnsi="Arial"/>
          <w:sz w:val="18"/>
          <w:szCs w:val="18"/>
          <w:b w:val="1"/>
          <w:bCs w:val="1"/>
          <w:i w:val="1"/>
          <w:iCs w:val="1"/>
          <w:color w:val="212121"/>
        </w:rPr>
        <w:t>May</w:t>
      </w:r>
      <w:r>
        <w:rPr>
          <w:rFonts w:ascii="Arial" w:cs="Arial" w:eastAsia="Arial" w:hAnsi="Arial"/>
          <w:sz w:val="21"/>
          <w:szCs w:val="21"/>
          <w:color w:val="212121"/>
        </w:rPr>
        <w:t xml:space="preserve"> </w:t>
      </w:r>
      <w:r>
        <w:rPr>
          <w:rFonts w:ascii="Arial" w:cs="Arial" w:eastAsia="Arial" w:hAnsi="Arial"/>
          <w:sz w:val="22"/>
          <w:szCs w:val="22"/>
          <w:color w:val="525252"/>
        </w:rPr>
        <w:t>,</w:t>
      </w:r>
      <w:r>
        <w:rPr>
          <w:rFonts w:ascii="Arial" w:cs="Arial" w:eastAsia="Arial" w:hAnsi="Arial"/>
          <w:sz w:val="21"/>
          <w:szCs w:val="21"/>
          <w:color w:val="212121"/>
        </w:rPr>
        <w:t xml:space="preserve"> 2017 (the </w:t>
      </w:r>
      <w:r>
        <w:rPr>
          <w:rFonts w:ascii="Arial" w:cs="Arial" w:eastAsia="Arial" w:hAnsi="Arial"/>
          <w:sz w:val="18"/>
          <w:szCs w:val="18"/>
          <w:b w:val="1"/>
          <w:bCs w:val="1"/>
          <w:i w:val="1"/>
          <w:iCs w:val="1"/>
          <w:color w:val="212121"/>
        </w:rPr>
        <w:t>"Effective Date")</w:t>
      </w:r>
      <w:r>
        <w:rPr>
          <w:rFonts w:ascii="Arial" w:cs="Arial" w:eastAsia="Arial" w:hAnsi="Arial"/>
          <w:sz w:val="21"/>
          <w:szCs w:val="21"/>
          <w:color w:val="212121"/>
        </w:rPr>
        <w:t xml:space="preserve"> by and between </w:t>
      </w:r>
      <w:r>
        <w:rPr>
          <w:rFonts w:ascii="Arial" w:cs="Arial" w:eastAsia="Arial" w:hAnsi="Arial"/>
          <w:sz w:val="19"/>
          <w:szCs w:val="19"/>
          <w:b w:val="1"/>
          <w:bCs w:val="1"/>
          <w:color w:val="212121"/>
        </w:rPr>
        <w:t>RNSI City Place Owner, LLC,</w:t>
      </w:r>
      <w:r>
        <w:rPr>
          <w:rFonts w:ascii="Arial" w:cs="Arial" w:eastAsia="Arial" w:hAnsi="Arial"/>
          <w:sz w:val="21"/>
          <w:szCs w:val="21"/>
          <w:color w:val="212121"/>
        </w:rPr>
        <w:t xml:space="preserve"> a Delaware limited liability company </w:t>
      </w:r>
      <w:r>
        <w:rPr>
          <w:rFonts w:ascii="Arial" w:cs="Arial" w:eastAsia="Arial" w:hAnsi="Arial"/>
          <w:sz w:val="18"/>
          <w:szCs w:val="18"/>
          <w:b w:val="1"/>
          <w:bCs w:val="1"/>
          <w:i w:val="1"/>
          <w:iCs w:val="1"/>
          <w:color w:val="212121"/>
        </w:rPr>
        <w:t>("Landlord''),</w:t>
      </w:r>
      <w:r>
        <w:rPr>
          <w:rFonts w:ascii="Arial" w:cs="Arial" w:eastAsia="Arial" w:hAnsi="Arial"/>
          <w:sz w:val="21"/>
          <w:szCs w:val="21"/>
          <w:color w:val="212121"/>
        </w:rPr>
        <w:t xml:space="preserve"> and </w:t>
      </w:r>
      <w:r>
        <w:rPr>
          <w:rFonts w:ascii="Arial" w:cs="Arial" w:eastAsia="Arial" w:hAnsi="Arial"/>
          <w:sz w:val="19"/>
          <w:szCs w:val="19"/>
          <w:b w:val="1"/>
          <w:bCs w:val="1"/>
          <w:color w:val="212121"/>
        </w:rPr>
        <w:t>Cejka Search, Inc.,</w:t>
      </w:r>
      <w:r>
        <w:rPr>
          <w:rFonts w:ascii="Arial" w:cs="Arial" w:eastAsia="Arial" w:hAnsi="Arial"/>
          <w:sz w:val="21"/>
          <w:szCs w:val="21"/>
          <w:color w:val="212121"/>
        </w:rPr>
        <w:t xml:space="preserve"> a Delaware corporation </w:t>
      </w:r>
      <w:r>
        <w:rPr>
          <w:rFonts w:ascii="Arial" w:cs="Arial" w:eastAsia="Arial" w:hAnsi="Arial"/>
          <w:sz w:val="18"/>
          <w:szCs w:val="18"/>
          <w:b w:val="1"/>
          <w:bCs w:val="1"/>
          <w:i w:val="1"/>
          <w:iCs w:val="1"/>
          <w:color w:val="212121"/>
        </w:rPr>
        <w:t>("Tenant").</w:t>
      </w:r>
    </w:p>
    <w:p>
      <w:pPr>
        <w:spacing w:after="0" w:line="386" w:lineRule="exact"/>
        <w:rPr>
          <w:sz w:val="20"/>
          <w:szCs w:val="20"/>
          <w:color w:val="auto"/>
        </w:rPr>
      </w:pPr>
    </w:p>
    <w:p>
      <w:pPr>
        <w:jc w:val="both"/>
        <w:ind w:left="1380" w:firstLine="648"/>
        <w:spacing w:after="0" w:line="299" w:lineRule="auto"/>
        <w:rPr>
          <w:sz w:val="20"/>
          <w:szCs w:val="20"/>
          <w:color w:val="auto"/>
        </w:rPr>
      </w:pPr>
      <w:r>
        <w:rPr>
          <w:rFonts w:ascii="Arial" w:cs="Arial" w:eastAsia="Arial" w:hAnsi="Arial"/>
          <w:sz w:val="19"/>
          <w:szCs w:val="19"/>
          <w:b w:val="1"/>
          <w:bCs w:val="1"/>
          <w:color w:val="212121"/>
        </w:rPr>
        <w:t xml:space="preserve">WHEREAS, </w:t>
      </w:r>
      <w:r>
        <w:rPr>
          <w:rFonts w:ascii="Arial" w:cs="Arial" w:eastAsia="Arial" w:hAnsi="Arial"/>
          <w:sz w:val="19"/>
          <w:szCs w:val="19"/>
          <w:color w:val="212121"/>
        </w:rPr>
        <w:t>Landlord (as successor in interest to Cornerstone Opportunity Ventures, LLC) and Tenant are</w:t>
      </w:r>
      <w:r>
        <w:rPr>
          <w:rFonts w:ascii="Arial" w:cs="Arial" w:eastAsia="Arial" w:hAnsi="Arial"/>
          <w:sz w:val="19"/>
          <w:szCs w:val="19"/>
          <w:b w:val="1"/>
          <w:bCs w:val="1"/>
          <w:color w:val="212121"/>
        </w:rPr>
        <w:t xml:space="preserve"> </w:t>
      </w:r>
      <w:r>
        <w:rPr>
          <w:rFonts w:ascii="Arial" w:cs="Arial" w:eastAsia="Arial" w:hAnsi="Arial"/>
          <w:sz w:val="19"/>
          <w:szCs w:val="19"/>
          <w:color w:val="212121"/>
        </w:rPr>
        <w:t xml:space="preserve">parties to that certain Lease Agreement dated as of February 2, 2007, as amended by that certain First Amendment to Lease Agreement dated September </w:t>
      </w:r>
      <w:r>
        <w:rPr>
          <w:rFonts w:ascii="Arial" w:cs="Arial" w:eastAsia="Arial" w:hAnsi="Arial"/>
          <w:sz w:val="17"/>
          <w:szCs w:val="17"/>
          <w:b w:val="1"/>
          <w:bCs w:val="1"/>
          <w:color w:val="212121"/>
        </w:rPr>
        <w:t>1,</w:t>
      </w:r>
      <w:r>
        <w:rPr>
          <w:rFonts w:ascii="Arial" w:cs="Arial" w:eastAsia="Arial" w:hAnsi="Arial"/>
          <w:sz w:val="19"/>
          <w:szCs w:val="19"/>
          <w:color w:val="212121"/>
        </w:rPr>
        <w:t xml:space="preserve"> 2007, as amended by that certain Second Amendment to Lease Agreement dated September 26, 2011, and as further amended by that certain Third Amendment to Lease Agreement dated December 2, 2015 (collectively, the </w:t>
      </w:r>
      <w:r>
        <w:rPr>
          <w:rFonts w:ascii="Arial" w:cs="Arial" w:eastAsia="Arial" w:hAnsi="Arial"/>
          <w:sz w:val="17"/>
          <w:szCs w:val="17"/>
          <w:b w:val="1"/>
          <w:bCs w:val="1"/>
          <w:i w:val="1"/>
          <w:iCs w:val="1"/>
          <w:color w:val="212121"/>
        </w:rPr>
        <w:t>"Lease"),</w:t>
      </w:r>
      <w:r>
        <w:rPr>
          <w:rFonts w:ascii="Arial" w:cs="Arial" w:eastAsia="Arial" w:hAnsi="Arial"/>
          <w:sz w:val="19"/>
          <w:szCs w:val="19"/>
          <w:color w:val="212121"/>
        </w:rPr>
        <w:t xml:space="preserve"> for the use and occupancy of certain premises by Tenant known as Suite 300 and constituting 27,051 rentable square feet (the </w:t>
      </w:r>
      <w:r>
        <w:rPr>
          <w:rFonts w:ascii="Arial" w:cs="Arial" w:eastAsia="Arial" w:hAnsi="Arial"/>
          <w:sz w:val="17"/>
          <w:szCs w:val="17"/>
          <w:b w:val="1"/>
          <w:bCs w:val="1"/>
          <w:i w:val="1"/>
          <w:iCs w:val="1"/>
          <w:color w:val="212121"/>
        </w:rPr>
        <w:t>"Demised Premises"),</w:t>
      </w:r>
      <w:r>
        <w:rPr>
          <w:rFonts w:ascii="Arial" w:cs="Arial" w:eastAsia="Arial" w:hAnsi="Arial"/>
          <w:sz w:val="19"/>
          <w:szCs w:val="19"/>
          <w:color w:val="212121"/>
        </w:rPr>
        <w:t xml:space="preserve"> within the office building commonly referred to as CityPlace 4 located at 4 CityPlace Drive, St. Louis, Missouri (the </w:t>
      </w:r>
      <w:r>
        <w:rPr>
          <w:rFonts w:ascii="Arial" w:cs="Arial" w:eastAsia="Arial" w:hAnsi="Arial"/>
          <w:sz w:val="17"/>
          <w:szCs w:val="17"/>
          <w:b w:val="1"/>
          <w:bCs w:val="1"/>
          <w:i w:val="1"/>
          <w:iCs w:val="1"/>
          <w:color w:val="212121"/>
        </w:rPr>
        <w:t>"Building");</w:t>
      </w:r>
    </w:p>
    <w:p>
      <w:pPr>
        <w:spacing w:after="0" w:line="201" w:lineRule="exact"/>
        <w:rPr>
          <w:sz w:val="20"/>
          <w:szCs w:val="20"/>
          <w:color w:val="auto"/>
        </w:rPr>
      </w:pPr>
    </w:p>
    <w:p>
      <w:pPr>
        <w:jc w:val="both"/>
        <w:ind w:left="1380" w:firstLine="648"/>
        <w:spacing w:after="0" w:line="287" w:lineRule="auto"/>
        <w:rPr>
          <w:sz w:val="20"/>
          <w:szCs w:val="20"/>
          <w:color w:val="auto"/>
        </w:rPr>
      </w:pPr>
      <w:r>
        <w:rPr>
          <w:rFonts w:ascii="Arial" w:cs="Arial" w:eastAsia="Arial" w:hAnsi="Arial"/>
          <w:sz w:val="21"/>
          <w:szCs w:val="21"/>
          <w:b w:val="1"/>
          <w:bCs w:val="1"/>
          <w:color w:val="212121"/>
        </w:rPr>
        <w:t xml:space="preserve">WHEREAS, </w:t>
      </w:r>
      <w:r>
        <w:rPr>
          <w:rFonts w:ascii="Arial" w:cs="Arial" w:eastAsia="Arial" w:hAnsi="Arial"/>
          <w:sz w:val="21"/>
          <w:szCs w:val="21"/>
          <w:color w:val="212121"/>
        </w:rPr>
        <w:t>Landlord and Tenant desire to make certain modifications to the Lease as contemplated herein</w:t>
      </w:r>
      <w:r>
        <w:rPr>
          <w:rFonts w:ascii="Arial" w:cs="Arial" w:eastAsia="Arial" w:hAnsi="Arial"/>
          <w:sz w:val="21"/>
          <w:szCs w:val="21"/>
          <w:b w:val="1"/>
          <w:bCs w:val="1"/>
          <w:color w:val="212121"/>
        </w:rPr>
        <w:t xml:space="preserve"> </w:t>
      </w:r>
      <w:r>
        <w:rPr>
          <w:rFonts w:ascii="Arial" w:cs="Arial" w:eastAsia="Arial" w:hAnsi="Arial"/>
          <w:sz w:val="21"/>
          <w:szCs w:val="21"/>
          <w:color w:val="212121"/>
        </w:rPr>
        <w:t>below; and</w:t>
      </w:r>
    </w:p>
    <w:p>
      <w:pPr>
        <w:spacing w:after="0" w:line="179" w:lineRule="exact"/>
        <w:rPr>
          <w:sz w:val="20"/>
          <w:szCs w:val="20"/>
          <w:color w:val="auto"/>
        </w:rPr>
      </w:pPr>
    </w:p>
    <w:p>
      <w:pPr>
        <w:jc w:val="both"/>
        <w:ind w:left="1380" w:right="20" w:firstLine="648"/>
        <w:spacing w:after="0" w:line="287" w:lineRule="auto"/>
        <w:rPr>
          <w:sz w:val="20"/>
          <w:szCs w:val="20"/>
          <w:color w:val="auto"/>
        </w:rPr>
      </w:pPr>
      <w:r>
        <w:rPr>
          <w:rFonts w:ascii="Arial" w:cs="Arial" w:eastAsia="Arial" w:hAnsi="Arial"/>
          <w:sz w:val="21"/>
          <w:szCs w:val="21"/>
          <w:b w:val="1"/>
          <w:bCs w:val="1"/>
          <w:color w:val="212121"/>
        </w:rPr>
        <w:t xml:space="preserve">WHEREAS, </w:t>
      </w:r>
      <w:r>
        <w:rPr>
          <w:rFonts w:ascii="Arial" w:cs="Arial" w:eastAsia="Arial" w:hAnsi="Arial"/>
          <w:sz w:val="21"/>
          <w:szCs w:val="21"/>
          <w:color w:val="212121"/>
        </w:rPr>
        <w:t>words and phrases having defined meanings in the Lease shall have the same respective</w:t>
      </w:r>
      <w:r>
        <w:rPr>
          <w:rFonts w:ascii="Arial" w:cs="Arial" w:eastAsia="Arial" w:hAnsi="Arial"/>
          <w:sz w:val="21"/>
          <w:szCs w:val="21"/>
          <w:b w:val="1"/>
          <w:bCs w:val="1"/>
          <w:color w:val="212121"/>
        </w:rPr>
        <w:t xml:space="preserve"> </w:t>
      </w:r>
      <w:r>
        <w:rPr>
          <w:rFonts w:ascii="Arial" w:cs="Arial" w:eastAsia="Arial" w:hAnsi="Arial"/>
          <w:sz w:val="21"/>
          <w:szCs w:val="21"/>
          <w:color w:val="212121"/>
        </w:rPr>
        <w:t>meanings when used herein, unless otherwise expressly defined herein.</w:t>
      </w:r>
    </w:p>
    <w:p>
      <w:pPr>
        <w:spacing w:after="0" w:line="179" w:lineRule="exact"/>
        <w:rPr>
          <w:sz w:val="20"/>
          <w:szCs w:val="20"/>
          <w:color w:val="auto"/>
        </w:rPr>
      </w:pPr>
    </w:p>
    <w:p>
      <w:pPr>
        <w:jc w:val="both"/>
        <w:ind w:left="1380" w:firstLine="621"/>
        <w:spacing w:after="0" w:line="287" w:lineRule="auto"/>
        <w:rPr>
          <w:sz w:val="20"/>
          <w:szCs w:val="20"/>
          <w:color w:val="auto"/>
        </w:rPr>
      </w:pPr>
      <w:r>
        <w:rPr>
          <w:rFonts w:ascii="Arial" w:cs="Arial" w:eastAsia="Arial" w:hAnsi="Arial"/>
          <w:sz w:val="21"/>
          <w:szCs w:val="21"/>
          <w:b w:val="1"/>
          <w:bCs w:val="1"/>
          <w:color w:val="212121"/>
        </w:rPr>
        <w:t xml:space="preserve">NOW THEREFORE, </w:t>
      </w:r>
      <w:r>
        <w:rPr>
          <w:rFonts w:ascii="Arial" w:cs="Arial" w:eastAsia="Arial" w:hAnsi="Arial"/>
          <w:sz w:val="21"/>
          <w:szCs w:val="21"/>
          <w:color w:val="212121"/>
        </w:rPr>
        <w:t>in consideration of the premises and mutual agreements set forth herein, the parties</w:t>
      </w:r>
      <w:r>
        <w:rPr>
          <w:rFonts w:ascii="Arial" w:cs="Arial" w:eastAsia="Arial" w:hAnsi="Arial"/>
          <w:sz w:val="21"/>
          <w:szCs w:val="21"/>
          <w:b w:val="1"/>
          <w:bCs w:val="1"/>
          <w:color w:val="212121"/>
        </w:rPr>
        <w:t xml:space="preserve"> </w:t>
      </w:r>
      <w:r>
        <w:rPr>
          <w:rFonts w:ascii="Arial" w:cs="Arial" w:eastAsia="Arial" w:hAnsi="Arial"/>
          <w:sz w:val="21"/>
          <w:szCs w:val="21"/>
          <w:color w:val="212121"/>
        </w:rPr>
        <w:t>agree as follows:</w:t>
      </w:r>
    </w:p>
    <w:p>
      <w:pPr>
        <w:spacing w:after="0" w:line="179" w:lineRule="exact"/>
        <w:rPr>
          <w:sz w:val="20"/>
          <w:szCs w:val="20"/>
          <w:color w:val="auto"/>
        </w:rPr>
      </w:pPr>
    </w:p>
    <w:p>
      <w:pPr>
        <w:jc w:val="both"/>
        <w:ind w:left="1380" w:right="20" w:firstLine="640"/>
        <w:spacing w:after="0" w:line="312" w:lineRule="auto"/>
        <w:tabs>
          <w:tab w:leader="none" w:pos="2737" w:val="left"/>
        </w:tabs>
        <w:numPr>
          <w:ilvl w:val="0"/>
          <w:numId w:val="18"/>
        </w:numPr>
        <w:rPr>
          <w:rFonts w:ascii="Arial" w:cs="Arial" w:eastAsia="Arial" w:hAnsi="Arial"/>
          <w:sz w:val="19"/>
          <w:szCs w:val="19"/>
          <w:b w:val="1"/>
          <w:bCs w:val="1"/>
          <w:color w:val="auto"/>
        </w:rPr>
      </w:pPr>
      <w:r>
        <w:rPr>
          <w:rFonts w:ascii="Arial" w:cs="Arial" w:eastAsia="Arial" w:hAnsi="Arial"/>
          <w:sz w:val="19"/>
          <w:szCs w:val="19"/>
          <w:b w:val="1"/>
          <w:bCs w:val="1"/>
          <w:color w:val="212121"/>
        </w:rPr>
        <w:t xml:space="preserve">Tenant Improvement Allowance. </w:t>
      </w:r>
      <w:r>
        <w:rPr>
          <w:rFonts w:ascii="Arial" w:cs="Arial" w:eastAsia="Arial" w:hAnsi="Arial"/>
          <w:sz w:val="19"/>
          <w:szCs w:val="19"/>
          <w:color w:val="212121"/>
        </w:rPr>
        <w:t>Notwithstanding anything contained in Paragraph 6 of the Third</w:t>
      </w:r>
      <w:r>
        <w:rPr>
          <w:rFonts w:ascii="Arial" w:cs="Arial" w:eastAsia="Arial" w:hAnsi="Arial"/>
          <w:sz w:val="19"/>
          <w:szCs w:val="19"/>
          <w:b w:val="1"/>
          <w:bCs w:val="1"/>
          <w:color w:val="212121"/>
        </w:rPr>
        <w:t xml:space="preserve"> </w:t>
      </w:r>
      <w:r>
        <w:rPr>
          <w:rFonts w:ascii="Arial" w:cs="Arial" w:eastAsia="Arial" w:hAnsi="Arial"/>
          <w:sz w:val="19"/>
          <w:szCs w:val="19"/>
          <w:color w:val="212121"/>
        </w:rPr>
        <w:t>Amendment to Lease Agreement to the contrary, the Tenant Improvement Allowance may be utilized for costs of Tenant Improvements up to four (4) months after approval of the Tenant Improvements by the City of Creve Coeur.</w:t>
      </w:r>
    </w:p>
    <w:p>
      <w:pPr>
        <w:spacing w:after="0" w:line="160" w:lineRule="exact"/>
        <w:rPr>
          <w:rFonts w:ascii="Arial" w:cs="Arial" w:eastAsia="Arial" w:hAnsi="Arial"/>
          <w:sz w:val="19"/>
          <w:szCs w:val="19"/>
          <w:b w:val="1"/>
          <w:bCs w:val="1"/>
          <w:color w:val="auto"/>
        </w:rPr>
      </w:pPr>
    </w:p>
    <w:p>
      <w:pPr>
        <w:jc w:val="both"/>
        <w:ind w:left="1380" w:firstLine="640"/>
        <w:spacing w:after="0" w:line="272" w:lineRule="auto"/>
        <w:tabs>
          <w:tab w:leader="none" w:pos="2744" w:val="left"/>
        </w:tabs>
        <w:numPr>
          <w:ilvl w:val="0"/>
          <w:numId w:val="18"/>
        </w:numPr>
        <w:rPr>
          <w:rFonts w:ascii="Arial" w:cs="Arial" w:eastAsia="Arial" w:hAnsi="Arial"/>
          <w:sz w:val="21"/>
          <w:szCs w:val="21"/>
          <w:b w:val="1"/>
          <w:bCs w:val="1"/>
          <w:color w:val="auto"/>
        </w:rPr>
      </w:pPr>
      <w:r>
        <w:rPr>
          <w:rFonts w:ascii="Arial" w:cs="Arial" w:eastAsia="Arial" w:hAnsi="Arial"/>
          <w:sz w:val="20"/>
          <w:szCs w:val="20"/>
          <w:b w:val="1"/>
          <w:bCs w:val="1"/>
          <w:color w:val="212121"/>
        </w:rPr>
        <w:t xml:space="preserve">Miscellaneous. </w:t>
      </w:r>
      <w:r>
        <w:rPr>
          <w:rFonts w:ascii="Arial" w:cs="Arial" w:eastAsia="Arial" w:hAnsi="Arial"/>
          <w:sz w:val="20"/>
          <w:szCs w:val="20"/>
          <w:color w:val="212121"/>
        </w:rPr>
        <w:t>This Amendment may be executed in counterparts, all of which shall be construed</w:t>
      </w:r>
      <w:r>
        <w:rPr>
          <w:rFonts w:ascii="Arial" w:cs="Arial" w:eastAsia="Arial" w:hAnsi="Arial"/>
          <w:sz w:val="20"/>
          <w:szCs w:val="20"/>
          <w:b w:val="1"/>
          <w:bCs w:val="1"/>
          <w:color w:val="212121"/>
        </w:rPr>
        <w:t xml:space="preserve"> </w:t>
      </w:r>
      <w:r>
        <w:rPr>
          <w:rFonts w:ascii="Arial" w:cs="Arial" w:eastAsia="Arial" w:hAnsi="Arial"/>
          <w:sz w:val="20"/>
          <w:szCs w:val="20"/>
          <w:color w:val="212121"/>
        </w:rPr>
        <w:t>as an original, and all of which together shall constitute but a single instrument. This Amendment shall be interpreted in accordance with the laws of the State of Missouri. If any portion of this Amendment shall be deemed unenforceable, the remainder of this Amendment shall remain in full force and effect to the fullest extent possible. Except as specifically set forth herein, the Lease remains unchanged. Landlord and Tenant hereby confirm and ratify each and every term of the Lease, including the terms amended pursuant to this Amendment. In the event of an inconsistency between this Amendment and the Lease, and any exhibits, or conditions referred to in the Lease, the terms of this Amendment shall prevail to the extent of the matters addressed herein.</w:t>
      </w:r>
    </w:p>
    <w:p>
      <w:pPr>
        <w:sectPr>
          <w:pgSz w:w="11900" w:h="16838" w:orient="portrait"/>
          <w:cols w:equalWidth="0" w:num="1">
            <w:col w:w="11420"/>
          </w:cols>
          <w:pgMar w:left="240" w:top="121"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EXHIBIT 10.1</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21"/>
          <w:szCs w:val="21"/>
          <w:b w:val="1"/>
          <w:bCs w:val="1"/>
          <w:u w:val="single" w:color="auto"/>
          <w:color w:val="262626"/>
        </w:rPr>
        <w:t>SIGNATURE PAGE TO FOURTH AMENDMENT TO LEASE AGREEMENT</w:t>
      </w:r>
    </w:p>
    <w:p>
      <w:pPr>
        <w:spacing w:after="0" w:line="272" w:lineRule="exact"/>
        <w:rPr>
          <w:sz w:val="20"/>
          <w:szCs w:val="20"/>
          <w:color w:val="auto"/>
        </w:rPr>
      </w:pPr>
    </w:p>
    <w:p>
      <w:pPr>
        <w:ind w:left="1380" w:firstLine="621"/>
        <w:spacing w:after="0" w:line="283" w:lineRule="auto"/>
        <w:rPr>
          <w:sz w:val="20"/>
          <w:szCs w:val="20"/>
          <w:color w:val="auto"/>
        </w:rPr>
      </w:pPr>
      <w:r>
        <w:rPr>
          <w:rFonts w:ascii="Arial" w:cs="Arial" w:eastAsia="Arial" w:hAnsi="Arial"/>
          <w:sz w:val="21"/>
          <w:szCs w:val="21"/>
          <w:b w:val="1"/>
          <w:bCs w:val="1"/>
          <w:color w:val="262626"/>
        </w:rPr>
        <w:t xml:space="preserve">IN WITNESS WHEREOF, </w:t>
      </w:r>
      <w:r>
        <w:rPr>
          <w:rFonts w:ascii="Arial" w:cs="Arial" w:eastAsia="Arial" w:hAnsi="Arial"/>
          <w:sz w:val="21"/>
          <w:szCs w:val="21"/>
          <w:color w:val="262626"/>
        </w:rPr>
        <w:t>Landlord and Tenant have signed and dated this Amendment as of the date first set</w:t>
      </w:r>
      <w:r>
        <w:rPr>
          <w:rFonts w:ascii="Arial" w:cs="Arial" w:eastAsia="Arial" w:hAnsi="Arial"/>
          <w:sz w:val="21"/>
          <w:szCs w:val="21"/>
          <w:b w:val="1"/>
          <w:bCs w:val="1"/>
          <w:color w:val="262626"/>
        </w:rPr>
        <w:t xml:space="preserve"> </w:t>
      </w:r>
      <w:r>
        <w:rPr>
          <w:rFonts w:ascii="Arial" w:cs="Arial" w:eastAsia="Arial" w:hAnsi="Arial"/>
          <w:sz w:val="21"/>
          <w:szCs w:val="21"/>
          <w:color w:val="262626"/>
        </w:rPr>
        <w:t>forth hereinabove.</w:t>
      </w:r>
    </w:p>
    <w:p>
      <w:pPr>
        <w:spacing w:after="0" w:line="227" w:lineRule="exact"/>
        <w:rPr>
          <w:sz w:val="20"/>
          <w:szCs w:val="20"/>
          <w:color w:val="auto"/>
        </w:rPr>
      </w:pPr>
    </w:p>
    <w:p>
      <w:pPr>
        <w:ind w:left="1380"/>
        <w:spacing w:after="0"/>
        <w:rPr>
          <w:sz w:val="20"/>
          <w:szCs w:val="20"/>
          <w:color w:val="auto"/>
        </w:rPr>
      </w:pPr>
      <w:r>
        <w:rPr>
          <w:rFonts w:ascii="Arial" w:cs="Arial" w:eastAsia="Arial" w:hAnsi="Arial"/>
          <w:sz w:val="21"/>
          <w:szCs w:val="21"/>
          <w:b w:val="1"/>
          <w:bCs w:val="1"/>
          <w:color w:val="262626"/>
        </w:rPr>
        <w:t>TENANT:</w:t>
      </w:r>
    </w:p>
    <w:p>
      <w:pPr>
        <w:spacing w:after="0" w:line="345"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 xml:space="preserve">CEJKA </w:t>
      </w:r>
      <w:r>
        <w:rPr>
          <w:rFonts w:ascii="Arial" w:cs="Arial" w:eastAsia="Arial" w:hAnsi="Arial"/>
          <w:sz w:val="21"/>
          <w:szCs w:val="21"/>
          <w:color w:val="363636"/>
        </w:rPr>
        <w:t>SEARCH, INC.</w:t>
      </w:r>
    </w:p>
    <w:p>
      <w:pPr>
        <w:spacing w:after="0" w:line="56"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By: /s/ William Burns</w:t>
      </w:r>
    </w:p>
    <w:p>
      <w:pPr>
        <w:spacing w:after="0" w:line="42"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 xml:space="preserve">Name: </w:t>
      </w:r>
      <w:r>
        <w:rPr>
          <w:rFonts w:ascii="Arial" w:cs="Arial" w:eastAsia="Arial" w:hAnsi="Arial"/>
          <w:sz w:val="21"/>
          <w:szCs w:val="21"/>
          <w:color w:val="363636"/>
        </w:rPr>
        <w:t>William Burns</w:t>
      </w:r>
    </w:p>
    <w:p>
      <w:pPr>
        <w:spacing w:after="0" w:line="42"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21"/>
          <w:szCs w:val="21"/>
          <w:color w:val="262626"/>
        </w:rPr>
        <w:t>Title:</w:t>
      </w:r>
      <w:r>
        <w:rPr>
          <w:sz w:val="20"/>
          <w:szCs w:val="20"/>
          <w:color w:val="auto"/>
        </w:rPr>
        <w:tab/>
      </w:r>
      <w:r>
        <w:rPr>
          <w:rFonts w:ascii="Arial" w:cs="Arial" w:eastAsia="Arial" w:hAnsi="Arial"/>
          <w:sz w:val="18"/>
          <w:szCs w:val="18"/>
          <w:color w:val="262626"/>
        </w:rPr>
        <w:t>CFO</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21"/>
          <w:szCs w:val="21"/>
          <w:b w:val="1"/>
          <w:bCs w:val="1"/>
          <w:color w:val="262626"/>
        </w:rPr>
        <w:t>LANDLORD:</w:t>
      </w:r>
    </w:p>
    <w:p>
      <w:pPr>
        <w:spacing w:after="0" w:line="345"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RNSI CITY PLACE OWNER,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86995</wp:posOffset>
            </wp:positionV>
            <wp:extent cx="104648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6480" cy="248920"/>
                    </a:xfrm>
                    <a:prstGeom prst="rect">
                      <a:avLst/>
                    </a:prstGeom>
                    <a:noFill/>
                  </pic:spPr>
                </pic:pic>
              </a:graphicData>
            </a:graphic>
          </wp:anchor>
        </w:drawing>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By:</w:t>
      </w:r>
    </w:p>
    <w:p>
      <w:pPr>
        <w:spacing w:after="0" w:line="150"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Name: Paul A. Stodulski,</w:t>
      </w:r>
    </w:p>
    <w:p>
      <w:pPr>
        <w:spacing w:after="0" w:line="245" w:lineRule="exact"/>
        <w:rPr>
          <w:sz w:val="20"/>
          <w:szCs w:val="20"/>
          <w:color w:val="auto"/>
        </w:rPr>
      </w:pPr>
    </w:p>
    <w:p>
      <w:pPr>
        <w:ind w:left="1380"/>
        <w:spacing w:after="0"/>
        <w:rPr>
          <w:sz w:val="20"/>
          <w:szCs w:val="20"/>
          <w:color w:val="auto"/>
        </w:rPr>
      </w:pPr>
      <w:r>
        <w:rPr>
          <w:rFonts w:ascii="Arial" w:cs="Arial" w:eastAsia="Arial" w:hAnsi="Arial"/>
          <w:sz w:val="21"/>
          <w:szCs w:val="21"/>
          <w:color w:val="262626"/>
        </w:rPr>
        <w:t>Its: Authorized Representative</w:t>
      </w:r>
    </w:p>
    <w:p>
      <w:pPr>
        <w:sectPr>
          <w:pgSz w:w="11900" w:h="16838" w:orient="portrait"/>
          <w:cols w:equalWidth="0" w:num="1">
            <w:col w:w="11300"/>
          </w:cols>
          <w:pgMar w:left="240" w:top="122"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William J. Grubbs, certify that:</w:t>
      </w:r>
    </w:p>
    <w:p>
      <w:pPr>
        <w:spacing w:after="0" w:line="200" w:lineRule="exact"/>
        <w:rPr>
          <w:sz w:val="20"/>
          <w:szCs w:val="20"/>
          <w:color w:val="auto"/>
        </w:rPr>
      </w:pPr>
    </w:p>
    <w:p>
      <w:pPr>
        <w:spacing w:after="0" w:line="22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Burns, certify that:</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Cross Country Healthcare,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In connection with the accompanying Quarterly Report on Form 10-Q of Cross Country Healthcare, Inc. (the Company) for the quarterly period ended September 30, 2017, (the "Periodic Report"), I, William J. Grubbs, President and Chief Executive Officer of the Company, hereby certify pursuant to</w:t>
      </w:r>
    </w:p>
    <w:p>
      <w:pPr>
        <w:jc w:val="both"/>
        <w:spacing w:after="0" w:line="255" w:lineRule="auto"/>
        <w:rPr>
          <w:sz w:val="20"/>
          <w:szCs w:val="20"/>
          <w:color w:val="auto"/>
        </w:rPr>
      </w:pPr>
      <w:r>
        <w:rPr>
          <w:rFonts w:ascii="Arial" w:cs="Arial" w:eastAsia="Arial" w:hAnsi="Arial"/>
          <w:sz w:val="18"/>
          <w:szCs w:val="18"/>
          <w:color w:val="auto"/>
        </w:rPr>
        <w:t>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2"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6"/>
          <w:szCs w:val="16"/>
          <w:color w:val="auto"/>
        </w:rPr>
        <w:t>/s/ William J. Grubbs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Grubbs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President, Chief Executive Officer, Director</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connection with the accompanying Quarterly Report on Form 10-Q of Cross Country Healthcare, Inc. (the "Company") for the quarterly period ended September 30, 2017, (the "Periodic Report"), I, William J. Burns, EVP &amp;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spacing w:after="0" w:line="350" w:lineRule="exact"/>
        <w:rPr>
          <w:sz w:val="20"/>
          <w:szCs w:val="20"/>
          <w:color w:val="auto"/>
        </w:rPr>
      </w:pPr>
    </w:p>
    <w:p>
      <w:pPr>
        <w:ind w:left="40"/>
        <w:spacing w:after="0"/>
        <w:tabs>
          <w:tab w:leader="none" w:pos="700" w:val="left"/>
          <w:tab w:leader="none" w:pos="3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3, 2017</w:t>
      </w:r>
      <w:r>
        <w:rPr>
          <w:sz w:val="20"/>
          <w:szCs w:val="20"/>
          <w:color w:val="auto"/>
        </w:rPr>
        <w:tab/>
      </w:r>
      <w:r>
        <w:rPr>
          <w:rFonts w:ascii="Arial" w:cs="Arial" w:eastAsia="Arial" w:hAnsi="Arial"/>
          <w:sz w:val="16"/>
          <w:szCs w:val="16"/>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31750</wp:posOffset>
            </wp:positionV>
            <wp:extent cx="5282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2565" cy="17145"/>
                    </a:xfrm>
                    <a:prstGeom prst="rect">
                      <a:avLst/>
                    </a:prstGeom>
                    <a:noFill/>
                  </pic:spPr>
                </pic:pic>
              </a:graphicData>
            </a:graphic>
          </wp:anchor>
        </w:drawing>
      </w:r>
    </w:p>
    <w:p>
      <w:pPr>
        <w:spacing w:after="0" w:line="7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William J. Burns</w:t>
      </w:r>
    </w:p>
    <w:p>
      <w:pPr>
        <w:spacing w:after="0" w:line="2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EVP &amp; Chief Financial Officer (Principal Accounting and Financial Officer)</w:t>
      </w:r>
    </w:p>
    <w:p>
      <w:pPr>
        <w:spacing w:after="0" w:line="23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certification is provided solely for purposes of complying with the provisions of Section 906 of the Sarbanes-Oxley Act of 2002.</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decimal"/>
      <w:start w:val="9"/>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decimal"/>
      <w:start w:val="1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1."/>
      <w:numFmt w:val="decimal"/>
      <w:start w:val="13"/>
    </w:lvl>
  </w:abstractNum>
  <w:abstractNum w:abstractNumId="12">
    <w:nsid w:val="4E6AFB66"/>
    <w:multiLevelType w:val="hybridMultilevel"/>
    <w:lvl w:ilvl="0">
      <w:lvlJc w:val="left"/>
      <w:lvlText w:val="%1)"/>
      <w:numFmt w:val="decimal"/>
      <w:start w:val="18"/>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2019-12-29T03:27:33Z</dcterms:created>
  <dcterms:modified xsi:type="dcterms:W3CDTF">2019-12-29T03:27:33Z</dcterms:modified>
</cp:coreProperties>
</file>