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29"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w:t>
      </w:r>
    </w:p>
    <w:p>
      <w:pPr>
        <w:spacing w:after="0" w:line="103" w:lineRule="exact"/>
        <w:rPr>
          <w:sz w:val="24"/>
          <w:szCs w:val="24"/>
          <w:color w:val="auto"/>
        </w:rPr>
      </w:pPr>
    </w:p>
    <w:p>
      <w:pPr>
        <w:ind w:left="3960" w:right="2100" w:hanging="1481"/>
        <w:spacing w:after="0" w:line="353" w:lineRule="auto"/>
        <w:tabs>
          <w:tab w:leader="none" w:pos="2676"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Or</w:t>
      </w:r>
    </w:p>
    <w:p>
      <w:pPr>
        <w:spacing w:after="0" w:line="125" w:lineRule="exact"/>
        <w:rPr>
          <w:sz w:val="24"/>
          <w:szCs w:val="24"/>
          <w:color w:val="auto"/>
        </w:rPr>
      </w:pPr>
    </w:p>
    <w:p>
      <w:pPr>
        <w:ind w:left="3680" w:right="2080" w:hanging="1212"/>
        <w:spacing w:after="0" w:line="353" w:lineRule="auto"/>
        <w:tabs>
          <w:tab w:leader="none" w:pos="2662"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6"/>
          <w:szCs w:val="16"/>
          <w:color w:val="auto"/>
        </w:rPr>
        <w:t>_________</w:t>
      </w:r>
      <w:r>
        <w:rPr>
          <w:rFonts w:ascii="Times New Roman" w:cs="Times New Roman" w:eastAsia="Times New Roman" w:hAnsi="Times New Roman"/>
          <w:sz w:val="16"/>
          <w:szCs w:val="16"/>
          <w:b w:val="1"/>
          <w:bCs w:val="1"/>
          <w:color w:val="auto"/>
        </w:rPr>
        <w:t xml:space="preserve"> to </w:t>
      </w:r>
      <w:r>
        <w:rPr>
          <w:rFonts w:ascii="Times New Roman" w:cs="Times New Roman" w:eastAsia="Times New Roman" w:hAnsi="Times New Roman"/>
          <w:sz w:val="16"/>
          <w:szCs w:val="16"/>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-50165</wp:posOffset>
            </wp:positionV>
            <wp:extent cx="2134235" cy="857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423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CROSS COUNTRY HEALTHCARE, INC.</w:t>
      </w:r>
    </w:p>
    <w:p>
      <w:pPr>
        <w:spacing w:after="0" w:line="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860"/>
          </w:cols>
          <w:pgMar w:left="320" w:top="1188" w:right="719" w:bottom="1440" w:gutter="0" w:footer="0" w:header="0"/>
        </w:sectPr>
      </w:pPr>
    </w:p>
    <w:p>
      <w:pPr>
        <w:spacing w:after="0" w:line="4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30"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(State or other jurisdiction of</w:t>
      </w:r>
    </w:p>
    <w:p>
      <w:pPr>
        <w:ind w:left="860"/>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0-33169</w:t>
      </w:r>
    </w:p>
    <w:p>
      <w:pPr>
        <w:spacing w:after="0" w:line="3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6"/>
          <w:szCs w:val="16"/>
          <w:i w:val="1"/>
          <w:iCs w:val="1"/>
          <w:color w:val="auto"/>
        </w:rPr>
        <w:t>Commission</w:t>
      </w:r>
    </w:p>
    <w:p>
      <w:pPr>
        <w:jc w:val="center"/>
        <w:ind w:right="1880"/>
        <w:spacing w:after="0"/>
        <w:rPr>
          <w:sz w:val="20"/>
          <w:szCs w:val="20"/>
          <w:color w:val="auto"/>
        </w:rPr>
      </w:pPr>
      <w:r>
        <w:rPr>
          <w:rFonts w:ascii="Times New Roman" w:cs="Times New Roman" w:eastAsia="Times New Roman" w:hAnsi="Times New Roman"/>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13-4066229</w:t>
      </w:r>
    </w:p>
    <w:p>
      <w:pPr>
        <w:spacing w:after="0" w:line="30"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6"/>
          <w:szCs w:val="16"/>
          <w:i w:val="1"/>
          <w:iCs w:val="1"/>
          <w:color w:val="auto"/>
        </w:rPr>
        <w:t>(I.R.S. Employer</w:t>
      </w:r>
    </w:p>
    <w:p>
      <w:pPr>
        <w:jc w:val="center"/>
        <w:ind w:right="740"/>
        <w:spacing w:after="0"/>
        <w:rPr>
          <w:sz w:val="20"/>
          <w:szCs w:val="20"/>
          <w:color w:val="auto"/>
        </w:rPr>
      </w:pPr>
      <w:r>
        <w:rPr>
          <w:rFonts w:ascii="Times New Roman" w:cs="Times New Roman" w:eastAsia="Times New Roman" w:hAnsi="Times New Roman"/>
          <w:sz w:val="16"/>
          <w:szCs w:val="16"/>
          <w:i w:val="1"/>
          <w:iCs w:val="1"/>
          <w:color w:val="auto"/>
        </w:rPr>
        <w:t>Identification Number)</w:t>
      </w:r>
    </w:p>
    <w:p>
      <w:pPr>
        <w:spacing w:after="0" w:line="188" w:lineRule="exact"/>
        <w:rPr>
          <w:sz w:val="24"/>
          <w:szCs w:val="24"/>
          <w:color w:val="auto"/>
        </w:rPr>
      </w:pPr>
    </w:p>
    <w:p>
      <w:pPr>
        <w:sectPr>
          <w:pgSz w:w="11900" w:h="16838" w:orient="portrait"/>
          <w:cols w:equalWidth="0" w:num="3">
            <w:col w:w="4500" w:space="720"/>
            <w:col w:w="2680" w:space="720"/>
            <w:col w:w="2240"/>
          </w:cols>
          <w:pgMar w:left="320" w:top="1188" w:right="719" w:bottom="1440" w:gutter="0" w:footer="0" w:header="0"/>
          <w:type w:val="continuous"/>
        </w:sect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6551 Park of Commerce Boulevard, N.W.</w:t>
      </w:r>
    </w:p>
    <w:p>
      <w:pPr>
        <w:spacing w:after="0" w:line="2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Boca Raton, Florida 33487</w:t>
      </w:r>
    </w:p>
    <w:p>
      <w:pPr>
        <w:spacing w:after="0" w:line="1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offices)(Zip Code)</w:t>
      </w:r>
    </w:p>
    <w:p>
      <w:pPr>
        <w:spacing w:after="0" w:line="10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(561) 998-2232</w:t>
      </w:r>
    </w:p>
    <w:p>
      <w:pPr>
        <w:spacing w:after="0" w:line="2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39"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7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i w:val="1"/>
          <w:iCs w:val="1"/>
          <w:color w:val="auto"/>
        </w:rPr>
        <w:t>(Former name, former address and former fiscal year, if changed since last report)</w:t>
      </w:r>
    </w:p>
    <w:p>
      <w:pPr>
        <w:spacing w:after="0" w:line="2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w:t>
      </w:r>
    </w:p>
    <w:p>
      <w:pPr>
        <w:spacing w:after="0" w:line="9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0860"/>
          </w:cols>
          <w:pgMar w:left="320" w:top="1188" w:right="719" w:bottom="1440" w:gutter="0" w:footer="0" w:header="0"/>
          <w:type w:val="continuous"/>
        </w:sectPr>
      </w:pPr>
    </w:p>
    <w:p>
      <w:pPr>
        <w:spacing w:after="0" w:line="56"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4" w:lineRule="exact"/>
        <w:rPr>
          <w:sz w:val="24"/>
          <w:szCs w:val="24"/>
          <w:color w:val="auto"/>
        </w:rPr>
      </w:pPr>
    </w:p>
    <w:p>
      <w:pPr>
        <w:sectPr>
          <w:pgSz w:w="11900" w:h="16838" w:orient="portrait"/>
          <w:cols w:equalWidth="0" w:num="3">
            <w:col w:w="4060" w:space="720"/>
            <w:col w:w="1980" w:space="720"/>
            <w:col w:w="3380"/>
          </w:cols>
          <w:pgMar w:left="320" w:top="1188" w:right="71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Stock Market</w:t>
      </w:r>
    </w:p>
    <w:p>
      <w:pPr>
        <w:spacing w:after="0" w:line="200" w:lineRule="exact"/>
        <w:rPr>
          <w:sz w:val="24"/>
          <w:szCs w:val="24"/>
          <w:color w:val="auto"/>
        </w:rPr>
      </w:pPr>
    </w:p>
    <w:p>
      <w:pPr>
        <w:sectPr>
          <w:pgSz w:w="11900" w:h="16838" w:orient="portrait"/>
          <w:cols w:equalWidth="0" w:num="3">
            <w:col w:w="4400" w:space="720"/>
            <w:col w:w="2300" w:space="720"/>
            <w:col w:w="2720"/>
          </w:cols>
          <w:pgMar w:left="320" w:top="1188" w:right="719" w:bottom="1440" w:gutter="0" w:footer="0" w:header="0"/>
          <w:type w:val="continuous"/>
        </w:sectPr>
      </w:pPr>
    </w:p>
    <w:p>
      <w:pPr>
        <w:spacing w:after="0" w:line="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82" w:lineRule="exact"/>
        <w:rPr>
          <w:sz w:val="24"/>
          <w:szCs w:val="24"/>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44" w:lineRule="exact"/>
        <w:rPr>
          <w:sz w:val="24"/>
          <w:szCs w:val="24"/>
          <w:color w:val="auto"/>
        </w:rPr>
      </w:pPr>
    </w:p>
    <w:p>
      <w:pPr>
        <w:jc w:val="center"/>
        <w:ind w:right="-379"/>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6"/>
          <w:szCs w:val="16"/>
          <w:color w:val="auto"/>
        </w:rPr>
        <w:t>☐</w:t>
      </w:r>
    </w:p>
    <w:p>
      <w:pPr>
        <w:spacing w:after="0" w:line="43" w:lineRule="exact"/>
        <w:rPr>
          <w:sz w:val="24"/>
          <w:szCs w:val="24"/>
          <w:color w:val="auto"/>
        </w:rPr>
      </w:pPr>
    </w:p>
    <w:p>
      <w:pPr>
        <w:jc w:val="center"/>
        <w:ind w:right="-379"/>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Emerging growth company </w:t>
      </w:r>
      <w:r>
        <w:rPr>
          <w:rFonts w:ascii="MS PGothic" w:cs="MS PGothic" w:eastAsia="MS PGothic" w:hAnsi="MS PGothic"/>
          <w:sz w:val="16"/>
          <w:szCs w:val="16"/>
          <w:color w:val="auto"/>
        </w:rPr>
        <w:t>☐</w:t>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w:t>
      </w:r>
    </w:p>
    <w:p>
      <w:pPr>
        <w:spacing w:after="0" w:line="2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ind w:right="260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registrant had outstanding 38,213,868 shares of common stock, par value $0.0001 per share, as of April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88" w:right="71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RELATING TO FORWARD-LOOKING STATEMENTS</w:t>
      </w:r>
    </w:p>
    <w:p>
      <w:pPr>
        <w:spacing w:after="0" w:line="22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the Private Securities Litigation Reform Act of 1995, and are subject to the “safe harbor” created by those sections. Forward-looking statements consist of statements that are predictive in nature, depend upon or refer to future events.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the potential impacts of the coronavirus pandemic (COVID-19) on our business, financial condition, and results of operations, our ability to attract and retain qualified nurses, physicians and other healthcare personnel, costs and availability of short-term housing for our travel healthcare professionals, demand for the healthcare services we provide, both nationally and in the regions in which we operate, the functioning of our information systems, the effect of cyber security risks and cyber incidents on our business, the effect of existing or future government regulation and federal and state legislative and enforcement initiatives on our business, our clients’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set forth in Item 1A. “Risk Factors” in the Company’s Annual Report on Form 10-K for the year ended December 31, 2021 (2021 Form 10-K), as filed and updated in our Quarterly Reports on Form 10-Q and other filings with the Securities and Exchange Commission (SEC).</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ind w:right="140" w:firstLine="8"/>
        <w:spacing w:after="0" w:line="253"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Except as may be required by law, the Company undertakes no obligation to update or revise forward-looking statements.</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references to “the Company”, “we”, “us”, “our”, or “Cross Country” in this Quarterly Report on Form 10-Q mean Cross Country Healthcare, Inc.,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60" w:type="dxa"/>
            <w:vAlign w:val="bottom"/>
            <w:gridSpan w:val="9"/>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CROSS COUNTRY HEALTHCARE, INC.</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20" w:type="dxa"/>
            <w:vAlign w:val="bottom"/>
            <w:gridSpan w:val="6"/>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7"/>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7"/>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98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43"/>
        </w:trPr>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20" w:type="dxa"/>
            <w:vAlign w:val="bottom"/>
            <w:gridSpan w:val="3"/>
          </w:tcPr>
          <w:p>
            <w:pPr>
              <w:spacing w:after="0"/>
              <w:rPr>
                <w:sz w:val="22"/>
                <w:szCs w:val="22"/>
                <w:color w:val="auto"/>
              </w:rPr>
            </w:pP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Condensed Consolidated Balance Sheets (Unaudited)</w:t>
            </w:r>
          </w:p>
        </w:tc>
        <w:tc>
          <w:tcPr>
            <w:tcW w:w="4120" w:type="dxa"/>
            <w:vAlign w:val="bottom"/>
            <w:gridSpan w:val="7"/>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(Unaudited)</w:t>
            </w:r>
          </w:p>
        </w:tc>
        <w:tc>
          <w:tcPr>
            <w:tcW w:w="2680" w:type="dxa"/>
            <w:vAlign w:val="bottom"/>
            <w:gridSpan w:val="2"/>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Cash Flows (Unaudited)</w:t>
            </w:r>
          </w:p>
        </w:tc>
        <w:tc>
          <w:tcPr>
            <w:tcW w:w="3340" w:type="dxa"/>
            <w:vAlign w:val="bottom"/>
            <w:gridSpan w:val="4"/>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22"/>
                <w:szCs w:val="22"/>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Notes to Condensed Consolidated Financial Statements (Unaudited)</w:t>
            </w:r>
          </w:p>
        </w:tc>
        <w:tc>
          <w:tcPr>
            <w:tcW w:w="3060" w:type="dxa"/>
            <w:vAlign w:val="bottom"/>
            <w:gridSpan w:val="3"/>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22"/>
                <w:szCs w:val="22"/>
                <w:color w:val="auto"/>
              </w:rPr>
            </w:pPr>
          </w:p>
        </w:tc>
      </w:tr>
      <w:tr>
        <w:trPr>
          <w:trHeight w:val="26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00" w:type="dxa"/>
            <w:vAlign w:val="bottom"/>
            <w:gridSpan w:val="2"/>
          </w:tcPr>
          <w:p>
            <w:pPr>
              <w:spacing w:after="0"/>
              <w:rPr>
                <w:sz w:val="22"/>
                <w:szCs w:val="22"/>
                <w:color w:val="auto"/>
              </w:rPr>
            </w:pP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20</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2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29</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20" w:type="dxa"/>
            <w:vAlign w:val="bottom"/>
            <w:gridSpan w:val="3"/>
          </w:tcPr>
          <w:p>
            <w:pPr>
              <w:spacing w:after="0"/>
              <w:rPr>
                <w:sz w:val="22"/>
                <w:szCs w:val="22"/>
                <w:color w:val="auto"/>
              </w:rPr>
            </w:pP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29</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27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6160" w:type="dxa"/>
            <w:vAlign w:val="bottom"/>
            <w:gridSpan w:val="10"/>
          </w:tcPr>
          <w:p>
            <w:pPr>
              <w:spacing w:after="0"/>
              <w:rPr>
                <w:sz w:val="22"/>
                <w:szCs w:val="22"/>
                <w:color w:val="auto"/>
              </w:rPr>
            </w:pPr>
          </w:p>
        </w:tc>
        <w:tc>
          <w:tcPr>
            <w:tcW w:w="184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30</w:t>
            </w:r>
          </w:p>
        </w:tc>
      </w:tr>
      <w:tr>
        <w:trPr>
          <w:trHeight w:val="263"/>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300" w:type="dxa"/>
            <w:vAlign w:val="bottom"/>
            <w:gridSpan w:val="2"/>
          </w:tcPr>
          <w:p>
            <w:pPr>
              <w:spacing w:after="0"/>
              <w:rPr>
                <w:sz w:val="22"/>
                <w:szCs w:val="22"/>
                <w:color w:val="auto"/>
              </w:rPr>
            </w:pP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30</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40" w:type="dxa"/>
            <w:vAlign w:val="bottom"/>
            <w:gridSpan w:val="1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r>
      <w:tr>
        <w:trPr>
          <w:trHeight w:val="263"/>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30</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60" w:type="dxa"/>
            <w:vAlign w:val="bottom"/>
            <w:gridSpan w:val="13"/>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12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31</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32</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60" w:top="887" w:right="6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allowances of $9,141 in 2022 and $6,881 in 2021</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677,432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493,910</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7,648</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5,041</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692,306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508,273</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$18,092 in 2022 and $17,729 in 2021</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15,833</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7,488</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119,490</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names, indefinite-lived</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42,344</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deferred tax assets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11,525</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21,956</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916,434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732,809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9"/>
        </w:trPr>
        <w:tc>
          <w:tcPr>
            <w:tcW w:w="8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164,224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109,753</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65,580</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debt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4,176</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 current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4,090</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payable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7,307</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earnout liability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199,770</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218,475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176,366</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10,853</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deferred tax liabilities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accrued claims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25,314</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earnout liability</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13,788</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560,361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435,281</w:t>
            </w:r>
          </w:p>
        </w:tc>
      </w:tr>
      <w:tr>
        <w:trPr>
          <w:trHeight w:val="205"/>
        </w:trPr>
        <w:tc>
          <w:tcPr>
            <w:tcW w:w="8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5"/>
        </w:trPr>
        <w:tc>
          <w:tcPr>
            <w:tcW w:w="8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318,125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321,552</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39,248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(22,735)</w:t>
            </w: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356,073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297,528</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916,434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732,809</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887" w:right="35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r>
      <w:tr>
        <w:trPr>
          <w:trHeight w:val="223"/>
        </w:trPr>
        <w:tc>
          <w:tcPr>
            <w:tcW w:w="85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329,241</w:t>
            </w: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257,776</w:t>
            </w: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46,327</w:t>
            </w:r>
          </w:p>
        </w:tc>
      </w:tr>
      <w:tr>
        <w:trPr>
          <w:trHeight w:val="230"/>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29"/>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3"/>
        </w:trPr>
        <w:tc>
          <w:tcPr>
            <w:tcW w:w="8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698,100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308,247</w:t>
            </w:r>
          </w:p>
        </w:tc>
      </w:tr>
      <w:tr>
        <w:trPr>
          <w:trHeight w:val="22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20,994</w:t>
            </w: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30"/>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w:t>
            </w:r>
          </w:p>
        </w:tc>
      </w:tr>
      <w:tr>
        <w:trPr>
          <w:trHeight w:val="229"/>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19,448</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Unrealized foreign currency translation loss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19,442</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5"/>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 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4"/>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37,028</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36,181</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8"/>
        </w:trPr>
        <w:tc>
          <w:tcPr>
            <w:tcW w:w="8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37,034</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ind w:right="20"/>
        <w:spacing w:after="0" w:line="265" w:lineRule="auto"/>
        <w:rPr>
          <w:sz w:val="20"/>
          <w:szCs w:val="20"/>
          <w:color w:val="auto"/>
        </w:rPr>
      </w:pPr>
      <w:r>
        <w:rPr>
          <w:rFonts w:ascii="Times New Roman" w:cs="Times New Roman" w:eastAsia="Times New Roman" w:hAnsi="Times New Roman"/>
          <w:sz w:val="18"/>
          <w:szCs w:val="18"/>
          <w:b w:val="1"/>
          <w:bCs w:val="1"/>
          <w:color w:val="auto"/>
        </w:rPr>
        <w:t>CROSS COUNTRY HEALTHCARE, INC. CONDENSED CONSOLIDATED STATEMENTS OF STOCKHOLDERS' EQUITY Three Months Ended March 31, 2022 and 2021 (Unaudited, amounts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700" w:type="dxa"/>
            <w:vAlign w:val="bottom"/>
            <w:tcBorders>
              <w:bottom w:val="single" w:sz="8" w:color="auto"/>
            </w:tcBorders>
            <w:gridSpan w:val="3"/>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20" w:type="dxa"/>
            <w:vAlign w:val="bottom"/>
          </w:tcPr>
          <w:p>
            <w:pPr>
              <w:spacing w:after="0"/>
              <w:rPr>
                <w:sz w:val="18"/>
                <w:szCs w:val="18"/>
                <w:color w:val="auto"/>
              </w:rPr>
            </w:pP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5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180" w:type="dxa"/>
            <w:vAlign w:val="bottom"/>
          </w:tcPr>
          <w:p>
            <w:pPr>
              <w:spacing w:after="0"/>
              <w:rPr>
                <w:sz w:val="18"/>
                <w:szCs w:val="18"/>
                <w:color w:val="auto"/>
              </w:rPr>
            </w:pPr>
          </w:p>
        </w:tc>
        <w:tc>
          <w:tcPr>
            <w:tcW w:w="118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0" w:type="dxa"/>
            <w:vAlign w:val="bottom"/>
          </w:tcPr>
          <w:p>
            <w:pPr>
              <w:spacing w:after="0"/>
              <w:rPr>
                <w:sz w:val="18"/>
                <w:szCs w:val="18"/>
                <w:color w:val="auto"/>
              </w:rPr>
            </w:pPr>
          </w:p>
        </w:tc>
        <w:tc>
          <w:tcPr>
            <w:tcW w:w="122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Noncontrolling</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29"/>
        </w:trPr>
        <w:tc>
          <w:tcPr>
            <w:tcW w:w="2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22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1"/>
                <w:szCs w:val="11"/>
                <w:color w:val="auto"/>
              </w:rPr>
            </w:pPr>
          </w:p>
        </w:tc>
        <w:tc>
          <w:tcPr>
            <w:tcW w:w="1300" w:type="dxa"/>
            <w:vAlign w:val="bottom"/>
          </w:tcPr>
          <w:p>
            <w:pPr>
              <w:jc w:val="right"/>
              <w:ind w:right="16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Deficit) Retained</w:t>
            </w:r>
          </w:p>
        </w:tc>
        <w:tc>
          <w:tcPr>
            <w:tcW w:w="200" w:type="dxa"/>
            <w:vAlign w:val="bottom"/>
          </w:tcPr>
          <w:p>
            <w:pPr>
              <w:spacing w:after="0"/>
              <w:rPr>
                <w:sz w:val="11"/>
                <w:szCs w:val="11"/>
                <w:color w:val="auto"/>
              </w:rPr>
            </w:pPr>
          </w:p>
        </w:tc>
        <w:tc>
          <w:tcPr>
            <w:tcW w:w="1220" w:type="dxa"/>
            <w:vAlign w:val="bottom"/>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200" w:type="dxa"/>
            <w:vAlign w:val="bottom"/>
          </w:tcPr>
          <w:p>
            <w:pPr>
              <w:spacing w:after="0"/>
              <w:rPr>
                <w:sz w:val="11"/>
                <w:szCs w:val="11"/>
                <w:color w:val="auto"/>
              </w:rPr>
            </w:pPr>
          </w:p>
        </w:tc>
        <w:tc>
          <w:tcPr>
            <w:tcW w:w="1120" w:type="dxa"/>
            <w:vAlign w:val="bottom"/>
          </w:tcPr>
          <w:p>
            <w:pPr>
              <w:jc w:val="right"/>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12"/>
        </w:trPr>
        <w:tc>
          <w:tcPr>
            <w:tcW w:w="27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Subsidiary</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20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December 31, 2021</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321,552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(22,735)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297,528</w:t>
            </w:r>
          </w:p>
        </w:tc>
      </w:tr>
      <w:tr>
        <w:trPr>
          <w:trHeight w:val="200"/>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419</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(5,028)</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(5,028)</w:t>
            </w:r>
          </w:p>
        </w:tc>
      </w:tr>
      <w:tr>
        <w:trPr>
          <w:trHeight w:val="205"/>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compensation</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1,601</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1,601</w:t>
            </w:r>
          </w:p>
        </w:tc>
      </w:tr>
      <w:tr>
        <w:trPr>
          <w:trHeight w:val="148"/>
        </w:trPr>
        <w:tc>
          <w:tcPr>
            <w:tcW w:w="274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Foreign currency translation adjustment,</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2"/>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of taxes</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w:t>
            </w:r>
          </w:p>
        </w:tc>
        <w:tc>
          <w:tcPr>
            <w:tcW w:w="180" w:type="dxa"/>
            <w:vAlign w:val="bottom"/>
          </w:tcPr>
          <w:p>
            <w:pPr>
              <w:spacing w:after="0"/>
              <w:rPr>
                <w:sz w:val="18"/>
                <w:szCs w:val="18"/>
                <w:color w:val="auto"/>
              </w:rPr>
            </w:pP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204"/>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61,983</w:t>
            </w: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61,983</w:t>
            </w:r>
          </w:p>
        </w:tc>
      </w:tr>
      <w:tr>
        <w:trPr>
          <w:trHeight w:val="198"/>
        </w:trPr>
        <w:tc>
          <w:tcPr>
            <w:tcW w:w="2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Balances at March 31, 2022</w:t>
            </w: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37,443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318,125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(1,304)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39,248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356,073</w:t>
            </w:r>
          </w:p>
        </w:tc>
      </w:tr>
      <w:tr>
        <w:trPr>
          <w:trHeight w:val="20"/>
        </w:trPr>
        <w:tc>
          <w:tcPr>
            <w:tcW w:w="2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700" w:type="dxa"/>
            <w:vAlign w:val="bottom"/>
            <w:tcBorders>
              <w:bottom w:val="single" w:sz="8" w:color="auto"/>
            </w:tcBorders>
            <w:gridSpan w:val="3"/>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20" w:type="dxa"/>
            <w:vAlign w:val="bottom"/>
          </w:tcPr>
          <w:p>
            <w:pPr>
              <w:spacing w:after="0"/>
              <w:rPr>
                <w:sz w:val="18"/>
                <w:szCs w:val="18"/>
                <w:color w:val="auto"/>
              </w:rPr>
            </w:pP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5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Noncontrolling</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29"/>
        </w:trPr>
        <w:tc>
          <w:tcPr>
            <w:tcW w:w="2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22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1"/>
                <w:szCs w:val="11"/>
                <w:color w:val="auto"/>
              </w:rPr>
            </w:pPr>
          </w:p>
        </w:tc>
        <w:tc>
          <w:tcPr>
            <w:tcW w:w="1300" w:type="dxa"/>
            <w:vAlign w:val="bottom"/>
          </w:tcPr>
          <w:p>
            <w:pPr>
              <w:jc w:val="right"/>
              <w:ind w:right="16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1"/>
                <w:szCs w:val="11"/>
                <w:color w:val="auto"/>
              </w:rPr>
            </w:pPr>
          </w:p>
        </w:tc>
        <w:tc>
          <w:tcPr>
            <w:tcW w:w="1160" w:type="dxa"/>
            <w:vAlign w:val="bottom"/>
          </w:tcPr>
          <w:p>
            <w:pPr>
              <w:jc w:val="right"/>
              <w:ind w:right="164"/>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220" w:type="dxa"/>
            <w:vAlign w:val="bottom"/>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200" w:type="dxa"/>
            <w:vAlign w:val="bottom"/>
          </w:tcPr>
          <w:p>
            <w:pPr>
              <w:spacing w:after="0"/>
              <w:rPr>
                <w:sz w:val="11"/>
                <w:szCs w:val="11"/>
                <w:color w:val="auto"/>
              </w:rPr>
            </w:pPr>
          </w:p>
        </w:tc>
        <w:tc>
          <w:tcPr>
            <w:tcW w:w="1120" w:type="dxa"/>
            <w:vAlign w:val="bottom"/>
          </w:tcPr>
          <w:p>
            <w:pPr>
              <w:jc w:val="right"/>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12"/>
        </w:trPr>
        <w:tc>
          <w:tcPr>
            <w:tcW w:w="27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Subsidiary</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20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December 31, 2020</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36,177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310,388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(154,737)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534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154,909</w:t>
            </w:r>
          </w:p>
        </w:tc>
      </w:tr>
      <w:tr>
        <w:trPr>
          <w:trHeight w:val="200"/>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318</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(2,026)</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(2,026)</w:t>
            </w:r>
          </w:p>
        </w:tc>
      </w:tr>
      <w:tr>
        <w:trPr>
          <w:trHeight w:val="205"/>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compensation</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1,349</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1,349</w:t>
            </w:r>
          </w:p>
        </w:tc>
      </w:tr>
      <w:tr>
        <w:trPr>
          <w:trHeight w:val="148"/>
        </w:trPr>
        <w:tc>
          <w:tcPr>
            <w:tcW w:w="274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Foreign currency translation adjustment,</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2"/>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of taxes</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w:t>
            </w:r>
          </w:p>
        </w:tc>
        <w:tc>
          <w:tcPr>
            <w:tcW w:w="200" w:type="dxa"/>
            <w:vAlign w:val="bottom"/>
          </w:tcPr>
          <w:p>
            <w:pPr>
              <w:spacing w:after="0"/>
              <w:rPr>
                <w:sz w:val="18"/>
                <w:szCs w:val="18"/>
                <w:color w:val="auto"/>
              </w:rPr>
            </w:pPr>
          </w:p>
        </w:tc>
        <w:tc>
          <w:tcPr>
            <w:tcW w:w="11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04"/>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19,448</w:t>
            </w: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19,448</w:t>
            </w:r>
          </w:p>
        </w:tc>
      </w:tr>
      <w:tr>
        <w:trPr>
          <w:trHeight w:val="198"/>
        </w:trPr>
        <w:tc>
          <w:tcPr>
            <w:tcW w:w="2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Balances at March 31, 2021</w:t>
            </w: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36,495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309,711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(1,286)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(135,289)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534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173,674</w:t>
            </w:r>
          </w:p>
        </w:tc>
      </w:tr>
      <w:tr>
        <w:trPr>
          <w:trHeight w:val="21"/>
        </w:trPr>
        <w:tc>
          <w:tcPr>
            <w:tcW w:w="2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19,448</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allowances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charges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(76,581)</w:t>
            </w: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26,507</w:t>
            </w: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(24,927)</w:t>
            </w:r>
          </w:p>
        </w:tc>
      </w:tr>
      <w:tr>
        <w:trPr>
          <w:trHeight w:val="237"/>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36"/>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payments on term loan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Borrowings under Senior Secured Asset-Based revolving credit facility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415,176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148,016</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on Senior Secured Asset-Based revolving credit facility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(372,874)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(105,400)</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shares withheld for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payments on note payable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38,004</w:t>
            </w:r>
          </w:p>
        </w:tc>
      </w:tr>
      <w:tr>
        <w:trPr>
          <w:trHeight w:val="236"/>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11,888</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Cross Country Healthcare, Inc. and its direct and indirect wholly-owned subsidiaries (collectively, the Company). In the opinion of management, all adjustments necessary for a fair presentation of such unaudited condensed consolidated financial statements have been included. All such adjustments consisted of all normal recurring items, including the elimination of all intercompany transactions and balances.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United States generally accepted accounting principles (U.S. GAAP) for interim financial information and with the instructions to Form 10-Q and Article 10 of Regulation S-X. Accordingly, they do not include all of the information and notes required by U.S. GAAP for complete financial statements. These operating results are not necessarily indicative of the results that may be expected for the year ending December 31, 2022.</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should be read in conjunction with the audited consolidated financial statements and notes thereto for the year ended December 31, 2021 included in the Company’s Annual Report on Form 10-K as filed with the SEC on February 28, 2022 (2021 Form 10-K). The December 31, 2021 condensed consolidated balance sheet included herein was derived from the December 31, 2021 audited consolidated balance sheet included in the 2021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See the condensed consolidated statements of cash flows.</w:t>
      </w:r>
    </w:p>
    <w:p>
      <w:pPr>
        <w:spacing w:after="0" w:line="248" w:lineRule="exact"/>
        <w:rPr>
          <w:sz w:val="20"/>
          <w:szCs w:val="20"/>
          <w:color w:val="auto"/>
        </w:rPr>
      </w:pPr>
    </w:p>
    <w:p>
      <w:pPr>
        <w:ind w:right="6200" w:firstLine="8"/>
        <w:spacing w:after="0" w:line="534" w:lineRule="auto"/>
        <w:tabs>
          <w:tab w:leader="none" w:pos="31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in the condensed consolidated financial statements and accompanying notes. Management has assessed various accounting estimates and other matters, including those that require consideration of forecasted financial information, in context of the unknown future impacts of the global COVID-19 (COVID) pandemic using information that is reasonably available to the Company at the time. Significant estimates and assumptions are used for, but not limited to: (i) the valuation of accounts receivable; (ii) goodwill, trade names, and other intangible assets; (iii) other long-lived assets; (iv) revenue recognition; (v) accruals for health, workers’ compensation, and professional liability claims; (vi) valuation of deferred tax assets; (vii) legal contingencies; and (viii) income taxes. Accrued insurance claims and reserves include estimated settlements from known claims and actuarial estimates for claims incurred but not reported. As additional information becomes available to the Company, its future assessment of these estimates, including management's expectations at the time regarding the duration, scope and severity of the pandemic, as well as other factors, could materially and adversely impact the Company's consolidated financial statements in future reporting periods. Actual results could differ from those estimates.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prioritizes the mental health and well-being of its employees, especially in response to the COVID pandemic. While operating primarily through a remote workforce, the Company's offices remain open with stringent safety guidelines and procedures in place. Business travel, including visits to healthcare clients, continues to be somewhat limited at the request of the Company's clients who are continuing to cope with the pandemic twenty-four hours a day/seven days a week.</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first quarter of 2022, average bill rates rose slightly as the Company continued to experience higher demand across a wide range of specialties. Investments in people and technology, along with other improvements the Company has made during the pandemic, have allowed it to quickly respond to high demand levels that it is continuing to see across a wide range of specialties, including operating room, emergency room, pediatrics, labor and delivery, and medical and surgical services, not all of which are directly related to COVID needs.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8" w:name="page9"/>
    <w:bookmarkEnd w:id="8"/>
    <w:p>
      <w:pPr>
        <w:spacing w:after="0" w:line="266" w:lineRule="auto"/>
        <w:rPr>
          <w:sz w:val="20"/>
          <w:szCs w:val="20"/>
          <w:color w:val="auto"/>
        </w:rPr>
      </w:pPr>
      <w:r>
        <w:rPr>
          <w:rFonts w:ascii="Times New Roman" w:cs="Times New Roman" w:eastAsia="Times New Roman" w:hAnsi="Times New Roman"/>
          <w:sz w:val="18"/>
          <w:szCs w:val="18"/>
          <w:color w:val="auto"/>
        </w:rPr>
        <w:t>Throughout the pandemic, the Company worked collaboratively with clients on adjusting bill rates in order to adapt to the rapidly changing market conditions. One of the Company's core values is to act ethically and responsibly, and it has been especially important during this pandemic to be transparent and build trust with its clients to re-enforce long-lasting relationships as both demand and bill rates increased to unprecedented levels.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5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timing of revenue recognition, billings, and collections results in billed and unbilled accounts receivable from customers, which are classified as accounts receivable on the condensed consolidated balance sheets and are presented net of allowances for doubtful accounts and sales allowances. Estimated revenue for the Company employees', subcontracted employees', and independent contractors’ time worked but not yet billed at March 31, 2022 and December 31, 2021 totaled $249.7 million and $140.0 million, respectively.</w:t>
      </w:r>
    </w:p>
    <w:p>
      <w:pPr>
        <w:spacing w:after="0" w:line="20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generally does not require collateral and mitigates its credit risk by performing credit evaluations and monitoring at-risk accounts. The allowance for doubtful accounts is established for losses expected to be incurred on accounts receivable balances. Accounts receivable are written off against the allowance for doubtful accounts when the Company determines amounts are no longer collectible. Judgment is required in the estimation of the allowance and the Company evaluates the collectability of its accounts receivable and contract assets based on a combination of factors. The Company bases its allowance for doubtful account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current expectations of future economic conditions, including the impact of COVID, when estimating its allowance for doubtful accounts.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balance of the allowance for doubtful accounts is reconciled to the closing balance for expected credit losses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94"/>
              </w:rPr>
              <w:t>2021</w:t>
            </w: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120" w:type="dxa"/>
            <w:vAlign w:val="bottom"/>
          </w:tcPr>
          <w:p>
            <w:pPr>
              <w:spacing w:after="0"/>
              <w:rPr>
                <w:sz w:val="19"/>
                <w:szCs w:val="19"/>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24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w:t>
            </w:r>
          </w:p>
        </w:tc>
      </w:tr>
      <w:tr>
        <w:trPr>
          <w:trHeight w:val="21"/>
        </w:trPr>
        <w:tc>
          <w:tcPr>
            <w:tcW w:w="7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In addition to the allowance for doubtful accounts, the Company maintains a sales allowance for billing-related adjustments which may arise in the ordinary course of business and adjustments to the reserve are recorded as contra-revenue. The balance of this allowance as of March 31, 2022 and December 31, 2021 was $1.1 million and $0.8 million, respectively.</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contract terms typically require payment between 30 to 60 days from the date of invoice and are considered past due based on the particular negotiated contract terms. The majority of the Company's customers are U.S. based healthcare systems with a significant percentage in acute-care facilities. No single customer accounted for more than 10% of the Company’s revenue for the three months ended March 31, 2022 and 2021, or the accounts receivable balance as of March 31, 2022 and 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256"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condensed consolidated statements of operations primarily include employee termination costs and lease-related exit costs.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Reconciliation of the employee termination costs and lease-related exit costs beginning and ending liability balance is presented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Employee Termination Costs</w:t>
            </w: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Lease-Related Exit Costs</w:t>
            </w:r>
          </w:p>
        </w:tc>
      </w:tr>
      <w:tr>
        <w:trPr>
          <w:trHeight w:val="223"/>
        </w:trPr>
        <w:tc>
          <w:tcPr>
            <w:tcW w:w="5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40" w:type="dxa"/>
            <w:vAlign w:val="bottom"/>
            <w:gridSpan w:val="4"/>
          </w:tcPr>
          <w:p>
            <w:pPr>
              <w:jc w:val="right"/>
              <w:ind w:right="1810"/>
              <w:spacing w:after="0"/>
              <w:rPr>
                <w:sz w:val="20"/>
                <w:szCs w:val="20"/>
                <w:color w:val="auto"/>
              </w:rPr>
            </w:pPr>
            <w:r>
              <w:rPr>
                <w:rFonts w:ascii="Times New Roman" w:cs="Times New Roman" w:eastAsia="Times New Roman" w:hAnsi="Times New Roman"/>
                <w:sz w:val="18"/>
                <w:szCs w:val="18"/>
                <w:color w:val="auto"/>
              </w:rPr>
              <w:t>(amounts in thousands)</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r>
      <w:tr>
        <w:trPr>
          <w:trHeight w:val="229"/>
        </w:trPr>
        <w:tc>
          <w:tcPr>
            <w:tcW w:w="5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Charged to restructuring costs </w:t>
            </w:r>
            <w:r>
              <w:rPr>
                <w:rFonts w:ascii="Times New Roman" w:cs="Times New Roman" w:eastAsia="Times New Roman" w:hAnsi="Times New Roman"/>
                <w:sz w:val="23"/>
                <w:szCs w:val="23"/>
                <w:color w:val="auto"/>
                <w:vertAlign w:val="superscript"/>
              </w:rPr>
              <w:t>(a)</w:t>
            </w:r>
          </w:p>
        </w:tc>
        <w:tc>
          <w:tcPr>
            <w:tcW w:w="140" w:type="dxa"/>
            <w:vAlign w:val="bottom"/>
          </w:tcPr>
          <w:p>
            <w:pPr>
              <w:spacing w:after="0"/>
              <w:rPr>
                <w:sz w:val="19"/>
                <w:szCs w:val="19"/>
                <w:color w:val="auto"/>
              </w:rPr>
            </w:pPr>
          </w:p>
        </w:tc>
        <w:tc>
          <w:tcPr>
            <w:tcW w:w="2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and adjustments</w:t>
            </w:r>
          </w:p>
        </w:tc>
        <w:tc>
          <w:tcPr>
            <w:tcW w:w="14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w:t>
            </w:r>
          </w:p>
        </w:tc>
      </w:tr>
      <w:tr>
        <w:trPr>
          <w:trHeight w:val="21"/>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31" w:lineRule="exact"/>
        <w:rPr>
          <w:sz w:val="20"/>
          <w:szCs w:val="20"/>
          <w:color w:val="auto"/>
        </w:rPr>
      </w:pPr>
    </w:p>
    <w:p>
      <w:pPr>
        <w:ind w:right="40" w:firstLine="8"/>
        <w:spacing w:after="0" w:line="255"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costs in the condensed consolidated statements of operations for the three months ended March 31, 2022 include an immaterial amount of ongoing lease costs related to the Company's strategic reduction in its real estate footprint, which are included as operating lease liabilities - current and non-current in our condensed consolidated balance sheets. Other costs were immaterial for the three months ended March 31, 2022.</w:t>
      </w:r>
    </w:p>
    <w:p>
      <w:pPr>
        <w:spacing w:after="0" w:line="20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148"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The Company's revenues from customer contracts are generated from temporary staffing services and other services. Revenue is disaggregated by segment in the following table. Sales and usage-based taxes are excluded from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30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2022</w:t>
            </w:r>
          </w:p>
        </w:tc>
        <w:tc>
          <w:tcPr>
            <w:tcW w:w="0" w:type="dxa"/>
            <w:vAlign w:val="bottom"/>
          </w:tcPr>
          <w:p>
            <w:pPr>
              <w:spacing w:after="0"/>
              <w:rPr>
                <w:sz w:val="1"/>
                <w:szCs w:val="1"/>
                <w:color w:val="auto"/>
              </w:rPr>
            </w:pPr>
          </w:p>
        </w:tc>
      </w:tr>
      <w:tr>
        <w:trPr>
          <w:trHeight w:val="174"/>
        </w:trPr>
        <w:tc>
          <w:tcPr>
            <w:tcW w:w="5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2"/>
          </w:tcPr>
          <w:p>
            <w:pPr>
              <w:jc w:val="center"/>
              <w:ind w:right="5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Pr>
          <w:p>
            <w:pPr>
              <w:spacing w:after="0"/>
              <w:rPr>
                <w:sz w:val="15"/>
                <w:szCs w:val="15"/>
                <w:color w:val="auto"/>
              </w:rPr>
            </w:pPr>
          </w:p>
        </w:tc>
        <w:tc>
          <w:tcPr>
            <w:tcW w:w="16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jc w:val="center"/>
              <w:ind w:right="5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And Allied</w:t>
            </w:r>
          </w:p>
        </w:tc>
        <w:tc>
          <w:tcPr>
            <w:tcW w:w="2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Temporary Staffing Services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749,447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771,551</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16,133</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17,181</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765,580</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23,152</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788,732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2021</w:t>
            </w:r>
          </w:p>
        </w:tc>
        <w:tc>
          <w:tcPr>
            <w:tcW w:w="0" w:type="dxa"/>
            <w:vAlign w:val="bottom"/>
          </w:tcPr>
          <w:p>
            <w:pPr>
              <w:spacing w:after="0"/>
              <w:rPr>
                <w:sz w:val="1"/>
                <w:szCs w:val="1"/>
                <w:color w:val="auto"/>
              </w:rPr>
            </w:pPr>
          </w:p>
        </w:tc>
      </w:tr>
      <w:tr>
        <w:trPr>
          <w:trHeight w:val="174"/>
        </w:trPr>
        <w:tc>
          <w:tcPr>
            <w:tcW w:w="5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2"/>
          </w:tcPr>
          <w:p>
            <w:pPr>
              <w:jc w:val="center"/>
              <w:ind w:right="5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Pr>
          <w:p>
            <w:pPr>
              <w:spacing w:after="0"/>
              <w:rPr>
                <w:sz w:val="15"/>
                <w:szCs w:val="15"/>
                <w:color w:val="auto"/>
              </w:rPr>
            </w:pPr>
          </w:p>
        </w:tc>
        <w:tc>
          <w:tcPr>
            <w:tcW w:w="16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jc w:val="center"/>
              <w:ind w:right="5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And Allied</w:t>
            </w:r>
          </w:p>
        </w:tc>
        <w:tc>
          <w:tcPr>
            <w:tcW w:w="2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Temporary Staffing Services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305,975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321,381</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313,008</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16,233</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329,241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 Segment Data.</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16, 2021, the Company purchased and acquired substantially all of the assets and assumed certain liabilities of Selected, Inc. (Selected) for a purchase price of $3.5 million in cash, subject to adjustment, and $1.5 million in shares (or 59,429 shares) of the Company's common stock. The transaction was treated as a purchase of assets for income tax purposes. As of March 31, 2022, the acquisition has not been fully integrated.</w:t>
      </w:r>
    </w:p>
    <w:p>
      <w:pPr>
        <w:spacing w:after="0" w:line="20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sellers are also eligible to receive up to an additional $1.5 million in earnout cash consideration, based on Selected's revenues for each of the twelve-month periods ending on the first and second anniversaries of the first day after the closing date. See Note 10 - Fair Value Measurements.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acquisition was not significant and has been accounted for using the acquisition method of accounting. The Company has not completed its valuation of assets acquired and liabilities assumed. Any necessary adjustments will be finalized within one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ind w:right="320"/>
        <w:spacing w:after="0" w:line="266" w:lineRule="auto"/>
        <w:rPr>
          <w:sz w:val="20"/>
          <w:szCs w:val="20"/>
          <w:color w:val="auto"/>
        </w:rPr>
      </w:pPr>
      <w:r>
        <w:rPr>
          <w:rFonts w:ascii="Times New Roman" w:cs="Times New Roman" w:eastAsia="Times New Roman" w:hAnsi="Times New Roman"/>
          <w:sz w:val="18"/>
          <w:szCs w:val="18"/>
          <w:color w:val="auto"/>
        </w:rPr>
        <w:t>year from the date of acquisition. As a result, $6.5 million has been recorded as goodwill on the Company's condensed consolidated balance sheets. See Note 7 - Goodwill, Trade Names, and Other Intangible Assets. Associated acquisition-related costs incurred have been included in acquisition and integration-related costs on the Company's condensed consolidated statements of operations for the three months ended March 31,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 Country Workforce Solutions Group (CCWSG)</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8, 2021, the Company purchased and acquired substantially all of the assets and assumed certain liabilities of Workforce Solutions Group, Inc. (WSG) for a purchase price of $25.0 million in cash and $5.0 million in shares (or 307,730 shares) of the Company's common stock. The parties agreed to a final net working capital reduction of $1.1 million which was received in the fourth quarter of 2021.The transaction was treated as a purchase of assets for income tax purposes.</w:t>
      </w:r>
    </w:p>
    <w:p>
      <w:pPr>
        <w:spacing w:after="0" w:line="20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sellers are also eligible to receive an earnout based on the business' performance through three years after the acquisition date that could provide up to an additional $15.0 million in cash. The current portion of the liability of $7.5 million is included in current portion of earnout liability and the non-current portion of $7.5 million is included in non-current earnout liability on the condensed consolidated balance sheets. See Note 10 - Fair Value Measurements.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assets acquired and liabilities assumed on June 8, 2021:</w:t>
            </w: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500"/>
        </w:trPr>
        <w:tc>
          <w:tcPr>
            <w:tcW w:w="9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(amounts in thousands)</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11,991</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22,066</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0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w:t>
            </w:r>
          </w:p>
        </w:tc>
      </w:tr>
      <w:tr>
        <w:trPr>
          <w:trHeight w:val="223"/>
        </w:trPr>
        <w:tc>
          <w:tcPr>
            <w:tcW w:w="9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50,361</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 current</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0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3"/>
        </w:trPr>
        <w:tc>
          <w:tcPr>
            <w:tcW w:w="9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21,027</w:t>
            </w:r>
          </w:p>
        </w:tc>
      </w:tr>
      <w:tr>
        <w:trPr>
          <w:trHeight w:val="248"/>
        </w:trPr>
        <w:tc>
          <w:tcPr>
            <w:tcW w:w="9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assets acquired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assigned a value to other identifiable intangible assets of $14.2 million in customer relationships with a weighted average estimated useful life of 11.5 years.</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remaining excess purchase price over the fair value of net assets acquired of $22.1 million was recorded as goodwill on the Company's condensed consolidated balance sheets. See Note 7 - Goodwill, Trade Names, and Other Intangible Assets.</w:t>
      </w:r>
    </w:p>
    <w:p>
      <w:pPr>
        <w:spacing w:after="0" w:line="189"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The acquisition was not significant and has been accounted for using the acquisition method of accounting. The pro-forma impact on the Company's consolidated revenue from services and net income, including the pro forma effect of events that are directly attributable to the acquisition, was not significant.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Mediscan</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first quarter of 2020, the Company entered into a note payable of $7.3 million related to contingent consideration assumed as part of the Mediscan acquisition, payable in three installments. The first two installments of $2.4 million each were paid in the second quarter of 2020 and in the first quarter of 2021, respectively. The third and final installment of $2.6 million, including interest, was paid in the first quarter of 2022.</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COMPREHENSIVE INCOME</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Total comprehensive income includes net income or loss and foreign currency translation adjustments, net of any related deferred taxes, and is included within the accompanying condensed consolidated statements of operations. Certain of the Company’s foreign subsidiaries use their respective local currency as their functional currency.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an unrealized loss of $1.4 million at March 31, 2022 and $1.3 million at December 31, 2021.</w:t>
      </w: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numerator and denominator for the computation of the basic and diluted earnings per share: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2800" w:type="dxa"/>
            <w:vAlign w:val="bottom"/>
            <w:gridSpan w:val="4"/>
          </w:tcPr>
          <w:p>
            <w:pPr>
              <w:jc w:val="center"/>
              <w:ind w:left="513"/>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00" w:type="dxa"/>
            <w:vAlign w:val="bottom"/>
          </w:tcPr>
          <w:p>
            <w:pPr>
              <w:spacing w:after="0"/>
              <w:rPr>
                <w:sz w:val="20"/>
                <w:szCs w:val="20"/>
                <w:color w:val="auto"/>
              </w:rPr>
            </w:pPr>
          </w:p>
        </w:tc>
      </w:tr>
      <w:tr>
        <w:trPr>
          <w:trHeight w:val="270"/>
        </w:trPr>
        <w:tc>
          <w:tcPr>
            <w:tcW w:w="7840" w:type="dxa"/>
            <w:vAlign w:val="bottom"/>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3"/>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0" w:type="dxa"/>
            <w:vAlign w:val="bottom"/>
            <w:tcBorders>
              <w:bottom w:val="single" w:sz="8" w:color="auto"/>
            </w:tcBorders>
          </w:tcPr>
          <w:p>
            <w:pPr>
              <w:spacing w:after="0"/>
              <w:rPr>
                <w:sz w:val="23"/>
                <w:szCs w:val="23"/>
                <w:color w:val="auto"/>
              </w:rPr>
            </w:pPr>
          </w:p>
        </w:tc>
      </w:tr>
      <w:tr>
        <w:trPr>
          <w:trHeight w:val="250"/>
        </w:trPr>
        <w:tc>
          <w:tcPr>
            <w:tcW w:w="784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bottom w:val="single" w:sz="8" w:color="auto"/>
            </w:tcBorders>
          </w:tcPr>
          <w:p>
            <w:pPr>
              <w:spacing w:after="0"/>
              <w:rPr>
                <w:sz w:val="21"/>
                <w:szCs w:val="21"/>
                <w:color w:val="auto"/>
              </w:rPr>
            </w:pPr>
          </w:p>
        </w:tc>
      </w:tr>
      <w:tr>
        <w:trPr>
          <w:trHeight w:val="189"/>
        </w:trPr>
        <w:tc>
          <w:tcPr>
            <w:tcW w:w="7840" w:type="dxa"/>
            <w:vAlign w:val="bottom"/>
          </w:tcPr>
          <w:p>
            <w:pPr>
              <w:spacing w:after="0"/>
              <w:rPr>
                <w:sz w:val="16"/>
                <w:szCs w:val="16"/>
                <w:color w:val="auto"/>
              </w:rPr>
            </w:pPr>
          </w:p>
        </w:tc>
        <w:tc>
          <w:tcPr>
            <w:tcW w:w="340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(amounts in thousands, except per share data)</w:t>
            </w:r>
          </w:p>
        </w:tc>
      </w:tr>
      <w:tr>
        <w:trPr>
          <w:trHeight w:val="23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29"/>
        </w:trPr>
        <w:tc>
          <w:tcPr>
            <w:tcW w:w="7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stockholders - Basic and Diluted</w:t>
            </w:r>
          </w:p>
        </w:tc>
        <w:tc>
          <w:tcPr>
            <w:tcW w:w="10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61,983</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19,448</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 Basic</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36,181</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diluted shares:</w:t>
            </w: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7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Share-based awards</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 Diluted</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37,973</w:t>
            </w: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37,034</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 Basic</w:t>
            </w:r>
          </w:p>
        </w:tc>
        <w:tc>
          <w:tcPr>
            <w:tcW w:w="10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 Diluted</w:t>
            </w:r>
          </w:p>
        </w:tc>
        <w:tc>
          <w:tcPr>
            <w:tcW w:w="10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r>
      <w:tr>
        <w:trPr>
          <w:trHeight w:val="20"/>
        </w:trPr>
        <w:tc>
          <w:tcPr>
            <w:tcW w:w="7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2021, there were 4,276 share-based awards that could potentially dilute net income per share attributable to common stockholders in the future that were not included in the computation of diluted net income per share attributable to common stockholders because to do so would have been anti-dilutive for that period. There were no such share-based awards for the three months ended March 31, 2022.</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58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7.  GOODWILL, TRADE NAMES, AND OTHER INTANGIBLE ASSETS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3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The Company had the following acquired intangible assets: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9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center"/>
              <w:ind w:right="38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4"/>
                <w:szCs w:val="14"/>
                <w:color w:val="auto"/>
              </w:rPr>
            </w:pPr>
          </w:p>
        </w:tc>
        <w:tc>
          <w:tcPr>
            <w:tcW w:w="94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4"/>
                <w:szCs w:val="14"/>
                <w:color w:val="auto"/>
              </w:rPr>
            </w:pPr>
          </w:p>
        </w:tc>
        <w:tc>
          <w:tcPr>
            <w:tcW w:w="960" w:type="dxa"/>
            <w:vAlign w:val="bottom"/>
            <w:gridSpan w:val="2"/>
          </w:tcPr>
          <w:p>
            <w:pPr>
              <w:jc w:val="center"/>
              <w:ind w:right="160"/>
              <w:spacing w:after="0" w:line="169"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jc w:val="center"/>
              <w:ind w:right="3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(amounts in thousands)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Intangible assets subject to amortization:</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Databases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19,138</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2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47,738</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Non-compete agreements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 indefinite-lived</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gridSpan w:val="8"/>
            <w:vMerge w:val="restart"/>
          </w:tcPr>
          <w:p>
            <w:pPr>
              <w:spacing w:after="0"/>
              <w:rPr>
                <w:sz w:val="20"/>
                <w:szCs w:val="20"/>
                <w:color w:val="auto"/>
              </w:rPr>
            </w:pPr>
            <w:r>
              <w:rPr>
                <w:rFonts w:ascii="Times New Roman" w:cs="Times New Roman" w:eastAsia="Times New Roman" w:hAnsi="Times New Roman"/>
                <w:sz w:val="18"/>
                <w:szCs w:val="18"/>
                <w:color w:val="auto"/>
              </w:rPr>
              <w:t>As of March 31, 2022, estimated annual amortization expense is as follows: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880" w:type="dxa"/>
            <w:vAlign w:val="bottom"/>
            <w:gridSpan w:val="8"/>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0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color w:val="auto"/>
              </w:rPr>
              <w:t>(amounts in thousands)</w:t>
            </w:r>
          </w:p>
        </w:tc>
        <w:tc>
          <w:tcPr>
            <w:tcW w:w="0" w:type="dxa"/>
            <w:vAlign w:val="bottom"/>
          </w:tcPr>
          <w:p>
            <w:pPr>
              <w:spacing w:after="0"/>
              <w:rPr>
                <w:sz w:val="1"/>
                <w:szCs w:val="1"/>
                <w:color w:val="auto"/>
              </w:rPr>
            </w:pPr>
          </w:p>
        </w:tc>
      </w:tr>
      <w:tr>
        <w:trPr>
          <w:trHeight w:val="23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bottom w:val="single" w:sz="8" w:color="auto"/>
            </w:tcBorders>
          </w:tcPr>
          <w:p>
            <w:pPr>
              <w:jc w:val="center"/>
              <w:ind w:right="55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Trade Names, and Other Intangible Assets Impairment</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 including COVID, 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spacing w:after="0" w:line="2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of March 31, 2022, the Company performed a qualitative assessment of each of its reporting units and determined it was not more likely than not that the fair value of its reporting units dropped below their carrying value. Although management believes that the Company's current estimates and assumptions utilized in its qualitative testing are reasonable and supportable, including its assumptions on the impact and timing related to COVID, there can be no assurance that the estimates and assumptions management used for purposes of its qualitative assessment as of March 31, 2022 will prove to be accurate predictions of future performance.</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March 31, 2022, goodwill by reporting segment was: $116.7 million for Nurse and Allied Staffing and $2.8 million for Physician Staffing, for a total of $119.5 million. Goodwill includes amounts acquired from the acquisitions of WSG and Selected, calculated as the excess of the fair value of consideration exchanged as compared to the fair value of identifiable net assets acquired. See Note 4 - Acquisitions. During the measurement period, which is not to exceed one year from the acquisition date, the Company may record adjustments to the assets acquired or liabilities assumed, with a corresponding offset to goodwill. Upon conclusion of the measurement period, any subsequent adjustments would be recorded to earnings.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ind w:right="40"/>
        <w:spacing w:after="0" w:line="261" w:lineRule="auto"/>
        <w:rPr>
          <w:sz w:val="20"/>
          <w:szCs w:val="20"/>
          <w:color w:val="auto"/>
        </w:rPr>
      </w:pPr>
      <w:r>
        <w:rPr>
          <w:rFonts w:ascii="Times New Roman" w:cs="Times New Roman" w:eastAsia="Times New Roman" w:hAnsi="Times New Roman"/>
          <w:sz w:val="18"/>
          <w:szCs w:val="18"/>
          <w:color w:val="auto"/>
        </w:rPr>
        <w:t>For its long-lived assets and definite-lived intangible assets, the Company reviews for impairment whenever events or changes in circumstances indicate the carrying amount may not be recoverable. As of March 31, 2022, the Company performed a qualitative assessment of its trade names and other intangible assets and determined it was not more likely than not that their carrying value may not be recoverable. During the three months ended March 31, 2021, the Company wrote off a discontinued software development project, resulting in an immaterial impairment charge.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DEBT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long-term debt consists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Pr>
          <w:p>
            <w:pPr>
              <w:spacing w:after="0"/>
              <w:rPr>
                <w:sz w:val="22"/>
                <w:szCs w:val="22"/>
                <w:color w:val="auto"/>
              </w:rPr>
            </w:pPr>
          </w:p>
        </w:tc>
        <w:tc>
          <w:tcPr>
            <w:tcW w:w="22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Debt</w:t>
            </w: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Debt</w:t>
            </w:r>
          </w:p>
        </w:tc>
        <w:tc>
          <w:tcPr>
            <w:tcW w:w="0" w:type="dxa"/>
            <w:vAlign w:val="bottom"/>
          </w:tcPr>
          <w:p>
            <w:pPr>
              <w:spacing w:after="0"/>
              <w:rPr>
                <w:sz w:val="1"/>
                <w:szCs w:val="1"/>
                <w:color w:val="auto"/>
              </w:rPr>
            </w:pPr>
          </w:p>
        </w:tc>
      </w:tr>
      <w:tr>
        <w:trPr>
          <w:trHeight w:val="180"/>
        </w:trPr>
        <w:tc>
          <w:tcPr>
            <w:tcW w:w="6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5"/>
                <w:szCs w:val="15"/>
                <w:color w:val="auto"/>
              </w:rPr>
            </w:pPr>
          </w:p>
        </w:tc>
        <w:tc>
          <w:tcPr>
            <w:tcW w:w="118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Issuance</w:t>
            </w:r>
          </w:p>
        </w:tc>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5"/>
                <w:szCs w:val="15"/>
                <w:color w:val="auto"/>
              </w:rPr>
            </w:pPr>
          </w:p>
        </w:tc>
        <w:tc>
          <w:tcPr>
            <w:tcW w:w="94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Issuance</w:t>
            </w:r>
          </w:p>
        </w:tc>
        <w:tc>
          <w:tcPr>
            <w:tcW w:w="0" w:type="dxa"/>
            <w:vAlign w:val="bottom"/>
          </w:tcPr>
          <w:p>
            <w:pPr>
              <w:spacing w:after="0"/>
              <w:rPr>
                <w:sz w:val="1"/>
                <w:szCs w:val="1"/>
                <w:color w:val="auto"/>
              </w:rPr>
            </w:pPr>
          </w:p>
        </w:tc>
      </w:tr>
      <w:tr>
        <w:trPr>
          <w:trHeight w:val="238"/>
        </w:trPr>
        <w:tc>
          <w:tcPr>
            <w:tcW w:w="6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(amounts in thousands)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interest of 6.50% at March 31, 2022 and December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173,875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174,312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0" w:type="dxa"/>
            <w:vAlign w:val="bottom"/>
          </w:tcPr>
          <w:p>
            <w:pPr>
              <w:spacing w:after="0"/>
              <w:rPr>
                <w:sz w:val="1"/>
                <w:szCs w:val="1"/>
                <w:color w:val="auto"/>
              </w:rPr>
            </w:pPr>
          </w:p>
        </w:tc>
      </w:tr>
      <w:tr>
        <w:trPr>
          <w:trHeight w:val="175"/>
        </w:trPr>
        <w:tc>
          <w:tcPr>
            <w:tcW w:w="6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Secured Asset-Based Loan, interest of 1.88% and 1.60% at March 31, 2022</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December 31, 2021, respectively</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Payable, interest of 2.00% per annum at December 31, 2021</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225,376</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185,938</w:t>
            </w: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 note payable</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 term loan</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223,626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181,762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March 31, 2022 and December 31, 2021, the current portion of the term loan is included in current portion of debt on the condensed consolidated balance sheets. In addition, the current portion of the note payable as of December 31, 2021 is included in current portion of debt on the condensed consolidated balance sheets. The Company has elected to present the debt issuance costs associated with its revolving line-of-credit as an asset, which is included in other non-current assets on the condensed consolidated balance sheets. As a result, the long-term debt in the above table will not agree to long-term debt, net of current portion on the condensed consolidated balance sheets herein.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2022, the aggregate schedule for maturities of debt are as follows:</w:t>
            </w: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Term Loan</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Senior Secured Asset-</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Based Loan</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6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color w:val="auto"/>
              </w:rPr>
              <w:t>(amounts in thousands)</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Through Years Ending December 31:</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165,563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51,501</w:t>
            </w:r>
          </w:p>
        </w:tc>
        <w:tc>
          <w:tcPr>
            <w:tcW w:w="0" w:type="dxa"/>
            <w:vAlign w:val="bottom"/>
          </w:tcPr>
          <w:p>
            <w:pPr>
              <w:spacing w:after="0"/>
              <w:rPr>
                <w:sz w:val="1"/>
                <w:szCs w:val="1"/>
                <w:color w:val="auto"/>
              </w:rPr>
            </w:pP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173,875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Term Loan Credit Agreement</w:t>
      </w:r>
    </w:p>
    <w:p>
      <w:pPr>
        <w:spacing w:after="0" w:line="10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On June 8, 2021, the Company entered into a Term Loan Credit Agreement (Term Loan Agreement) with certain lenders identified therein (collectively, the Lenders) and Wilmington Trust, National Association as administrative agent and collateral agent, pursuant to which the Lenders extended to the Company a six-year second lien subordinated term loan in the amount of $100.0 million (term loan). The term loan has an interest rate of one-month London Inter-Bank Offered Rate (LIBOR) plus 5.75% per annum, subject to a 0.75% LIBOR floor. The term loan was used to pay the cash consideration, as well as any costs, fees, and expenses in connection with the WSG acquisition (see Note 4 - Acquisitions), with the remainder used to pay down a</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jc w:val="both"/>
        <w:ind w:right="640"/>
        <w:spacing w:after="0" w:line="296" w:lineRule="auto"/>
        <w:rPr>
          <w:sz w:val="20"/>
          <w:szCs w:val="20"/>
          <w:color w:val="auto"/>
        </w:rPr>
      </w:pPr>
      <w:r>
        <w:rPr>
          <w:rFonts w:ascii="Times New Roman" w:cs="Times New Roman" w:eastAsia="Times New Roman" w:hAnsi="Times New Roman"/>
          <w:sz w:val="17"/>
          <w:szCs w:val="17"/>
          <w:color w:val="auto"/>
        </w:rPr>
        <w:t>portion of the asset based credit facility. Fees paid in connection with the Term Loan Agreement have been included as debt issuance costs and as a reduction to the carrying amount of the term loan and are expected to be amortized to interest expense over the term of the Term Loan Agreement.</w:t>
      </w:r>
    </w:p>
    <w:p>
      <w:pPr>
        <w:spacing w:after="0" w:line="166"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The borrowings under the Term Loan Agreement generally bear interest at a variable rate based on either LIBOR or Base Rate (as defined in the Term Loan Agreement) and are subject to mandatory prepayments of principal payable in quarterly installments, commencing on September 30, 2021, with each installment being in the aggregate principal amount of $0.3 million (subject to adjustment as a result of prepayments) provided that, to the extent not previously paid, the aggregate unpaid principal balance would be due and payable on the maturity date. The Term Loan Agreement contains various restrictions and covenants applicable to the Company and its subsidiaries, including a covenant to maintain a minimum net leverage ratio. The Company was in compliance with this covenant as of March 31, 2022. Obligations under the Term Loan Agreement are secured by substantially all the assets of the borrowers and guarantors under the Term Loan Agreement, subject to customary exceptions.</w:t>
      </w:r>
    </w:p>
    <w:p>
      <w:pPr>
        <w:spacing w:after="0" w:line="9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November 18, 2021, the Company amended its Term Loan Agreement (Term Loan First Amendment), which provided the Company an incremental term loan in an aggregate amount equal to $75.0 million. Additionally, the Term Loan First Amendment increased the aggregate amount of all increases (as defined in the Term Loan Agreement) to be no greater than $115.0 million. The borrowings will be used primarily to fund organic growth. Commencing on December 31, 2021, installments of the mandatory prepayments will be in the aggregate principal amount of $0.4 million. All other terms, conditions, covenants, and pricing of the Term Loan Agreement remain the same. In conjunction with the Term Loan First Amendment, the Company entered into the Term Loan First Amendment to the Intercreditor Agreement, effective as of November 18, 2021, which sets forth the lien priority, relative rights, and other creditors’ rights issues in respect of the collateral lenders.</w:t>
      </w:r>
    </w:p>
    <w:p>
      <w:pPr>
        <w:spacing w:after="0" w:line="21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term loan is secured by a second-priority security interest in the collateral as defined in the ABL Credit Agreement (Loan Agreement) (as described below), and Wells Fargo Bank, National Association as agent, as amended by the First Amendment, Second Amendment, Third Amendment, Fourth Amendment, and Fifth Amendment to the Loan Agreement (as described below). The lien priority, relative rights, and other creditors’ rights issues in respect of the collateral lenders are set forth in the Intercreditor Agreement, by and among Wells Fargo Bank, National Association, as first lien agent, and Wilmington Trust, National Association, as second lien agent, as amended, restated, amended and restated, supplemented or otherwise modified from time to time in accordance with the terms thereof dated June 8, 2021 (Intercreditor Agreement).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Loan Agreement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Effective October 25, 2019, the Company terminated its commitments under its prior senior credit facility entered into in August 2017 and entered into a Loan Agreement, by and among the Company and certain of its domestic subsidiaries, as borrowers or guarantors, Wells Fargo, PNC Bank N.A., as well as other Lenders (as defined) from time to time parties thereto. The Loan Agreement provides for a five-year revolving senior secured asset-based credit facility (ABL) in the aggregate principal amount of up to $120.0 million (as described below), including a sublimit for swing loans up to $15.0 million and a $35.0 million sublimit for standby letters of credit.</w:t>
      </w:r>
    </w:p>
    <w:p>
      <w:pPr>
        <w:spacing w:after="0" w:line="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June 30, 2020, the Company amended its Loan Agreement (First Amendment), which increased the current aggregate committed size of the ABL from $120.0 million to $130.0 million. All other terms, conditions, covenants, and pricing of the Loan Agreement remained the same.</w:t>
      </w:r>
    </w:p>
    <w:p>
      <w:pPr>
        <w:spacing w:after="0" w:line="5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On March 8, 2021, the Company amended its Loan Agreement (Second Amendment), which increased the current aggregate committed size of the ABL from $130.0 million to $150.0 million, increased certain borrowing base sub-limits, and decreased both the cash dominion event and financial reporting triggers.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8, 2021, the Company amended its Loan Agreement (Third Amendment), which permits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w:t>
      </w:r>
    </w:p>
    <w:p>
      <w:pPr>
        <w:spacing w:after="0" w:line="6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November 18, 2021, the Company amended its Loan Agreement (Fourth Amendment), whereby the permitted indebtedness (as defined in the Loan Agreement), was increased to $175.0 million.</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March 21, 2022, the Company amended its Loan Agreement (Fifth Amendment), which increased the current aggregate committed size of the ABL from $150.0 million to $300.0 million, extended the credit facility for an additional five years, and increased certain borrowing base sub-limits. In addition, the agreement provides the option for all or a portion of the borrowings to bear interest at a rate based on the Secured Overnight Financing Rate (SOFR) or Base Rate, at the election of the borrowers, plus an applicable margin. The applicable margin will increase 10 basis points due to the credit spread associated with the transition to SOFR.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ind w:right="340"/>
        <w:spacing w:after="0" w:line="282" w:lineRule="auto"/>
        <w:rPr>
          <w:sz w:val="20"/>
          <w:szCs w:val="20"/>
          <w:color w:val="auto"/>
        </w:rPr>
      </w:pPr>
      <w:r>
        <w:rPr>
          <w:rFonts w:ascii="Times New Roman" w:cs="Times New Roman" w:eastAsia="Times New Roman" w:hAnsi="Times New Roman"/>
          <w:sz w:val="18"/>
          <w:szCs w:val="18"/>
          <w:color w:val="auto"/>
        </w:rPr>
        <w:t>These amendments were treated as modifications of debt and, as a result, the associated fees and costs were included in debt issuance costs and will be amortized ratably over the remaining term of the Loan Agreement.</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Availability of the ABL commitments is subject to a borrowing base of up to 85% of secured eligible accounts receivable, subject to adjustment at certain quality levels, minus customary reserves and subject to customary adjustments. Revolving loans and letters of credit issued under the Loan Agreement reduce availability under the ABL on a dollar-for-dollar basis. Availability under the ABL will be used for general corporate purposes. At March 31, 2022, borrowing base availability under the ABL was $300.0 million and the Company had $51.5 million of borrowings drawn, as well as $17.5 million of letters of credit outstanding related to workers' compensation and professional liability policies, leaving $231.0 million of excess availability.</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March 31, 2022, the interest rate spreads and fees under the Loan Agreement were based on SOFR plus 1.85% for the revolving portion of the borrowing base. The Base Rate (as defined by the Loan Agreement) margin would have been 0.75% for the revolving portion. The SOFR and Base Rate margins are subject to monthly pricing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Loan Agreement contains various restrictions and covenants applicable to the Company and its subsidiaries, including a covenant to maintain a minimum fixed charge coverage ratio. The Company was in compliance with this covenant as of March 31, 2022. Obligations under the ABL are secured by substantially all the assets of the borrowers and guarantors, subject to customary exceptions.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Payable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first quarter of 2020, the Company entered into a note payable of $7.3 million related to contingent consideration assumed as part of a prior period acquisition, payable in three installments. The first two installments of $2.4 million each were paid in the second quarter of 2020 and in the first quarter of 2021, respectively. The third and final installment of $2.6 million, including interest, was paid in the first quarter of 2022.</w:t>
      </w:r>
    </w:p>
    <w:p>
      <w:pPr>
        <w:spacing w:after="0" w:line="30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25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Company's lease population of its right-of-use asset and lease liabilities is substantially related to the rental of office space. The Company enters into lease agreements as a lessee that may include options to extend or terminate early. Some of these real estate leases require variable payments of property taxes, insurance, and common area maintenance, in addition to base rent. Certain of the leases have provisions for free rent months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w:t>
      </w:r>
    </w:p>
    <w:p>
      <w:pPr>
        <w:spacing w:after="0" w:line="2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Beginning in the second quarter of 2020, in connection with the continuing developments from COVID, the Company expedited restructuring plans and either reduced or fully vacated leased office space. The Company is in the process of seeking to sublet some of the space where possible. The decision and change in the use of space resulted in a right-of-use asset impairment charge of $1.5 million for the three months ended March 31, 2022. This loss was determined by comparing the fair value of the impacted right-of-use assets to the carrying value of the assets as of the impairment measurement date. The fair value of the right-of-use assets was based on the estimated sublease income for the space taking into consideration the time period it will take to obtain a subtenant, the applicable discount rate, and the sublease rate. For the three months ended March 31, 2022, the Company wrote off an immaterial amount of leasehold improvements and other property and equipment related to these locations. The Company did not record any lease-related impairment charges for the three months ended March 31, 2021. The measurement of the right-of-use asset impairments, using the assumptions described, is a Level 3 fair value measurement. See Note 10 - Fair Value Measurements for a description of Level 3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included on the condensed consolidated balance sheets: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 on Condensed Consolidated Balance Sheets:</w:t>
            </w:r>
          </w:p>
        </w:tc>
        <w:tc>
          <w:tcPr>
            <w:tcW w:w="2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6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5880" w:type="dxa"/>
            <w:vAlign w:val="bottom"/>
          </w:tcPr>
          <w:p>
            <w:pPr>
              <w:spacing w:after="0"/>
              <w:rPr>
                <w:sz w:val="19"/>
                <w:szCs w:val="19"/>
                <w:color w:val="auto"/>
              </w:rPr>
            </w:pPr>
          </w:p>
        </w:tc>
        <w:tc>
          <w:tcPr>
            <w:tcW w:w="416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(amounts in thousands)</w:t>
            </w:r>
          </w:p>
        </w:tc>
        <w:tc>
          <w:tcPr>
            <w:tcW w:w="1200" w:type="dxa"/>
            <w:vAlign w:val="bottom"/>
          </w:tcPr>
          <w:p>
            <w:pPr>
              <w:spacing w:after="0"/>
              <w:rPr>
                <w:sz w:val="19"/>
                <w:szCs w:val="19"/>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0" w:type="dxa"/>
            <w:vAlign w:val="bottom"/>
            <w:shd w:val="clear" w:color="auto" w:fill="CCEEFF"/>
          </w:tcPr>
          <w:p>
            <w:pPr>
              <w:jc w:val="right"/>
              <w:ind w:right="1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5,447</w:t>
            </w:r>
          </w:p>
        </w:tc>
        <w:tc>
          <w:tcPr>
            <w:tcW w:w="150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w:t>
            </w: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00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4,026</w:t>
            </w:r>
          </w:p>
        </w:tc>
        <w:tc>
          <w:tcPr>
            <w:tcW w:w="150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000" w:type="dxa"/>
            <w:vAlign w:val="bottom"/>
            <w:shd w:val="clear" w:color="auto" w:fill="CCEEFF"/>
          </w:tcPr>
          <w:p>
            <w:pPr>
              <w:jc w:val="right"/>
              <w:ind w:right="18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9,704</w:t>
            </w:r>
          </w:p>
        </w:tc>
        <w:tc>
          <w:tcPr>
            <w:tcW w:w="150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w:t>
            </w: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6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9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years</w:t>
            </w:r>
          </w:p>
        </w:tc>
        <w:tc>
          <w:tcPr>
            <w:tcW w:w="20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years</w:t>
            </w:r>
          </w:p>
        </w:tc>
      </w:tr>
      <w:tr>
        <w:trPr>
          <w:trHeight w:val="234"/>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200" w:type="dxa"/>
            <w:vAlign w:val="bottom"/>
          </w:tcPr>
          <w:p>
            <w:pPr>
              <w:spacing w:after="0"/>
              <w:rPr>
                <w:sz w:val="20"/>
                <w:szCs w:val="20"/>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6.39 %</w:t>
            </w:r>
          </w:p>
        </w:tc>
      </w:tr>
    </w:tbl>
    <w:p>
      <w:pPr>
        <w:spacing w:after="0" w:line="30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and total of, the remaining years to the operating lease liabilities (which do not include short-term leases) recorded on the condensed consolidated balance sheets as of March 31,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(amounts in thousands)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tcPr>
          <w:p>
            <w:pPr>
              <w:spacing w:after="0"/>
              <w:rPr>
                <w:sz w:val="19"/>
                <w:szCs w:val="19"/>
                <w:color w:val="auto"/>
              </w:rPr>
            </w:pPr>
          </w:p>
        </w:tc>
        <w:tc>
          <w:tcPr>
            <w:tcW w:w="8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operating lease liabilities - current</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2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provides information regarding supplemental cash flows: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7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1,383</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 acquired under operating lease</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7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Included in Condensed Consolidated Statements of Operations:</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expense</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802</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lease expense</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1,144</w:t>
            </w:r>
          </w:p>
        </w:tc>
        <w:tc>
          <w:tcPr>
            <w:tcW w:w="9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and other lease costs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757</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ind w:right="80"/>
        <w:spacing w:after="0" w:line="266" w:lineRule="auto"/>
        <w:rPr>
          <w:sz w:val="20"/>
          <w:szCs w:val="20"/>
          <w:color w:val="auto"/>
        </w:rPr>
      </w:pPr>
      <w:r>
        <w:rPr>
          <w:rFonts w:ascii="Times New Roman" w:cs="Times New Roman" w:eastAsia="Times New Roman" w:hAnsi="Times New Roman"/>
          <w:sz w:val="18"/>
          <w:szCs w:val="18"/>
          <w:color w:val="auto"/>
        </w:rPr>
        <w:t>Operating lease expense, short-term lease expense, and variable and other lease costs are included in selling, general and administrative expenses, direct operating expenses, and restructuring costs in the condensed consolidated statements of operations, depending on the nature of the leased asset. Operating lease expense is reported net of sublease income, which is not material.</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2022, the Company does not have any material operating leases which have not yet commenced. The Company has an immaterial amount of finance lease contracts related to other equipment rentals which are not included in the above disclosures.</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was established which requires an entity to maximize the use of observable inputs and minimize the use of unobservable inputs when measuring fair value. There are three levels of inputs that may be used to measure fair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225"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inputs that 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Recurring Basis: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Company’s financial assets/liabilities required to be measured on a recurring basis were its: (i) deferred compensation asset included in other non-current assets; and (ii) deferred compensation liability included in other long-term liabilities on its condensed consolidated balance sheets.</w:t>
      </w:r>
    </w:p>
    <w:p>
      <w:pPr>
        <w:spacing w:after="0" w:line="187" w:lineRule="exact"/>
        <w:rPr>
          <w:sz w:val="20"/>
          <w:szCs w:val="20"/>
          <w:color w:val="auto"/>
        </w:rPr>
      </w:pPr>
    </w:p>
    <w:p>
      <w:pPr>
        <w:ind w:right="740"/>
        <w:spacing w:after="0" w:line="284" w:lineRule="auto"/>
        <w:rPr>
          <w:sz w:val="20"/>
          <w:szCs w:val="20"/>
          <w:color w:val="auto"/>
        </w:rPr>
      </w:pPr>
      <w:r>
        <w:rPr>
          <w:rFonts w:ascii="Times New Roman" w:cs="Times New Roman" w:eastAsia="Times New Roman" w:hAnsi="Times New Roman"/>
          <w:sz w:val="18"/>
          <w:szCs w:val="18"/>
          <w:i w:val="1"/>
          <w:iCs w:val="1"/>
          <w:color w:val="auto"/>
        </w:rPr>
        <w:t>Deferred compensation</w:t>
      </w:r>
      <w:r>
        <w:rPr>
          <w:rFonts w:ascii="Times New Roman" w:cs="Times New Roman" w:eastAsia="Times New Roman" w:hAnsi="Times New Roman"/>
          <w:sz w:val="18"/>
          <w:szCs w:val="18"/>
          <w:color w:val="auto"/>
        </w:rPr>
        <w:t>—The Company utilizes Level 1 inputs to value its deferred compensation assets and liabilities. The Company’s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assets and liabilities are measured using publicly available indices, as per the plan documents.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Company’s financial assets and liabilities measured on a recurring basis is as follows:</w:t>
      </w: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50" w:lineRule="exact"/>
        <w:rPr>
          <w:sz w:val="20"/>
          <w:szCs w:val="20"/>
          <w:color w:val="auto"/>
        </w:rPr>
      </w:pPr>
    </w:p>
    <w:p>
      <w:pPr>
        <w:ind w:left="7140"/>
        <w:spacing w:after="0"/>
        <w:tabs>
          <w:tab w:leader="none" w:pos="9380" w:val="left"/>
        </w:tabs>
        <w:rPr>
          <w:sz w:val="20"/>
          <w:szCs w:val="20"/>
          <w:color w:val="auto"/>
        </w:rPr>
      </w:pPr>
      <w:r>
        <w:rPr>
          <w:rFonts w:ascii="Times New Roman" w:cs="Times New Roman" w:eastAsia="Times New Roman" w:hAnsi="Times New Roman"/>
          <w:sz w:val="18"/>
          <w:szCs w:val="18"/>
          <w:b w:val="1"/>
          <w:bCs w:val="1"/>
          <w:color w:val="auto"/>
        </w:rPr>
        <w:t>March 31, 2022</w:t>
      </w:r>
      <w:r>
        <w:rPr>
          <w:sz w:val="20"/>
          <w:szCs w:val="20"/>
          <w:color w:val="auto"/>
        </w:rPr>
        <w:tab/>
      </w:r>
      <w:r>
        <w:rPr>
          <w:rFonts w:ascii="Times New Roman" w:cs="Times New Roman" w:eastAsia="Times New Roman" w:hAnsi="Times New Roman"/>
          <w:sz w:val="18"/>
          <w:szCs w:val="18"/>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19685</wp:posOffset>
            </wp:positionV>
            <wp:extent cx="29057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5"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6"/>
          <w:szCs w:val="16"/>
          <w:color w:val="auto"/>
        </w:rPr>
        <w:t>(amounts in thousands)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-127000</wp:posOffset>
            </wp:positionV>
            <wp:extent cx="710628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p>
      <w:pPr>
        <w:spacing w:after="0" w:line="27"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Times New Roman" w:cs="Times New Roman" w:eastAsia="Times New Roman" w:hAnsi="Times New Roman"/>
          <w:sz w:val="18"/>
          <w:szCs w:val="18"/>
          <w:color w:val="auto"/>
        </w:rPr>
        <w:t>Deferred compensation asset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1,305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-121920</wp:posOffset>
            </wp:positionV>
            <wp:extent cx="29057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p>
      <w:pPr>
        <w:spacing w:after="0" w:line="30"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Times New Roman" w:cs="Times New Roman" w:eastAsia="Times New Roman" w:hAnsi="Times New Roman"/>
          <w:sz w:val="18"/>
          <w:szCs w:val="18"/>
          <w:color w:val="auto"/>
        </w:rPr>
        <w:t>Deferred compensation liability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2,450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0576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05760" cy="342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Non-Recurring Basis: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18" w:name="page19"/>
    <w:bookmarkEnd w:id="18"/>
    <w:p>
      <w:pPr>
        <w:ind w:right="140"/>
        <w:spacing w:after="0" w:line="266" w:lineRule="auto"/>
        <w:rPr>
          <w:sz w:val="20"/>
          <w:szCs w:val="20"/>
          <w:color w:val="auto"/>
        </w:rPr>
      </w:pPr>
      <w:r>
        <w:rPr>
          <w:rFonts w:ascii="Times New Roman" w:cs="Times New Roman" w:eastAsia="Times New Roman" w:hAnsi="Times New Roman"/>
          <w:sz w:val="18"/>
          <w:szCs w:val="18"/>
          <w:color w:val="auto"/>
        </w:rPr>
        <w:t>The three months ended March 31, 2022 included impairment charges to right-of-use assets along with related property and equipment in connection with leases that were vacated. Accordingly, as of March 31, 2022, these assets were recorded at fair value using Level 3 inputs. See Note 9 - Leases for more information about these fair value measurements.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229"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Financial instruments not measured or recorded at fair value in the condensed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 Other financial instruments not measured or recorded at fair value include: (i) note payable, (ii) ABL, (iii) term loan, and (iv) and (v) earnout liabilities, as discussed below.</w:t>
      </w:r>
    </w:p>
    <w:p>
      <w:pPr>
        <w:spacing w:after="0" w:line="204" w:lineRule="exact"/>
        <w:rPr>
          <w:sz w:val="20"/>
          <w:szCs w:val="20"/>
          <w:color w:val="auto"/>
        </w:rPr>
      </w:pPr>
    </w:p>
    <w:p>
      <w:pPr>
        <w:ind w:right="20" w:firstLine="8"/>
        <w:spacing w:after="0" w:line="260" w:lineRule="auto"/>
        <w:tabs>
          <w:tab w:leader="none" w:pos="2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paid the third and final installment on its note payable in the first quarter of 2022. Due to its relatively short-term nature, the carrying value of the note payable approximated its fair value. (ii) The carrying amount of the Company's ABL approximates fair value because the interest rates are variable and reflective of market rates. (iii) The estimated fair value of the Company's term loan was calculated applying an interest rate lattice model using Level 2 inputs from available market information. (iv) Potential earnout payments related to the WSG acquisition are contingent upon meeting certain performance requirements based on 2021 through 2023 performance. The Company performed an analysis using multiple forecasted scenarios to determine the fair value of the earnout liability. The earnout liability's carrying amount approximates fair value and is included in current portion of earnout liability and non-current earnout liability on the condensed consolidated balance sheets. (v) Potential earnout payments related to the Selected acquisition are contingent upon meeting certain performance requirements based on 2022 and 2023 revenues. The earnout liability's carrying amount approximates fair value and is included in current portion of earnout liability and non-current earnout liability on the condensed consolidated balance sheets.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and estimated fair value of the Company’s significant financial instruments that were not measured at fair value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80" w:type="dxa"/>
            <w:vAlign w:val="bottom"/>
            <w:tcBorders>
              <w:bottom w:val="single" w:sz="8" w:color="auto"/>
            </w:tcBorders>
          </w:tcPr>
          <w:p>
            <w:pPr>
              <w:spacing w:after="0"/>
              <w:rPr>
                <w:sz w:val="20"/>
                <w:szCs w:val="20"/>
                <w:color w:val="auto"/>
              </w:rPr>
            </w:pPr>
          </w:p>
        </w:tc>
      </w:tr>
      <w:tr>
        <w:trPr>
          <w:trHeight w:val="174"/>
        </w:trPr>
        <w:tc>
          <w:tcPr>
            <w:tcW w:w="3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tcPr>
          <w:p>
            <w:pPr>
              <w:jc w:val="center"/>
              <w:ind w:right="500"/>
              <w:spacing w:after="0" w:line="17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560" w:type="dxa"/>
            <w:vAlign w:val="bottom"/>
          </w:tcPr>
          <w:p>
            <w:pPr>
              <w:spacing w:after="0"/>
              <w:rPr>
                <w:sz w:val="15"/>
                <w:szCs w:val="15"/>
                <w:color w:val="auto"/>
              </w:rPr>
            </w:pPr>
          </w:p>
        </w:tc>
        <w:tc>
          <w:tcPr>
            <w:tcW w:w="1140" w:type="dxa"/>
            <w:vAlign w:val="bottom"/>
          </w:tcPr>
          <w:p>
            <w:pPr>
              <w:jc w:val="center"/>
              <w:ind w:right="471"/>
              <w:spacing w:after="0" w:line="174" w:lineRule="exact"/>
              <w:rPr>
                <w:sz w:val="20"/>
                <w:szCs w:val="20"/>
                <w:color w:val="auto"/>
              </w:rPr>
            </w:pPr>
            <w:r>
              <w:rPr>
                <w:rFonts w:ascii="Times New Roman" w:cs="Times New Roman" w:eastAsia="Times New Roman" w:hAnsi="Times New Roman"/>
                <w:sz w:val="18"/>
                <w:szCs w:val="18"/>
                <w:b w:val="1"/>
                <w:bCs w:val="1"/>
                <w:color w:val="auto"/>
              </w:rPr>
              <w:t>Fair</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tcPr>
          <w:p>
            <w:pPr>
              <w:jc w:val="center"/>
              <w:ind w:right="500"/>
              <w:spacing w:after="0" w:line="17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640" w:type="dxa"/>
            <w:vAlign w:val="bottom"/>
          </w:tcPr>
          <w:p>
            <w:pPr>
              <w:spacing w:after="0"/>
              <w:rPr>
                <w:sz w:val="15"/>
                <w:szCs w:val="15"/>
                <w:color w:val="auto"/>
              </w:rPr>
            </w:pPr>
          </w:p>
        </w:tc>
        <w:tc>
          <w:tcPr>
            <w:tcW w:w="1080" w:type="dxa"/>
            <w:vAlign w:val="bottom"/>
          </w:tcPr>
          <w:p>
            <w:pPr>
              <w:jc w:val="right"/>
              <w:ind w:right="610"/>
              <w:spacing w:after="0" w:line="174" w:lineRule="exact"/>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3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560" w:type="dxa"/>
            <w:vAlign w:val="bottom"/>
          </w:tcPr>
          <w:p>
            <w:pPr>
              <w:spacing w:after="0"/>
              <w:rPr>
                <w:sz w:val="20"/>
                <w:szCs w:val="20"/>
                <w:color w:val="auto"/>
              </w:rPr>
            </w:pPr>
          </w:p>
        </w:tc>
        <w:tc>
          <w:tcPr>
            <w:tcW w:w="13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300" w:type="dxa"/>
            <w:vAlign w:val="bottom"/>
          </w:tcPr>
          <w:p>
            <w:pPr>
              <w:spacing w:after="0"/>
              <w:rPr>
                <w:sz w:val="20"/>
                <w:szCs w:val="20"/>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40" w:type="dxa"/>
            <w:vAlign w:val="bottom"/>
          </w:tcPr>
          <w:p>
            <w:pPr>
              <w:spacing w:after="0"/>
              <w:rPr>
                <w:sz w:val="20"/>
                <w:szCs w:val="20"/>
                <w:color w:val="auto"/>
              </w:rPr>
            </w:pPr>
          </w:p>
        </w:tc>
        <w:tc>
          <w:tcPr>
            <w:tcW w:w="10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07"/>
        </w:trPr>
        <w:tc>
          <w:tcPr>
            <w:tcW w:w="38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40" w:type="dxa"/>
            <w:vAlign w:val="bottom"/>
            <w:tcBorders>
              <w:top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6"/>
                <w:szCs w:val="16"/>
                <w:color w:val="auto"/>
              </w:rPr>
              <w:t>(amounts in thousands)</w:t>
            </w:r>
          </w:p>
        </w:tc>
        <w:tc>
          <w:tcPr>
            <w:tcW w:w="2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3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3"/>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382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Senior Secured Asset-Based Loan</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51,501</w:t>
            </w:r>
          </w:p>
        </w:tc>
        <w:tc>
          <w:tcPr>
            <w:tcW w:w="20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51,501</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9,200</w:t>
            </w:r>
          </w:p>
        </w:tc>
        <w:tc>
          <w:tcPr>
            <w:tcW w:w="200" w:type="dxa"/>
            <w:vAlign w:val="bottom"/>
          </w:tcPr>
          <w:p>
            <w:pPr>
              <w:spacing w:after="0"/>
              <w:rPr>
                <w:sz w:val="17"/>
                <w:szCs w:val="17"/>
                <w:color w:val="auto"/>
              </w:rPr>
            </w:pPr>
          </w:p>
        </w:tc>
        <w:tc>
          <w:tcPr>
            <w:tcW w:w="640" w:type="dxa"/>
            <w:vAlign w:val="bottom"/>
            <w:tcBorders>
              <w:bottom w:val="single" w:sz="8" w:color="auto"/>
            </w:tcBorders>
          </w:tcPr>
          <w:p>
            <w:pPr>
              <w:jc w:val="right"/>
              <w:ind w:right="4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9,200</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9"/>
        </w:trPr>
        <w:tc>
          <w:tcPr>
            <w:tcW w:w="3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173,875</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174,387</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174,312</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174,845</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2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Earnout Liability (WSG)</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w:t>
            </w:r>
          </w:p>
        </w:tc>
        <w:tc>
          <w:tcPr>
            <w:tcW w:w="20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w:t>
            </w:r>
          </w:p>
        </w:tc>
        <w:tc>
          <w:tcPr>
            <w:tcW w:w="200" w:type="dxa"/>
            <w:vAlign w:val="bottom"/>
          </w:tcPr>
          <w:p>
            <w:pPr>
              <w:spacing w:after="0"/>
              <w:rPr>
                <w:sz w:val="17"/>
                <w:szCs w:val="17"/>
                <w:color w:val="auto"/>
              </w:rPr>
            </w:pPr>
          </w:p>
        </w:tc>
        <w:tc>
          <w:tcPr>
            <w:tcW w:w="640" w:type="dxa"/>
            <w:vAlign w:val="bottom"/>
            <w:tcBorders>
              <w:bottom w:val="single" w:sz="8" w:color="auto"/>
            </w:tcBorders>
          </w:tcPr>
          <w:p>
            <w:pPr>
              <w:jc w:val="right"/>
              <w:ind w:right="4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3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Earnout Liability (Selected)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5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See discussion of credit losses and allowance for doubtful accounts in Note 2 - Summary of Significant Accounting Policies. Overall, based on the large number of customers in differing geographic areas, primarily throughout the United States and its territories, the Company believes the concentration of credit risk is limited.</w:t>
      </w:r>
    </w:p>
    <w:p>
      <w:pPr>
        <w:spacing w:after="0" w:line="172" w:lineRule="exact"/>
        <w:rPr>
          <w:sz w:val="20"/>
          <w:szCs w:val="20"/>
          <w:color w:val="auto"/>
        </w:rPr>
      </w:pPr>
    </w:p>
    <w:p>
      <w:pPr>
        <w:ind w:right="8520" w:firstLine="8"/>
        <w:spacing w:after="0" w:line="549" w:lineRule="auto"/>
        <w:tabs>
          <w:tab w:leader="none" w:pos="395"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Stock Repurchase Program</w:t>
      </w:r>
    </w:p>
    <w:p>
      <w:pPr>
        <w:spacing w:after="0" w:line="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did not repurchase any shares of its common stock. As of March 31, 2022, the Company has 510,004 shares of common stock under the current share repurchase program available to repurchase, subject to certain conditions in the Company's Loan Agreement and Term Loan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May 19, 2020, the Company's stockholders approved the Cross Country Healthcare, Inc. 2020 Omnibus Incentive Plan (2020 Plan), which replaced the 2017 Omnibus Incentive Plan (2017 Plan), and applies to awards granted after May 19, 2020.</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ind w:right="20"/>
        <w:spacing w:after="0" w:line="261" w:lineRule="auto"/>
        <w:rPr>
          <w:sz w:val="20"/>
          <w:szCs w:val="20"/>
          <w:color w:val="auto"/>
        </w:rPr>
      </w:pPr>
      <w:r>
        <w:rPr>
          <w:rFonts w:ascii="Times New Roman" w:cs="Times New Roman" w:eastAsia="Times New Roman" w:hAnsi="Times New Roman"/>
          <w:sz w:val="18"/>
          <w:szCs w:val="18"/>
          <w:color w:val="auto"/>
        </w:rPr>
        <w:t>The remaining shares available for grant under the 2017 Plan were cancelled and no further awards will be granted under that plan. The 2020 Plan generally mirrors the terms of the 2017 Plan and includes the following provisions: (i) an aggregate share reserve of 3,000,000 shares; (2) annual dollar and share limits of awards granted to employees and consultants, as well as non-employee directors, based on type of award; (3) awards granted generally will be subject to a minimum one-year vesting schedule; and (4) awards may be granted under the 2020 Plan until March 24, 2030.</w:t>
      </w:r>
    </w:p>
    <w:p>
      <w:pPr>
        <w:spacing w:after="0" w:line="207"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color w:val="auto"/>
        </w:rPr>
        <w:t>The following table summarizes restricted stock awards and performance stock awards activity issued under the 2017 Plan and the 2020 Plan (Plans) for the three months ended March 31,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24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31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Performance Stock Awards</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4820" w:type="dxa"/>
            <w:vAlign w:val="bottom"/>
          </w:tcPr>
          <w:p>
            <w:pPr>
              <w:spacing w:after="0"/>
              <w:rPr>
                <w:sz w:val="15"/>
                <w:szCs w:val="15"/>
                <w:color w:val="auto"/>
              </w:rPr>
            </w:pPr>
          </w:p>
        </w:tc>
        <w:tc>
          <w:tcPr>
            <w:tcW w:w="15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Target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4"/>
        </w:trPr>
        <w:tc>
          <w:tcPr>
            <w:tcW w:w="482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January 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1,039,455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215,006</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(481,231)</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(170,278)</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March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773,230</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506,840</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Restricted stock awards granted under the Company’s Plans entitle the holder to receive, at the end of a vesting period, a specified number of shares of the Company’s common stock. Share-based compensation expense is measured by the market value of the Company’s stock on the date of grant.</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Awards granted to non-employee directors under the 2017 Plan, prior to the adoption of the 2020 Plan, vest in three equal installments on the first, second and third anniversaries of the grant date, while restricted shares granted under the 2020 Plan on and subsequent to June 2020 will vest on the first anniversary of such grant date, or earlier subject to retirement eligibility. In addition, effective in the three months ended June 30, 2020, the Company implemented modified guidelines that provide for accelerated vesting of restricted stock grants on the last date of service when a retirement-eligible director retires.</w:t>
      </w:r>
    </w:p>
    <w:p>
      <w:pPr>
        <w:spacing w:after="0" w:line="2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the Plans, the number of target shares that are issued for performance-based stock awards are determined based on the level of attainment of the targets. During the first quarter of 2022, the Company's Compensation Committee of the Board of Directors approved a 120% level of attainment for the 2019 performance-based share awards, resulting in the issuance of 170,278 performance shares that vested on March 31, 2022.</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$1.6 million was included in selling, general and administrative expenses related to share-based payments, and a net of 419,500 shares of common stock were issued upon the vesting of restricted and performance stock.</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2021, $1.3 million was included in selling, general and administrative expenses related to share-based payments, and a net of 317,605 shares of common stock were issued upon the vesting of restricted stock.</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SEGMENT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segments offer services to its customers as described below:</w:t>
      </w:r>
    </w:p>
    <w:p>
      <w:pPr>
        <w:spacing w:after="0" w:line="250" w:lineRule="exact"/>
        <w:rPr>
          <w:sz w:val="20"/>
          <w:szCs w:val="20"/>
          <w:color w:val="auto"/>
        </w:rPr>
      </w:pPr>
    </w:p>
    <w:p>
      <w:pPr>
        <w:ind w:left="660" w:hanging="328"/>
        <w:spacing w:after="0" w:line="275" w:lineRule="auto"/>
        <w:tabs>
          <w:tab w:leader="none" w:pos="62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Nurse and Allied Staffing </w:t>
      </w:r>
      <w:r>
        <w:rPr>
          <w:rFonts w:ascii="Times New Roman" w:cs="Times New Roman" w:eastAsia="Times New Roman" w:hAnsi="Times New Roman"/>
          <w:sz w:val="17"/>
          <w:szCs w:val="17"/>
          <w:color w:val="auto"/>
        </w:rPr>
        <w:t>– Nurse and Allied Staffing provides traditional staffing, recruiting, and value-added total talent solutions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temporary and permanent placement of travel and local nurse and allied professionals, managed services programs (MSP) services, education healthcare services, in-home care services, and outsourcing services. In addition, Nurse and Allied Staffing provides retained search services for healthcare professionals, as well as contingent search and recruitment process outsourcing services. Its clients include: public and private acute-care and non-acute care hospitals, government facilities, local and national healthcare plans, managed care providers, public schools and charter schools, outpatient clinics, ambulatory care facilities, physician practice groups, and many other healthcare providers throughout the United States.</w:t>
      </w:r>
    </w:p>
    <w:p>
      <w:pPr>
        <w:spacing w:after="0" w:line="195" w:lineRule="exact"/>
        <w:rPr>
          <w:rFonts w:ascii="Times New Roman" w:cs="Times New Roman" w:eastAsia="Times New Roman" w:hAnsi="Times New Roman"/>
          <w:sz w:val="17"/>
          <w:szCs w:val="17"/>
          <w:color w:val="auto"/>
        </w:rPr>
      </w:pPr>
    </w:p>
    <w:p>
      <w:pPr>
        <w:ind w:left="660" w:right="940" w:hanging="328"/>
        <w:spacing w:after="0" w:line="284" w:lineRule="auto"/>
        <w:tabs>
          <w:tab w:leader="none" w:pos="6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Physician Staffing </w:t>
      </w:r>
      <w:r>
        <w:rPr>
          <w:rFonts w:ascii="Times New Roman" w:cs="Times New Roman" w:eastAsia="Times New Roman" w:hAnsi="Times New Roman"/>
          <w:sz w:val="18"/>
          <w:szCs w:val="18"/>
          <w:color w:val="auto"/>
        </w:rPr>
        <w:t>– Physician Staffing provides physicians in many specialties, as well as certified registered nurse anesthetists, nurse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practitioners, and physician assistants as independent contractors on temporary assignments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ind w:left="660" w:right="460"/>
        <w:spacing w:after="0" w:line="282" w:lineRule="auto"/>
        <w:rPr>
          <w:sz w:val="20"/>
          <w:szCs w:val="20"/>
          <w:color w:val="auto"/>
        </w:rPr>
      </w:pPr>
      <w:r>
        <w:rPr>
          <w:rFonts w:ascii="Times New Roman" w:cs="Times New Roman" w:eastAsia="Times New Roman" w:hAnsi="Times New Roman"/>
          <w:sz w:val="18"/>
          <w:szCs w:val="18"/>
          <w:color w:val="auto"/>
        </w:rPr>
        <w:t>throughout the United States at various healthcare facilities, such as acute and non-acute care facilities, medical group practices, government facilities, and managed care organizations.</w:t>
      </w:r>
    </w:p>
    <w:p>
      <w:pPr>
        <w:spacing w:after="0" w:line="189"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The Company evaluates performance of each segment primarily based on revenue and contribution income. The Company defines contribution income as income (loss) from operations before depreciation and amortization, acquisition and integration-related costs, restructuring costs, legal settlement charges, impairment charges, and corporate overhead. The Company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operating segments and a reconciliation to income from operations for the periods indicated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20" w:type="dxa"/>
            <w:vAlign w:val="bottom"/>
            <w:gridSpan w:val="4"/>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78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69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r>
      <w:tr>
        <w:trPr>
          <w:trHeight w:val="223"/>
        </w:trPr>
        <w:tc>
          <w:tcPr>
            <w:tcW w:w="78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7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gridSpan w:val="4"/>
          </w:tcPr>
          <w:p>
            <w:pPr>
              <w:jc w:val="center"/>
              <w:ind w:right="290"/>
              <w:spacing w:after="0"/>
              <w:rPr>
                <w:sz w:val="20"/>
                <w:szCs w:val="20"/>
                <w:color w:val="auto"/>
              </w:rPr>
            </w:pPr>
            <w:r>
              <w:rPr>
                <w:rFonts w:ascii="Times New Roman" w:cs="Times New Roman" w:eastAsia="Times New Roman" w:hAnsi="Times New Roman"/>
                <w:sz w:val="16"/>
                <w:szCs w:val="16"/>
                <w:color w:val="auto"/>
              </w:rPr>
              <w:t>(amounts in thousands)</w:t>
            </w:r>
          </w:p>
        </w:tc>
      </w:tr>
      <w:tr>
        <w:trPr>
          <w:trHeight w:val="23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765,580</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313,008</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16,233</w:t>
            </w:r>
          </w:p>
        </w:tc>
      </w:tr>
      <w:tr>
        <w:trPr>
          <w:trHeight w:val="223"/>
        </w:trPr>
        <w:tc>
          <w:tcPr>
            <w:tcW w:w="78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788,732</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329,241</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7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37,417</w:t>
            </w:r>
          </w:p>
        </w:tc>
      </w:tr>
      <w:tr>
        <w:trPr>
          <w:trHeight w:val="23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w:t>
            </w:r>
          </w:p>
        </w:tc>
      </w:tr>
      <w:tr>
        <w:trPr>
          <w:trHeight w:val="223"/>
        </w:trPr>
        <w:tc>
          <w:tcPr>
            <w:tcW w:w="7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38,845</w:t>
            </w:r>
          </w:p>
        </w:tc>
      </w:tr>
      <w:tr>
        <w:trPr>
          <w:trHeight w:val="257"/>
        </w:trPr>
        <w:tc>
          <w:tcPr>
            <w:tcW w:w="7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78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Corporate overhead </w:t>
            </w:r>
            <w:r>
              <w:rPr>
                <w:rFonts w:ascii="Times New Roman" w:cs="Times New Roman" w:eastAsia="Times New Roman" w:hAnsi="Times New Roman"/>
                <w:sz w:val="23"/>
                <w:szCs w:val="23"/>
                <w:color w:val="auto"/>
                <w:vertAlign w:val="superscript"/>
              </w:rPr>
              <w:t>(a)</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90,632</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20,994</w:t>
            </w:r>
          </w:p>
        </w:tc>
      </w:tr>
      <w:tr>
        <w:trPr>
          <w:trHeight w:val="20"/>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right="80" w:firstLine="8"/>
        <w:spacing w:after="0" w:line="260" w:lineRule="auto"/>
        <w:tabs>
          <w:tab w:leader="none" w:pos="2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involved in various litigation, claims, investigations, and other proceedings that arise in the ordinary course of its business. These matters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The Company believes the outcome of any outstanding loss contingencies as of March 31, 2022 will not have a material adverse effect on its business, financial condition, results of operations, or cash flows.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Other State Non-Income Tax Liabilities</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in the Company's condensed consolidated statements of operations and the liability is reflected in sales tax payable within other current liabilities in its condensed consolidated balance sheets.</w:t>
      </w:r>
    </w:p>
    <w:p>
      <w:pPr>
        <w:spacing w:after="0" w:line="2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the three-month period ended March 31, 2022, the Company calculated its effective tax rate estimating its annual effective tax rate as opposed to the quarter ended March 31, 2021, whereby the Company calculated its effective tax rate based on year-to-date results. The Company’s effective tax rate for the three months ended March 31, 2022 and 2021 was 28.9% and 4.5%, respectively, including the impact of discrete items. Excluding discrete items, the Company's effective tax rate for the three months ended March 31, 2022 and 2021 was 30.0% and 4.5%, respectively. The effective tax rate for the first quarter of 2022 was primarily impacted by federal and state taxes. Income tax expense for the three months ended March 31, 2021 was primarily impacted by international and state taxes as a result of the Company's valuation allowance on substantially all of its domestic deferred tax assets.</w:t>
      </w:r>
    </w:p>
    <w:p>
      <w:pPr>
        <w:spacing w:after="0" w:line="2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fourth quarter of 2021, the Company concluded that it was more likely than not that a benefit from a substantial portion of its United States federal and state deferred tax assets would be realized and released the majority of its valuation allowance. As of March 31, 2022 and December 31, 2021, the Company had an immaterial amount of valuation allowance on its deferred tax assets related to state net operating losses not expected to be realized before expiration.</w:t>
      </w:r>
    </w:p>
    <w:p>
      <w:pPr>
        <w:spacing w:after="0" w:line="20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of March 31, 2022, the Company had approximately $9.2 million of unrecognized tax benefits included in other long-term liabilities, $9.4 million, net of deferred taxes, which would impact the effective tax rate if recognized. During the three months ended March 31, 2022, the Company had net increases of $0.3 million to its current year unrecognized tax benefits related to federal and state tax provisions.</w:t>
      </w:r>
    </w:p>
    <w:p>
      <w:pPr>
        <w:spacing w:after="0" w:line="20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tax years 2012 through 2021 remain open to examination by certain taxing jurisdictions to which the Company is subject to tax, other than certain states in which the statute of limitations has been extended.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2" w:name="page23"/>
    <w:bookmarkEnd w:id="22"/>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5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The Company has entered into an arrangement for digital marketing services provided by a firm that is related to Mr. Clark, the Company's Co-Founder &amp; Chief Executive Officer through March 31, 2022. Mr. Clark is a minority shareholder in the firm's parent company and is a member of the parent company's Board of Directors. Management believes the terms of the arrangement are equivalent to those prevailing in an arm's-length transaction and have been approved by the Company through its related party process. The digital marketing firm manages a limited number of digital publishers covering various Company brands for a monthly management fee. During the three months ended March 31, 2022 and 2021, the Company incurred an immaterial amount in expenses. The Company had an immaterial payable balance at March 31, 2022 and December 31, 2021.</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provides services to entities which are affiliated with certain members of the Company’s Board of Directors. Management believes the services were conducted on terms equivalent to those prevailing in an arm's-length transaction. Revenue related to these transactions was immaterial for the three months ended March 31, 2022. The Company had no revenue related to these transactions for the three months ended March 31, 2021. Accounts receivable due from these entities was an immaterial amount at March 31, 2022 and December 31, 2021.</w:t>
      </w:r>
    </w:p>
    <w:p>
      <w:pPr>
        <w:spacing w:after="0" w:line="20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a result of the WSG acquisition on June 8, 2021, the Company continues to rent WSG's headquarters. The Chief Executive Officer and Founder of WSG, and currently a business unit president with the Company, is an agent of the lessor. The lease term is from January 1, 2020 through December 31, 2024. The Company paid an immaterial amount in rent expense for these premises for the three months ended March 31, 2022, and had an immaterial payable balance at March 31, 2022 and no payable balance at December 31, 2021.</w:t>
      </w:r>
    </w:p>
    <w:p>
      <w:pPr>
        <w:spacing w:after="0" w:line="20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the first quarter of 2020, the Company entered into a note payable of $7.3 million related to contingent consideration assumed as part of a prior period acquisition, payable in three equal installments. The payees of the note are controlled by an employee of the sellers who remained with the Company. The third and final installment of $2.6 million, including interest, was paid in the first quarter of 2022.</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25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On October 28,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which requires contract assets and contract liabilities such as deferred revenue acquired in a business combination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and measured by the acquirer on the acquisition date in accordance with ASC 606, Revenue from Contracts with Customers. Generally, this amendment will result in the acquirer recognizing contract assets and contract liabilities at the same amounts recorded by the acquiree. Historically such amounts were recognized by the acquirer at fair value in acquisition accounting. This guidance is effective for fiscal years beginning after December 15, 2022, including interim periods within those fiscal years. The amendments should be applied prospectively to business combinations occurring on or after the effective date of the amendments. Early adoption is permitted, including adoption in an interim period. The Company is currently in the process of evaluating this standard and expects to adopt this standard in its first quarter of 2023.</w:t>
      </w:r>
    </w:p>
    <w:p>
      <w:pPr>
        <w:spacing w:after="0" w:line="2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purpose of the following Management’s Discussion and Analysis (MD&amp;A) is to help facilitate the understanding of significant factors influencing the quarterly operating results, financial condition, and cash flows of the Company. Additionally, MD&amp;A also conveys our current expectations of the potential impact of known trends, events, or uncertainties that may impact future results. MD&amp;A is provided as a supplement to, and should be read in conjunction with, our 2021 Form 10-K (including Part I, Item 1A, "Risk Factors"), our financial statements and the accompanying notes to our financial statements, as well as the Risk Factors contained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43"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We provide total talent management services, including strategic workforce solutions, contingent staffing, permanent placement, and consultative services for healthcare customers across the continuum of care, by recruiting and placing highly qualified healthcare professionals in virtually every specialty and area of expertise. In addition to clinical roles such as school nurses, speech language, and behavioral therapists, we place non-clinical professionals such as teachers, substitute teachers, and other education specialties at educational facilities across the nation. Our diverse customer base includes both public and private acute care and non-acute care hospitals, outpatient clinics, ambulatory care facilities, single- and multi-specialty physician practices, rehabilitation facilities, Program of All-Inclusive Care for the Elderly (PACE) programs, urgent care centers, local</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3" w:name="page24"/>
    <w:bookmarkEnd w:id="23"/>
    <w:p>
      <w:pPr>
        <w:ind w:right="120"/>
        <w:spacing w:after="0" w:line="250" w:lineRule="auto"/>
        <w:rPr>
          <w:sz w:val="20"/>
          <w:szCs w:val="20"/>
          <w:color w:val="auto"/>
        </w:rPr>
      </w:pPr>
      <w:r>
        <w:rPr>
          <w:rFonts w:ascii="Times New Roman" w:cs="Times New Roman" w:eastAsia="Times New Roman" w:hAnsi="Times New Roman"/>
          <w:sz w:val="18"/>
          <w:szCs w:val="18"/>
          <w:color w:val="auto"/>
        </w:rPr>
        <w:t>and national healthcare systems, managed care providers, public and charter schools, correctional facilities, government facilities, pharmacies, and many other healthcare providers. Through our national staffing teams, we offer our workforce solutions and place clinicians on travel and per diem assignments, local short-term contracts, and permanent positions.</w:t>
      </w:r>
    </w:p>
    <w:p>
      <w:pPr>
        <w:spacing w:after="0" w:line="204"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Our workforce solutions include managed service programs (MSPs), recruitment process outsourcing (RPO), project management, and other outsourcing and consultative services as described in Item 1. “Business” in our 2021 Form 10-K. By utilizing the solutions we offer, customers are able to better plan their personnel needs, optimize their talent acquisition and management processes, strategically flex and balance their workforce, have access to quality healthcare personnel, and provide continuity of care for improved patient outcomes. We have a history of investing in diversity, equality, and inclusion as a key component of the organization’s overall corporate social responsibility program, closely aligned with our core values to create a better future for our people, communities, and our stockholders.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of our business segments are regularly reviewed by the chief operating decision maker.</w:t>
      </w:r>
    </w:p>
    <w:p>
      <w:pPr>
        <w:spacing w:after="0" w:line="250" w:lineRule="exact"/>
        <w:rPr>
          <w:sz w:val="20"/>
          <w:szCs w:val="20"/>
          <w:color w:val="auto"/>
        </w:rPr>
      </w:pPr>
    </w:p>
    <w:p>
      <w:pPr>
        <w:ind w:left="660" w:right="140" w:hanging="328"/>
        <w:spacing w:after="0" w:line="255" w:lineRule="auto"/>
        <w:tabs>
          <w:tab w:leader="none" w:pos="6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Nurse and Allied Staffing </w:t>
      </w:r>
      <w:r>
        <w:rPr>
          <w:rFonts w:ascii="Times New Roman" w:cs="Times New Roman" w:eastAsia="Times New Roman" w:hAnsi="Times New Roman"/>
          <w:sz w:val="18"/>
          <w:szCs w:val="18"/>
          <w:color w:val="auto"/>
        </w:rPr>
        <w:t>– Nurse and Allied Staffing represented approximately 97% of our total revenue in the first quarter of 2022. The Nurse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Allied Staffing segment provides workforce solutions and traditional staffing, including temporary and permanent placement of travel nurses and allied professionals, as well as per diem and contract nurses and allied personnel. We also provide clinical and non-clinical professionals on short-term and long-term assignments to clients such as local and national healthcare plans, managed care providers, public and charter schools, correctional facilities, skilled nursing facilities, and other non-acute settings. In addition, Nurse and Allied Staffing provides retained search services for healthcare professionals, as well as contingent search and recruitment process outsourcing services. We provide flexible workforce solutions to our healthcare customers through diversified offerings designed to meet their unique needs, including: MSP, RPO, and consulting services.</w:t>
      </w:r>
    </w:p>
    <w:p>
      <w:pPr>
        <w:spacing w:after="0" w:line="211" w:lineRule="exact"/>
        <w:rPr>
          <w:rFonts w:ascii="Times New Roman" w:cs="Times New Roman" w:eastAsia="Times New Roman" w:hAnsi="Times New Roman"/>
          <w:sz w:val="18"/>
          <w:szCs w:val="18"/>
          <w:color w:val="auto"/>
        </w:rPr>
      </w:pPr>
    </w:p>
    <w:p>
      <w:pPr>
        <w:ind w:left="660" w:right="80" w:hanging="328"/>
        <w:spacing w:after="0" w:line="267" w:lineRule="auto"/>
        <w:tabs>
          <w:tab w:leader="none" w:pos="6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Physician Staffing </w:t>
      </w:r>
      <w:r>
        <w:rPr>
          <w:rFonts w:ascii="Times New Roman" w:cs="Times New Roman" w:eastAsia="Times New Roman" w:hAnsi="Times New Roman"/>
          <w:sz w:val="18"/>
          <w:szCs w:val="18"/>
          <w:color w:val="auto"/>
        </w:rPr>
        <w:t>– Physician Staffing represented approximately 3% of our total revenue in the first quarter of 2022. Physician Staffing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physicians in many specialties, as well as certified registered nurse anesthetists, nurse practitioners, and physician assistants as independent contractors on temporary assignments throughout the United States.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Operations</w:t>
      </w:r>
    </w:p>
    <w:p>
      <w:pPr>
        <w:spacing w:after="0" w:line="24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For the quarter ended March 31, 2022, revenue from services increased 140% year-over-year to $788.7 million, due to continued growth in both our Nurse and Allied Staffing and our Physician Staffing segments. The majority of this growth was driven by an increasing number of professionals on assignment. Revenue increased 23% sequentially, with a relatively small impact coming from bill rates. As a result of our investment in people and technology, we expanded the number of professionals on assignment, with a majority due solely to organic growth, thereby significantly improving our operating leverage. Throughout the pandemic, we worked collaboratively with clients on adjusting bill rates in order to adapt to the rapidly changing market conditions. Net income attributable to common stockholders in the first quarter of 2022 was $62.0 million, as compared to $19.4 million in the prior year.</w:t>
      </w:r>
    </w:p>
    <w:p>
      <w:pPr>
        <w:spacing w:after="0" w:line="22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For the second quarter of 2022, average travel bill rates are anticipated to experience a low double-digit decline sequentially. While demand has retreated from the peak of the first quarter, the growing supply and demand imbalance is still supporting higher rates. We expect continued sequential growth in headcount and professionals on assignment across all lines of business. Looking beyond the second quarter, we anticipate further market share gains despite potential headwinds from changing bill rates or demand from certain specialties. We remain committed to investing in our people and our tech enabled digital platform by doubling our IT project budget for 2022, versus 2021.</w:t>
      </w:r>
    </w:p>
    <w:p>
      <w:pPr>
        <w:spacing w:after="0" w:line="2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March 21, 2022, we amended the ABL Credit Agreement (Loan Agreement) (Fifth Amendment), which increased the current aggregate committed size of the ABL from $150.0 million to $300.0 million and extended the credit facility for an additional five years.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cash flow used in operating activities was $29.0 million, with net borrowings of $42.3 million on our senior-secured asset-based credit facility (ABL), and an increase in working capital stemming from the strong sequential growth in our business. As of March 31, 2022, we had $1.2 million of cash and cash equivalents, with a principal balance of $173.9 million outstanding on our term loan. Borrowing base availability under the ABL was $300.0 million, with $51.5 million of borrowings drawn under our ABL, and $17.5 million of undrawn letters of credit outstanding, leaving $231.0 million of excess availability.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Results of Operations, Segment Results, and Liquidity and Capital Resources sections that follow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Metrics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evaluate our financial condition by tracking operating metrics and financial results specific to each of our segments. Key operating metrics include hours worked, days filled, number of contract personnel on a full-time equivalent (FTE) basis,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U.S. GAAP results for the periods presented. Some of the segment financial results analyzed include revenue, operating expenses, and contribution income. In addition, we monitor cash flow, as well as operating and leverage ratios, to help us assess our liquidity needs.</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768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Business Measurement</w:t>
            </w: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Nurse and Allied Staffing</w:t>
            </w:r>
          </w:p>
        </w:tc>
        <w:tc>
          <w:tcPr>
            <w:tcW w:w="7680" w:type="dxa"/>
            <w:vAlign w:val="bottom"/>
          </w:tcPr>
          <w:p>
            <w:pPr>
              <w:ind w:left="1540"/>
              <w:spacing w:after="0" w:line="169" w:lineRule="exact"/>
              <w:rPr>
                <w:sz w:val="20"/>
                <w:szCs w:val="20"/>
                <w:color w:val="auto"/>
              </w:rPr>
            </w:pPr>
            <w:r>
              <w:rPr>
                <w:rFonts w:ascii="Times New Roman" w:cs="Times New Roman" w:eastAsia="Times New Roman" w:hAnsi="Times New Roman"/>
                <w:sz w:val="18"/>
                <w:szCs w:val="18"/>
                <w:color w:val="auto"/>
              </w:rPr>
              <w:t>FTEs represent the average number of Nurse and Allied Staffing contract personnel</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on a full-time equivalent basis.</w:t>
            </w:r>
          </w:p>
        </w:tc>
        <w:tc>
          <w:tcPr>
            <w:tcW w:w="0" w:type="dxa"/>
            <w:vAlign w:val="bottom"/>
          </w:tcPr>
          <w:p>
            <w:pPr>
              <w:spacing w:after="0"/>
              <w:rPr>
                <w:sz w:val="1"/>
                <w:szCs w:val="1"/>
                <w:color w:val="auto"/>
              </w:rPr>
            </w:pPr>
          </w:p>
        </w:tc>
      </w:tr>
      <w:tr>
        <w:trPr>
          <w:trHeight w:val="184"/>
        </w:trPr>
        <w:tc>
          <w:tcPr>
            <w:tcW w:w="3520" w:type="dxa"/>
            <w:vAlign w:val="bottom"/>
          </w:tcPr>
          <w:p>
            <w:pPr>
              <w:spacing w:after="0"/>
              <w:rPr>
                <w:sz w:val="16"/>
                <w:szCs w:val="16"/>
                <w:color w:val="auto"/>
              </w:rPr>
            </w:pPr>
          </w:p>
        </w:tc>
        <w:tc>
          <w:tcPr>
            <w:tcW w:w="7680" w:type="dxa"/>
            <w:vAlign w:val="bottom"/>
          </w:tcPr>
          <w:p>
            <w:pPr>
              <w:ind w:left="1540"/>
              <w:spacing w:after="0" w:line="184" w:lineRule="exact"/>
              <w:rPr>
                <w:sz w:val="20"/>
                <w:szCs w:val="20"/>
                <w:color w:val="auto"/>
              </w:rPr>
            </w:pPr>
            <w:r>
              <w:rPr>
                <w:rFonts w:ascii="Times New Roman" w:cs="Times New Roman" w:eastAsia="Times New Roman" w:hAnsi="Times New Roman"/>
                <w:sz w:val="18"/>
                <w:szCs w:val="18"/>
                <w:color w:val="auto"/>
              </w:rPr>
              <w:t>Average revenue per FTE per day is calculated by dividing the Nurse and Allied</w:t>
            </w:r>
          </w:p>
        </w:tc>
        <w:tc>
          <w:tcPr>
            <w:tcW w:w="0" w:type="dxa"/>
            <w:vAlign w:val="bottom"/>
          </w:tcPr>
          <w:p>
            <w:pPr>
              <w:spacing w:after="0"/>
              <w:rPr>
                <w:sz w:val="1"/>
                <w:szCs w:val="1"/>
                <w:color w:val="auto"/>
              </w:rPr>
            </w:pPr>
          </w:p>
        </w:tc>
      </w:tr>
      <w:tr>
        <w:trPr>
          <w:trHeight w:val="184"/>
        </w:trPr>
        <w:tc>
          <w:tcPr>
            <w:tcW w:w="3520" w:type="dxa"/>
            <w:vAlign w:val="bottom"/>
          </w:tcPr>
          <w:p>
            <w:pPr>
              <w:spacing w:after="0"/>
              <w:rPr>
                <w:sz w:val="16"/>
                <w:szCs w:val="16"/>
                <w:color w:val="auto"/>
              </w:rPr>
            </w:pPr>
          </w:p>
        </w:tc>
        <w:tc>
          <w:tcPr>
            <w:tcW w:w="7680" w:type="dxa"/>
            <w:vAlign w:val="bottom"/>
          </w:tcPr>
          <w:p>
            <w:pPr>
              <w:ind w:left="1540"/>
              <w:spacing w:after="0" w:line="184" w:lineRule="exact"/>
              <w:rPr>
                <w:sz w:val="20"/>
                <w:szCs w:val="20"/>
                <w:color w:val="auto"/>
              </w:rPr>
            </w:pPr>
            <w:r>
              <w:rPr>
                <w:rFonts w:ascii="Times New Roman" w:cs="Times New Roman" w:eastAsia="Times New Roman" w:hAnsi="Times New Roman"/>
                <w:sz w:val="18"/>
                <w:szCs w:val="18"/>
                <w:color w:val="auto"/>
              </w:rPr>
              <w:t>Staffing revenue, excluding permanent placement, per FTE by the number of days</w:t>
            </w:r>
          </w:p>
        </w:tc>
        <w:tc>
          <w:tcPr>
            <w:tcW w:w="0" w:type="dxa"/>
            <w:vAlign w:val="bottom"/>
          </w:tcPr>
          <w:p>
            <w:pPr>
              <w:spacing w:after="0"/>
              <w:rPr>
                <w:sz w:val="1"/>
                <w:szCs w:val="1"/>
                <w:color w:val="auto"/>
              </w:rPr>
            </w:pPr>
          </w:p>
        </w:tc>
      </w:tr>
      <w:tr>
        <w:trPr>
          <w:trHeight w:val="229"/>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Physician Staffing</w:t>
            </w: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worked in the respective periods.</w:t>
            </w:r>
          </w:p>
        </w:tc>
        <w:tc>
          <w:tcPr>
            <w:tcW w:w="0" w:type="dxa"/>
            <w:vAlign w:val="bottom"/>
          </w:tcPr>
          <w:p>
            <w:pPr>
              <w:spacing w:after="0"/>
              <w:rPr>
                <w:sz w:val="1"/>
                <w:szCs w:val="1"/>
                <w:color w:val="auto"/>
              </w:rPr>
            </w:pPr>
          </w:p>
        </w:tc>
      </w:tr>
      <w:tr>
        <w:trPr>
          <w:trHeight w:val="180"/>
        </w:trPr>
        <w:tc>
          <w:tcPr>
            <w:tcW w:w="3520" w:type="dxa"/>
            <w:vAlign w:val="bottom"/>
            <w:vMerge w:val="continue"/>
          </w:tcPr>
          <w:p>
            <w:pPr>
              <w:spacing w:after="0"/>
              <w:rPr>
                <w:sz w:val="15"/>
                <w:szCs w:val="15"/>
                <w:color w:val="auto"/>
              </w:rPr>
            </w:pPr>
          </w:p>
        </w:tc>
        <w:tc>
          <w:tcPr>
            <w:tcW w:w="7680" w:type="dxa"/>
            <w:vAlign w:val="bottom"/>
          </w:tcPr>
          <w:p>
            <w:pPr>
              <w:ind w:left="1540"/>
              <w:spacing w:after="0" w:line="181" w:lineRule="exact"/>
              <w:rPr>
                <w:sz w:val="20"/>
                <w:szCs w:val="20"/>
                <w:color w:val="auto"/>
              </w:rPr>
            </w:pPr>
            <w:r>
              <w:rPr>
                <w:rFonts w:ascii="Times New Roman" w:cs="Times New Roman" w:eastAsia="Times New Roman" w:hAnsi="Times New Roman"/>
                <w:sz w:val="18"/>
                <w:szCs w:val="18"/>
                <w:color w:val="auto"/>
              </w:rPr>
              <w:t>Days filled is calculated by dividing the total hours invoiced during the period,</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including an estimate for the impact of accrued revenue, by eight hours.</w:t>
            </w:r>
          </w:p>
        </w:tc>
        <w:tc>
          <w:tcPr>
            <w:tcW w:w="0" w:type="dxa"/>
            <w:vAlign w:val="bottom"/>
          </w:tcPr>
          <w:p>
            <w:pPr>
              <w:spacing w:after="0"/>
              <w:rPr>
                <w:sz w:val="1"/>
                <w:szCs w:val="1"/>
                <w:color w:val="auto"/>
              </w:rPr>
            </w:pPr>
          </w:p>
        </w:tc>
      </w:tr>
      <w:tr>
        <w:trPr>
          <w:trHeight w:val="184"/>
        </w:trPr>
        <w:tc>
          <w:tcPr>
            <w:tcW w:w="3520" w:type="dxa"/>
            <w:vAlign w:val="bottom"/>
          </w:tcPr>
          <w:p>
            <w:pPr>
              <w:spacing w:after="0"/>
              <w:rPr>
                <w:sz w:val="16"/>
                <w:szCs w:val="16"/>
                <w:color w:val="auto"/>
              </w:rPr>
            </w:pPr>
          </w:p>
        </w:tc>
        <w:tc>
          <w:tcPr>
            <w:tcW w:w="7680" w:type="dxa"/>
            <w:vAlign w:val="bottom"/>
          </w:tcPr>
          <w:p>
            <w:pPr>
              <w:ind w:left="1540"/>
              <w:spacing w:after="0" w:line="184" w:lineRule="exact"/>
              <w:rPr>
                <w:sz w:val="20"/>
                <w:szCs w:val="20"/>
                <w:color w:val="auto"/>
              </w:rPr>
            </w:pPr>
            <w:r>
              <w:rPr>
                <w:rFonts w:ascii="Times New Roman" w:cs="Times New Roman" w:eastAsia="Times New Roman" w:hAnsi="Times New Roman"/>
                <w:sz w:val="18"/>
                <w:szCs w:val="18"/>
                <w:color w:val="auto"/>
              </w:rPr>
              <w:t>Revenue per day filled is calculated by dividing revenue as reported by days filled</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for the period presented.</w:t>
            </w: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color w:val="auto"/>
        </w:rPr>
        <w:t>The following table summarizes, for the periods indicated, selected condensed consolidated statements of operations data expressed as a percentage of revenue. Our historical results of operations are not necessarily indicative of future operating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tcPr>
          <w:p>
            <w:pPr>
              <w:spacing w:after="0"/>
              <w:rPr>
                <w:sz w:val="19"/>
                <w:szCs w:val="19"/>
                <w:color w:val="auto"/>
              </w:rPr>
            </w:pPr>
          </w:p>
        </w:tc>
        <w:tc>
          <w:tcPr>
            <w:tcW w:w="29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824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78.3</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0"/>
        </w:trPr>
        <w:tc>
          <w:tcPr>
            <w:tcW w:w="8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Comparison of Results for the Three Months Ended March 31, 2022 compared to the Three Months Ended March 31, 2021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1360" w:type="dxa"/>
            <w:vAlign w:val="bottom"/>
            <w:tcBorders>
              <w:bottom w:val="single" w:sz="8" w:color="auto"/>
            </w:tcBorders>
          </w:tcPr>
          <w:p>
            <w:pPr>
              <w:spacing w:after="0"/>
              <w:rPr>
                <w:sz w:val="20"/>
                <w:szCs w:val="20"/>
                <w:color w:val="auto"/>
              </w:rPr>
            </w:pPr>
          </w:p>
        </w:tc>
      </w:tr>
      <w:tr>
        <w:trPr>
          <w:trHeight w:val="174"/>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3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Increase</w:t>
            </w:r>
          </w:p>
        </w:tc>
      </w:tr>
      <w:tr>
        <w:trPr>
          <w:trHeight w:val="230"/>
        </w:trPr>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38"/>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7"/>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color w:val="auto"/>
              </w:rPr>
              <w:t>(Amounts in thousands)</w:t>
            </w:r>
          </w:p>
        </w:tc>
        <w:tc>
          <w:tcPr>
            <w:tcW w:w="1360" w:type="dxa"/>
            <w:vAlign w:val="bottom"/>
          </w:tcPr>
          <w:p>
            <w:pPr>
              <w:spacing w:after="0"/>
              <w:rPr>
                <w:sz w:val="17"/>
                <w:szCs w:val="17"/>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788,732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329,241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459,491</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139.6 %</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356,162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138.2 %</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65.8 %</w:t>
            </w: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370.0 %</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29"/>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331.7 %</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424.7 %</w:t>
            </w: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78.4 %</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327.9 %</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24,224</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61,983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42,535</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218.7 %</w:t>
            </w:r>
          </w:p>
        </w:tc>
      </w:tr>
      <w:tr>
        <w:trPr>
          <w:trHeight w:val="21"/>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1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Revenue from services increased 139.6% to $788.7 million for the three months ended March 31, 2022, as compared to $329.2 million for the three months ended March 31, 2021, due to strong performance in both our Nurse and Allied and Physician Staffing segments, both resulting from an increase in volume, and higher bill rates in Nurse and Allied. The increase in bill rates is a result of the continued high level of demand for our services due to the overall tight supply for clinicians and professionals. See further discussion in Segment Results.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5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Direct operating expenses are comprised primarily of field employee compensation and independent contractor expenses, housing expenses, travel expenses, and related insurance expenses. Direct operating expenses increased $356.2 million, or 138.2%, to $613.9 million for the three months ended March 31, 2022, as compared to $257.8 million for the three months ended March 31, 2021, as a result of revenue increases. As a percentage of total revenue, direct operating expenses decreased to 77.8% compared to 78.3% in the prior year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65.8% to $76.8 million for the three months ended March 31, 2022, as compared to $46.3 million for the three months ended March 31, 2021, primarily due to increases in compensation and benefit expense, as well as marketing and consulting expense and computer subscription fees, partially offset by decreases in legal expenses. As a percentage of total revenue, selling, general and administrative expenses decreased to 9.7% for the three months ended March 31, 2022, as compared to 14.1% for the three months ended March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for the three months ended March 31, 2022 was $2.7 million, as compared to $2.3 million for the three months ended March 31, 2021. The increase is primarily due to the additional amortization of other intangible assets from the Workforce Solutions Group (WSG) acquisition. See Note 7 - Goodwill, Trade Names, and Other Intangible Assets to our condensed consolidated financial statements. As a percentage of revenue, depreciation and amortization expense was 0.4% for the three months ended March 31, 2022 and 0.7% for the three months ended March 31, 2021.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Restructuring costs for the three months ended March 31, 2022 were primarily comprised of ongoing lease costs related to the Company's strategic reduction of its real estate footprint and totaled $0.5 million. Restructuring costs for the three months ended March 31, 2021 were primarily comprised of employee termination costs and ongoing lease costs related to office closures.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5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Non-cash impairment charges totaled $1.7 million for the three months ended March 31, 2022 and related to real estate restructuring activities. For the three months ended March 31, 2021, non-cash impairment charges related to the write-off of a discontinued software development project. See Note 7 - Goodwill, Trade Names, and Other Intangible Assets and Note 9 - Leases to our condensed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Interest expense was $3.5 million for the three months ended March 31, 2022, as compared to $0.7 million for the three months ended March 31, 2021, due to higher average borrowings and a higher effective interest rate. The effective interest rate on our borrowings was 6.4% and 2.9% for the three months ended March 31, 2022 and 2021,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Income tax expense totaled $25.1 million for the three months ended March 31, 2022, compared to $0.9 million for the three months ended March 31, 2021. The effective tax rate for the first quarter of 2022 was primarily impacted by federal and state taxes. Income tax expense for the three months ended March 31, 2021 was primarily impacted by international and state taxes as a result of the valuation allowance on substantially all of our domestic deferred tax assets. See Note 14 - Income Taxes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Segment Results</w:t>
            </w:r>
          </w:p>
        </w:tc>
        <w:tc>
          <w:tcPr>
            <w:tcW w:w="360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4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Information on operating segments and a reconciliation to income from operations for the periods indicated are as follows: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00" w:type="dxa"/>
            <w:vAlign w:val="bottom"/>
            <w:gridSpan w:val="7"/>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5"/>
          </w:tcPr>
          <w:p>
            <w:pPr>
              <w:jc w:val="center"/>
              <w:ind w:left="613"/>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00" w:type="dxa"/>
            <w:vAlign w:val="bottom"/>
            <w:gridSpan w:val="7"/>
          </w:tcPr>
          <w:p>
            <w:pPr>
              <w:jc w:val="center"/>
              <w:ind w:right="560"/>
              <w:spacing w:after="0"/>
              <w:rPr>
                <w:sz w:val="20"/>
                <w:szCs w:val="20"/>
                <w:color w:val="auto"/>
              </w:rPr>
            </w:pPr>
            <w:r>
              <w:rPr>
                <w:rFonts w:ascii="Times New Roman" w:cs="Times New Roman" w:eastAsia="Times New Roman" w:hAnsi="Times New Roman"/>
                <w:sz w:val="16"/>
                <w:szCs w:val="16"/>
                <w:color w:val="auto"/>
              </w:rPr>
              <w:t>(amounts in thousands)</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4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services: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765,580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313,008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Physician Staffing</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788,732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329,241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Contribution income:</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37,417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6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8"/>
                <w:szCs w:val="18"/>
                <w:color w:val="auto"/>
              </w:rPr>
              <w:t>Physician Staffing</w:t>
            </w: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38,845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360" w:type="dxa"/>
            <w:vAlign w:val="bottom"/>
            <w:gridSpan w:val="2"/>
          </w:tcPr>
          <w:p>
            <w:pPr>
              <w:spacing w:after="0"/>
              <w:rPr>
                <w:sz w:val="23"/>
                <w:szCs w:val="23"/>
                <w:color w:val="auto"/>
              </w:rPr>
            </w:pPr>
          </w:p>
        </w:tc>
        <w:tc>
          <w:tcPr>
            <w:tcW w:w="50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overhead</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charges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20,994</w:t>
            </w:r>
          </w:p>
        </w:tc>
        <w:tc>
          <w:tcPr>
            <w:tcW w:w="0" w:type="dxa"/>
            <w:vAlign w:val="bottom"/>
          </w:tcPr>
          <w:p>
            <w:pPr>
              <w:spacing w:after="0"/>
              <w:rPr>
                <w:sz w:val="1"/>
                <w:szCs w:val="1"/>
                <w:color w:val="auto"/>
              </w:rPr>
            </w:pPr>
          </w:p>
        </w:tc>
      </w:tr>
      <w:tr>
        <w:trPr>
          <w:trHeight w:val="21"/>
        </w:trPr>
        <w:tc>
          <w:tcPr>
            <w:tcW w:w="65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See Note 12 - Segment Data to our condensed consolidated financial statements.</w:t>
            </w: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500" w:type="dxa"/>
            <w:vAlign w:val="bottom"/>
            <w:gridSpan w:val="8"/>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Certain statistical data for our business segments for the periods indicated are as follows: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6"/>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86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Nurse and Allied Staffing statistical data:</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8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FTEs</w:t>
            </w:r>
          </w:p>
        </w:tc>
        <w:tc>
          <w:tcPr>
            <w:tcW w:w="2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13,454</w:t>
            </w: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6,614</w:t>
            </w:r>
          </w:p>
        </w:tc>
        <w:tc>
          <w:tcPr>
            <w:tcW w:w="2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6,840</w:t>
            </w: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103.4 %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Nurse and Allied Staffing revenue per FTE per day</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522</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106</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Physician Staffing statistical data:</w:t>
            </w:r>
          </w:p>
        </w:tc>
        <w:tc>
          <w:tcPr>
            <w:tcW w:w="2500" w:type="dxa"/>
            <w:vAlign w:val="bottom"/>
            <w:tcBorders>
              <w:bottom w:val="single" w:sz="8" w:color="CCEEFF"/>
            </w:tcBorders>
            <w:gridSpan w:val="2"/>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Days filled</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9,469</w:t>
            </w: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3,599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per day filled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definition of Business Measurements under the Operating Metrics section of our MD&amp;A.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Comparison - Three Months Ended March 31, 2022 compared to the Three Months Ended March 31, 2021</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Nurse and Allied Staffing</w:t>
      </w:r>
    </w:p>
    <w:p>
      <w:pPr>
        <w:spacing w:after="0" w:line="25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Revenue increased $452.6 million, or 144.6%, to $765.6 million for the three months ended March 31, 2022, compared to $313.0 million for the three months ended March 31, 2021, through strong performance driven by volume increases and higher bill rates.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Contribution income increased $72.7 million, or 194.3%, to $110.1 million for the three months ended March 31, 2022, compared to $37.4 million for the three months ended March 31, 2021, driven by increased revenue. As a percentage of segment revenue, contribution income margin was 14.4% for the three months ended March 31, 2022, compared to 12.0% for the three months ended March 31, 2021.</w:t>
      </w:r>
    </w:p>
    <w:p>
      <w:pPr>
        <w:sectPr>
          <w:pgSz w:w="11900" w:h="16838" w:orient="portrait"/>
          <w:cols w:equalWidth="0" w:num="1">
            <w:col w:w="11240"/>
          </w:cols>
          <w:pgMar w:left="320" w:top="878"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type w:val="continuous"/>
        </w:sectPr>
      </w:pPr>
    </w:p>
    <w:bookmarkStart w:id="28" w:name="page29"/>
    <w:bookmarkEnd w:id="28"/>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average number of FTEs on contract during the three months ended March 31, 2022 increased 103.4% from the three months ended March 31, 2021, primarily due to headcount growth in travel nurse and allied, as well as additional headcount resulting from the WSG acquisition. The average revenue per FTE per day increased 20.3%, due to the increase in the average bill 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 Staffing</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Revenue increased $7.0 million, or 42.6%, to $23.2 million for the three months ended March 31, 2022, compared to $16.2 million for the three months ended March 31, 2021, primarily due to an increase in volume in both primary care physicians and certified registered nurse anesthetists.</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Contribution income was $1.8 million for the three months ended March 31, 2022, compared to $1.4 million for the three months ended March 31, 2021. As a percentage of segment revenue, contribution income was 7.6% for the three months ended March 31, 2022, compared to 8.8% for the three months ended March 31, 2021, driven by higher revenue, partially offset by higher direct costs.</w:t>
      </w:r>
    </w:p>
    <w:p>
      <w:pPr>
        <w:spacing w:after="0" w:line="20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Total days filled for the three months ended March 31, 2022 were 13,068, as compared with 9,469 in the prior year. Revenue per day filled was $1,772 as compared with $1,714 in the prior year due to a shift in the mix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Overhead</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Corporate overhead increased to $16.3 million for the three months ended March 31, 2022, from $14.2 million for the three months ended March 31, 2021, primarily due to increases in compensation and benefit expense, as well as equity compensation expense, and IT and consulting expense, partially offset by decreases in legal and accounting expense. As a percentage of consolidated revenue, corporate overhead was 2.1% for the three months ended March 31, 2022 and 4.3% for the three months ended March 31,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with Related Parties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 Related Party Transactions to our condensed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March 31, 2022, we reported $1.2 million in cash and cash equivalents, $173.9 million of term loan outstanding, at par, and $51.5 million of borrowings drawn under our ABL. Working capital increased by $100.6 million to $409.1 million as of March 31, 2022, compared to $308.5 million as of December 31, 2021, primarily due to strong sequential growth, partially offset by the timing of disbursements. As of March 31, 2022, our days' sales outstanding, net of amounts owed to subcontractors, was 62 days, up 6 days year-over-year and 4 days since the beginning of the current year, primarily due to the timing of revenue recognized throughout the quarter given the monthly sequential growth through the first quarter. As of March 31, 2022, we do not have any off-balance sheet arrangements.</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operating cash flow constitutes our primary source of liquidity and, historically, has been sufficient to fund our working capital, capital expenditures, internal business expansion, and debt service. This includes our commitments, both short-term and long-term, of interest expense on our debt and operating lease commitments, as well as any settlements on uncertain tax positions, and future principal payments on our term loan and our ABL credit facility. We expect to meet our future needs from a combination of cash on hand, operating cash flows, and funds available through the ABL. See debt discussion which follows.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effective “shelf” registration statement on Form S-3 on file with the SEC that enables us, in one or more offerings, to sell up to an aggregate of 5,000,000 shares of common stock. Although we do not have any current plans to use the shelf registration statement, the proceeds from any offering could be used for working capital and other general corporate purposes, or to fund acquisitions of businesses, products, and technologies.</w:t>
      </w:r>
    </w:p>
    <w:p>
      <w:pPr>
        <w:spacing w:after="0" w:line="20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$29.0 million in the three months ended March 31, 2022, compared to $24.9 million in the three months ended March 31, 2021, primarily due to the investment in net working capital associated with the continued revenue growth in our business, which resulted in a $186.7 million increase in receivables since the start of the year.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29" w:name="page30"/>
    <w:bookmarkEnd w:id="29"/>
    <w:p>
      <w:pPr>
        <w:ind w:right="260"/>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was $2.1 million in the three months ended March 31, 2022, compared to $1.2 million in the three months ended March 31, 2021. Net cash used in both periods was for capital expenditures, primarily related to multiple IT projects. Expenditures in the three months ended March 31, 2022 also included computer replacements, and in the three months ended March 31, 2021 also included the build-out of our corporate office.</w:t>
      </w:r>
    </w:p>
    <w:p>
      <w:pPr>
        <w:spacing w:after="0" w:line="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2022 was $31.3 million, compared to $38.0 million during the three months ended March 31, 2021. During the three months ended March 31, 2022, we reported net borrowings of $41.9 million on our debt, and used cash to pay $2.4 million on our note payable, $5.0 million for income taxes on share-based compensation, $3.1 million in debt issuance costs, and an immaterial amount for other financing activities. During the three months ended March 31, 2021, we reported net borrowings of $42.6 million on our ABL, and used cash to pay $2.4 million on our note payable, $2.0 million for income taxes on share-based compensation, and an immaterial amount for other financing activities.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 Credit Agreement</w:t>
      </w:r>
    </w:p>
    <w:p>
      <w:pPr>
        <w:spacing w:after="0" w:line="30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As more fully described in Note 8 - Debt to our condensed consolidated financial statements, on June 8, 2021, we entered into a Term Loan Credit Agreement (Term Loan Agreement), which provides for a six-year second lien subordinated term loan in the amount of $100.0 million (term loan). The term loan has an interest rate of one-month LIBOR plus 5.75% per annum, subject to a 0.75% LIBOR floor. The term loan was used to pay the cash consideration, as well as any costs, fees, and expenses in connection with the WSG acquisition (see Note 4 - Acquisitions to our condensed consolidated financial statements), with the remainder used to pay down a portion of the asset-based credit facility.</w:t>
      </w:r>
    </w:p>
    <w:p>
      <w:pPr>
        <w:spacing w:after="0" w:line="21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borrowings under the Term Loan Agreement generally bear interest at a variable rate based on either LIBOR or Base Rate (as defined in the Term Loan Agreement) and are subject to mandatory prepayments of principal payable in quarterly installments, commencing on September 30, 2021, with each installment being in the aggregate principal amount of $0.3 million (subject to adjustment as a result of prepayments) provided that, to the extent not previously paid, the aggregate unpaid principal balance would be due and payable on the maturity date. The Term Loan Agreement contains various restrictions and covenants applicable to the Company and its subsidiaries, including a covenant to maintain a minimum net leverage ratio. The Company was in compliance with this covenant as of March 31, 2022. Obligations under the Term Loan Agreement are secured by substantially all the assets of the borrowers and guarantors under the Term Loan Agreement, subject to customary exceptions.</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18, 2021, we amended the Term Loan Agreement (Term Loan First Amendment), which provided the Company an incremental term loan in an aggregate amount equal to $75.0 million. Additionally, the Term Loan First Amendment increased the aggregate amount of all increases (as defined in the Term Loan Agreement) to be no greater than $115.0 million. The borrowings will be used primarily to fund organic growth. Commencing on December 31, 2021, installments of the mandatory prepayments will be in the aggregate principal amount of $0.4 million. All other terms, conditions, covenants, and pricing of the Term Loan Agreement remain the same.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Loan Agreement</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Effective October 25, 2019, our prior senior credit facility entered into in August 2017 was replaced by a $120.0 million Loan Agreement, which provides for a five-year senior secured revolving credit facility. On June 30, 2020, we amended the Loan Agreement (First Amendment), which increased the current aggregate committed size of the ABL from $120.0 million to $130.0 million. All other terms, conditions, covenants, and pricing of the Loan Agreement remained the same. On March 8, 2021, we amended the Loan Agreement (Second Amendment), which increased the current aggregate committed size of the ABL from $130.0 million to $150.0 million, increased certain borrowing base sub-limits, and decreased both the cash dominion event and financial reporting triggers. On June 8, 2021, we amended the Loan Agreement (Third Amendment), which permits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 On November 18, 2021, we amended the Loan Agreement (Fourth Amendment), whereby the permitted indebtedness (as defined in the Loan Agreement) was increased to $175.0 million. On March 21, 2022, we amended the Loan Agreement (Fifth Amendment), which increased the current aggregate committed size of the ABL from $150.0 million to $300.0 million, extended the credit facility for an additional five years, increased certain borrowing base sub-limits, and provided the option for all or a portion of the borrowings to bear interest at a rate based on the Secured Overnight Financing Rate (SOFR) or Base Rate, at the election of the borrowers, plus an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applicable margin.</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March 31, 2022, the interest rate spreads and fees under the Loan Agreement were based on SOFR plus 1.85% for the revolving portion of the borrowing base. The Base Rate (as defined by the Loan Agreement) margin would have been 0.75% for the revolving portion. The SOFR and Base Rate margins are subject to monthly pricing adjustments, pursuant to a pricing matrix based on the Company’s excess availability under the revolving credit facility. In addition, the facility is subject to an unused line fee, letter of credit fees, and an administrative fee. The Loan Agreement contains various restrictions and covenants, including a covenant to maintain a minimum fixed charge coverage ratio. We were in compliance with the fixed charge coverage ratio covenant as of March 31, 2022. Borrowing base availability under the ABL was was $300.0 million at March 31, 2022, with $51.5 million of borrowings drawn as well as $17.5 million of letters of credit outstanding, leaving $231.0 million of excess availability.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Payable</w:t>
      </w:r>
    </w:p>
    <w:p>
      <w:pPr>
        <w:spacing w:after="0" w:line="2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third and final installment of the subordinated promissory note payable, made in connection with the Mediscan acquisition, was paid in the amount of $2.6 million, including interest, in the first quarter of 2022. See Note 4 - Acquisitions to our condensed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 Debt to our condensed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 Stockholders' Equity to our condensed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policies and estimates remain consistent with those reported in our 2021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 Recent Accounting Pronouncements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exposed to variable interest rate risk associated with our Term Loan Agreement entered into on June 8, 2021 and our Loan Agreement entered into on October 25, 2019. These agreements charge interest at a rate based on either SOFR, LIBOR, or Base Rate (as defined in the agreements) plus an applicable margin.</w:t>
      </w:r>
    </w:p>
    <w:p>
      <w:pPr>
        <w:spacing w:after="0" w:line="20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1% change in interest rates would have resulted in interest expense fluctuating approximately $0.5 million and $0.2 million for the three months ended March 31, 2022 and 2021, respectively. See Note 8 - Debt to our condensed consolidated financial statements.</w:t>
      </w:r>
    </w:p>
    <w:p>
      <w:pPr>
        <w:spacing w:after="0" w:line="187"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color w:val="auto"/>
        </w:rPr>
        <w:t xml:space="preserve">Refer to our 2021 Form 10-K Item 1A. Risk Factors under </w:t>
      </w:r>
      <w:r>
        <w:rPr>
          <w:rFonts w:ascii="Times New Roman" w:cs="Times New Roman" w:eastAsia="Times New Roman" w:hAnsi="Times New Roman"/>
          <w:sz w:val="18"/>
          <w:szCs w:val="18"/>
          <w:i w:val="1"/>
          <w:iCs w:val="1"/>
          <w:color w:val="auto"/>
        </w:rPr>
        <w:t>"The interest rates under our Term Loan Agreement and our ABL Credit Agreement may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impacted by the phase-out of the London Interbank Offered Rate (LIBOR)" </w:t>
      </w:r>
      <w:r>
        <w:rPr>
          <w:rFonts w:ascii="Times New Roman" w:cs="Times New Roman" w:eastAsia="Times New Roman" w:hAnsi="Times New Roman"/>
          <w:sz w:val="18"/>
          <w:szCs w:val="18"/>
          <w:color w:val="auto"/>
        </w:rPr>
        <w:t>for discussion of the interest rate risk related to the potential phase-out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LIBOR in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Risks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other exposures as disclosed in our 2021 Form 10-K.</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21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There were no changes in our internal control over financial reporting as defined in Exchange Act Rules 13a-15(f) that occurred during our most recently completed fiscal quarter that have materially affected, or are reasonably likely to materially affect, our internal control over financial reporting. </w:t>
      </w:r>
      <w:r>
        <w:rPr>
          <w:rFonts w:ascii="Times New Roman" w:cs="Times New Roman" w:eastAsia="Times New Roman" w:hAnsi="Times New Roman"/>
          <w:sz w:val="18"/>
          <w:szCs w:val="18"/>
          <w:color w:val="212529"/>
        </w:rPr>
        <w:t>We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not experienced any material impact to our internal controls over financial reporting despite the fact that most of our employees are working remotely due to the COVID pandemic.</w:t>
      </w: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32" w:name="page33"/>
    <w:bookmarkEnd w:id="3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Information with respect to certain legal proceedings is included in Part I, Item 1, Note 13 - Contingencies -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of this Quarterly Report on Form 10-Q, and is incorporated herein by reference.</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changes to our Risk Factors as previously disclosed in our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33" w:name="page34"/>
    <w:bookmarkEnd w:id="33"/>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0"/>
                <w:szCs w:val="20"/>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39"/>
        </w:trPr>
        <w:tc>
          <w:tcPr>
            <w:tcW w:w="1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40" w:type="dxa"/>
            <w:vAlign w:val="bottom"/>
            <w:tcBorders>
              <w:top w:val="single" w:sz="8" w:color="auto"/>
            </w:tcBorders>
            <w:gridSpan w:val="18"/>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Amendment No. 5 to ABL Credit Agreement and Amendment No. 2 to Guaranty and Security Agreement, dated as of March 21,</w:t>
              </w:r>
            </w:hyperlink>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8"/>
              </w:rPr>
            </w:pPr>
            <w:hyperlink r:id="rId49">
              <w:r>
                <w:rPr>
                  <w:rFonts w:ascii="Times New Roman" w:cs="Times New Roman" w:eastAsia="Times New Roman" w:hAnsi="Times New Roman"/>
                  <w:sz w:val="18"/>
                  <w:szCs w:val="18"/>
                  <w:color w:val="0000FF"/>
                  <w:w w:val="98"/>
                </w:rPr>
                <w:t>2022, by and among Cross Country Healthcare, Inc. and certain of its domestic subsidiaries as borrowers or guarantors, and Wells</w:t>
              </w:r>
            </w:hyperlink>
          </w:p>
        </w:tc>
        <w:tc>
          <w:tcPr>
            <w:tcW w:w="6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60" w:type="dxa"/>
            <w:vAlign w:val="bottom"/>
            <w:gridSpan w:val="14"/>
          </w:tcPr>
          <w:p>
            <w:pPr>
              <w:spacing w:after="0" w:line="16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Fargo Bank N.A., as administrative agent, collateral agent, and lender (Previously filed as an exhibit to the Company's Form 8-K</w:t>
              </w:r>
            </w:hyperlink>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 xml:space="preserve">filed </w:t>
            </w:r>
            <w:hyperlink r:id="rId49">
              <w:r>
                <w:rPr>
                  <w:rFonts w:ascii="Times New Roman" w:cs="Times New Roman" w:eastAsia="Times New Roman" w:hAnsi="Times New Roman"/>
                  <w:sz w:val="18"/>
                  <w:szCs w:val="18"/>
                  <w:color w:val="0000FF"/>
                </w:rPr>
                <w:t xml:space="preserve">on March </w:t>
              </w:r>
            </w:hyperlink>
            <w:r>
              <w:rPr>
                <w:rFonts w:ascii="Times New Roman" w:cs="Times New Roman" w:eastAsia="Times New Roman" w:hAnsi="Times New Roman"/>
                <w:sz w:val="18"/>
                <w:szCs w:val="18"/>
                <w:color w:val="0000FF"/>
              </w:rPr>
              <w:t xml:space="preserve">22, </w:t>
            </w:r>
            <w:hyperlink r:id="rId49">
              <w:r>
                <w:rPr>
                  <w:rFonts w:ascii="Times New Roman" w:cs="Times New Roman" w:eastAsia="Times New Roman" w:hAnsi="Times New Roman"/>
                  <w:sz w:val="18"/>
                  <w:szCs w:val="18"/>
                  <w:color w:val="0000FF"/>
                </w:rPr>
                <w:t>2022 and incorporated by reference herein)</w:t>
              </w:r>
            </w:hyperlink>
          </w:p>
        </w:tc>
        <w:tc>
          <w:tcPr>
            <w:tcW w:w="14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 #</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Offer Letter by and between Cross Country Healthcare, Inc. and Daniel J. White, dated as of April 5, 2022</w:t>
            </w:r>
          </w:p>
        </w:tc>
        <w:tc>
          <w:tcPr>
            <w:tcW w:w="1960" w:type="dxa"/>
            <w:vAlign w:val="bottom"/>
            <w:gridSpan w:val="11"/>
          </w:tcPr>
          <w:p>
            <w:pPr>
              <w:spacing w:after="0"/>
              <w:rPr>
                <w:sz w:val="22"/>
                <w:szCs w:val="22"/>
                <w:color w:val="auto"/>
              </w:rPr>
            </w:pPr>
          </w:p>
        </w:tc>
      </w:tr>
      <w:tr>
        <w:trPr>
          <w:trHeight w:val="26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 #</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40" w:type="dxa"/>
            <w:vAlign w:val="bottom"/>
            <w:gridSpan w:val="18"/>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Letter Agreement, by and between Cross Country Healthcare, Inc. and Kevin C. Clark, dated as of January 14, 2022 (Previously filed</w:t>
              </w:r>
            </w:hyperlink>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as an exhibit to the Company's Form 8-K filed on January 19, 2022 and incorporated by reference herein)</w:t>
              </w:r>
            </w:hyperlink>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8"/>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Employment Agreement, by and between Cross Country Healthcare, Inc. and John A. Martins, dated as of January 14, 2022</w:t>
              </w:r>
            </w:hyperlink>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(Previously filed as an exhibit to the Company's Form 8-K filed on January 19, 2022 and incorporated by reference herein)</w:t>
              </w:r>
            </w:hyperlink>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Rule 15d-14(a) by John A. Martins, President, Chief Executive Officer, Director</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(Principal Executive Officer)</w:t>
            </w:r>
          </w:p>
        </w:tc>
        <w:tc>
          <w:tcPr>
            <w:tcW w:w="6920" w:type="dxa"/>
            <w:vAlign w:val="bottom"/>
            <w:tcBorders>
              <w:top w:val="single" w:sz="8" w:color="0000FF"/>
            </w:tcBorders>
            <w:gridSpan w:val="9"/>
          </w:tcPr>
          <w:p>
            <w:pPr>
              <w:spacing w:after="0"/>
              <w:rPr>
                <w:sz w:val="13"/>
                <w:szCs w:val="13"/>
                <w:color w:val="auto"/>
              </w:rPr>
            </w:pPr>
          </w:p>
        </w:tc>
        <w:tc>
          <w:tcPr>
            <w:tcW w:w="40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Rule 15d-14(a) by William J. Burns, Executive Vice President, Chief Financial Officer</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(Principal Accounting and Financial Officer)</w:t>
            </w:r>
          </w:p>
        </w:tc>
        <w:tc>
          <w:tcPr>
            <w:tcW w:w="6240" w:type="dxa"/>
            <w:vAlign w:val="bottom"/>
            <w:tcBorders>
              <w:top w:val="single" w:sz="8" w:color="0000FF"/>
            </w:tcBorders>
            <w:gridSpan w:val="12"/>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by John A. Martins, President, Chief Executive Officer, Director (Principal</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Executive Officer)</w:t>
            </w:r>
          </w:p>
        </w:tc>
        <w:tc>
          <w:tcPr>
            <w:tcW w:w="460" w:type="dxa"/>
            <w:vAlign w:val="bottom"/>
            <w:gridSpan w:val="5"/>
          </w:tcPr>
          <w:p>
            <w:pPr>
              <w:spacing w:after="0"/>
              <w:rPr>
                <w:sz w:val="13"/>
                <w:szCs w:val="13"/>
                <w:color w:val="auto"/>
              </w:rPr>
            </w:pPr>
          </w:p>
        </w:tc>
        <w:tc>
          <w:tcPr>
            <w:tcW w:w="220" w:type="dxa"/>
            <w:vAlign w:val="bottom"/>
            <w:gridSpan w:val="3"/>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940" w:type="dxa"/>
            <w:vAlign w:val="bottom"/>
            <w:gridSpan w:val="1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by William J. Burns, Executive Vice President, Chief Financial Officer (Principal</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Accounting and Financial Officer)</w:t>
            </w:r>
          </w:p>
        </w:tc>
        <w:tc>
          <w:tcPr>
            <w:tcW w:w="220" w:type="dxa"/>
            <w:vAlign w:val="bottom"/>
            <w:gridSpan w:val="3"/>
          </w:tcPr>
          <w:p>
            <w:pPr>
              <w:spacing w:after="0"/>
              <w:rPr>
                <w:sz w:val="13"/>
                <w:szCs w:val="13"/>
                <w:color w:val="auto"/>
              </w:rPr>
            </w:pPr>
          </w:p>
        </w:tc>
      </w:tr>
      <w:tr>
        <w:trPr>
          <w:trHeight w:val="318"/>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24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7160" w:type="dxa"/>
            <w:vAlign w:val="bottom"/>
            <w:gridSpan w:val="15"/>
          </w:tcPr>
          <w:p>
            <w:pPr>
              <w:spacing w:after="0"/>
              <w:rPr>
                <w:sz w:val="24"/>
                <w:szCs w:val="24"/>
                <w:color w:val="auto"/>
              </w:rPr>
            </w:pP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4"/>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4"/>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8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Represents a management contract or compensatory plan or arrangement</w:t>
            </w:r>
          </w:p>
        </w:tc>
      </w:tr>
      <w:tr>
        <w:trPr>
          <w:trHeight w:val="28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Furnished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34" w:name="page35"/>
    <w:bookmarkEnd w:id="34"/>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81" w:lineRule="exact"/>
        <w:rPr>
          <w:sz w:val="20"/>
          <w:szCs w:val="20"/>
          <w:color w:val="auto"/>
        </w:rPr>
      </w:pPr>
    </w:p>
    <w:p>
      <w:pPr>
        <w:ind w:left="20"/>
        <w:spacing w:after="0"/>
        <w:tabs>
          <w:tab w:leader="none" w:pos="5640" w:val="left"/>
          <w:tab w:leader="none" w:pos="618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2143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William J. Burns</w:t>
      </w:r>
    </w:p>
    <w:p>
      <w:pPr>
        <w:ind w:left="6200"/>
        <w:spacing w:after="0" w:line="219" w:lineRule="auto"/>
        <w:rPr>
          <w:sz w:val="20"/>
          <w:szCs w:val="20"/>
          <w:color w:val="auto"/>
        </w:rPr>
      </w:pPr>
      <w:r>
        <w:rPr>
          <w:rFonts w:ascii="Times New Roman" w:cs="Times New Roman" w:eastAsia="Times New Roman" w:hAnsi="Times New Roman"/>
          <w:sz w:val="18"/>
          <w:szCs w:val="18"/>
          <w:color w:val="auto"/>
        </w:rPr>
        <w:t>Executive Vice President &amp; Chief Financial Officer (Principal</w:t>
      </w:r>
    </w:p>
    <w:p>
      <w:pPr>
        <w:ind w:left="6200"/>
        <w:spacing w:after="0"/>
        <w:rPr>
          <w:sz w:val="20"/>
          <w:szCs w:val="20"/>
          <w:color w:val="auto"/>
        </w:rPr>
      </w:pPr>
      <w:r>
        <w:rPr>
          <w:rFonts w:ascii="Times New Roman" w:cs="Times New Roman" w:eastAsia="Times New Roman" w:hAnsi="Times New Roman"/>
          <w:sz w:val="18"/>
          <w:szCs w:val="18"/>
          <w:color w:val="auto"/>
        </w:rPr>
        <w:t>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320" w:top="887" w:right="559" w:bottom="1440" w:gutter="0" w:footer="0" w:header="0"/>
        </w:sectPr>
      </w:pPr>
    </w:p>
    <w:bookmarkStart w:id="35" w:name="page36"/>
    <w:bookmarkEnd w:id="35"/>
    <w:p>
      <w:pPr>
        <w:ind w:left="3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28850" cy="5829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2228850" cy="582930"/>
                    </a:xfrm>
                    <a:prstGeom prst="rect">
                      <a:avLst/>
                    </a:prstGeom>
                    <a:noFill/>
                  </pic:spPr>
                </pic:pic>
              </a:graphicData>
            </a:graphic>
          </wp:anchor>
        </w:drawing>
        <w:t>DocuSign Envelope ID: 5D460804-F0D8-45E9-B87E-4C4792986401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color w:val="auto"/>
        </w:rPr>
        <w:t>April 5, 2022</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Daniel J. White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5815 Loma Verde Drive PO Box 1137</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Rancho Santa Fe, CA 92067 Dear Dan,</w:t>
      </w:r>
    </w:p>
    <w:p>
      <w:pPr>
        <w:spacing w:after="0" w:line="175" w:lineRule="exact"/>
        <w:rPr>
          <w:sz w:val="20"/>
          <w:szCs w:val="20"/>
          <w:color w:val="auto"/>
        </w:rPr>
      </w:pPr>
    </w:p>
    <w:p>
      <w:pPr>
        <w:jc w:val="both"/>
        <w:ind w:right="220"/>
        <w:spacing w:after="0" w:line="262" w:lineRule="auto"/>
        <w:rPr>
          <w:sz w:val="20"/>
          <w:szCs w:val="20"/>
          <w:color w:val="auto"/>
        </w:rPr>
      </w:pPr>
      <w:r>
        <w:rPr>
          <w:rFonts w:ascii="Arial" w:cs="Arial" w:eastAsia="Arial" w:hAnsi="Arial"/>
          <w:sz w:val="20"/>
          <w:szCs w:val="20"/>
          <w:color w:val="auto"/>
        </w:rPr>
        <w:t>We are pleased to confirm our offer of employment to join Cross Country Healthcare Services, Inc. (the “Company”) as Chief Commercial Officer (CCO). You will report to John Martins, Chief Executive Officer (CEO). Your start date will be April 5, 2022.</w:t>
      </w:r>
    </w:p>
    <w:p>
      <w:pPr>
        <w:spacing w:after="0" w:line="205" w:lineRule="exact"/>
        <w:rPr>
          <w:sz w:val="20"/>
          <w:szCs w:val="20"/>
          <w:color w:val="auto"/>
        </w:rPr>
      </w:pPr>
    </w:p>
    <w:p>
      <w:pPr>
        <w:jc w:val="both"/>
        <w:ind w:right="220"/>
        <w:spacing w:after="0" w:line="262" w:lineRule="auto"/>
        <w:rPr>
          <w:sz w:val="20"/>
          <w:szCs w:val="20"/>
          <w:color w:val="auto"/>
        </w:rPr>
      </w:pPr>
      <w:r>
        <w:rPr>
          <w:rFonts w:ascii="Arial" w:cs="Arial" w:eastAsia="Arial" w:hAnsi="Arial"/>
          <w:sz w:val="20"/>
          <w:szCs w:val="20"/>
          <w:color w:val="auto"/>
        </w:rPr>
        <w:t>In your role as Chief Commercial Officer (CCO), your responsibilities with be to lead client marketing, sales, sales support, solution design, implementation, strategic accounts / program management, RPO and strategic partnerships/relationships with third parties and any other responsibilities that may be directed, from time to time, by the CEO.</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You will be compensated for all services rendered by you under this Agreement at the rate of</w:t>
      </w:r>
    </w:p>
    <w:p>
      <w:pPr>
        <w:spacing w:after="0" w:line="4" w:lineRule="exact"/>
        <w:rPr>
          <w:sz w:val="20"/>
          <w:szCs w:val="20"/>
          <w:color w:val="auto"/>
        </w:rPr>
      </w:pPr>
    </w:p>
    <w:p>
      <w:pPr>
        <w:ind w:right="100"/>
        <w:spacing w:after="0" w:line="222" w:lineRule="auto"/>
        <w:rPr>
          <w:sz w:val="20"/>
          <w:szCs w:val="20"/>
          <w:color w:val="auto"/>
        </w:rPr>
      </w:pPr>
      <w:r>
        <w:rPr>
          <w:rFonts w:ascii="Arial" w:cs="Arial" w:eastAsia="Arial" w:hAnsi="Arial"/>
          <w:sz w:val="19"/>
          <w:szCs w:val="19"/>
          <w:color w:val="auto"/>
        </w:rPr>
        <w:t>$450,000.00 per annum, payable in a manner that is consistent with the Company’s payroll practices for executive employees. At least annually, the Company’s Compensation Committee of the Board (the “Compensation Committee”) will review and</w:t>
      </w:r>
    </w:p>
    <w:p>
      <w:pPr>
        <w:spacing w:after="0" w:line="1" w:lineRule="exact"/>
        <w:rPr>
          <w:sz w:val="20"/>
          <w:szCs w:val="20"/>
          <w:color w:val="auto"/>
        </w:rPr>
      </w:pPr>
    </w:p>
    <w:p>
      <w:pPr>
        <w:ind w:right="120"/>
        <w:spacing w:after="0" w:line="215" w:lineRule="auto"/>
        <w:rPr>
          <w:sz w:val="20"/>
          <w:szCs w:val="20"/>
          <w:color w:val="auto"/>
        </w:rPr>
      </w:pPr>
      <w:r>
        <w:rPr>
          <w:rFonts w:ascii="Arial" w:cs="Arial" w:eastAsia="Arial" w:hAnsi="Arial"/>
          <w:sz w:val="19"/>
          <w:szCs w:val="19"/>
          <w:color w:val="auto"/>
        </w:rPr>
        <w:t>consider in its sole discretion whether to modify the base salary payable to you hereunder. Your annual rate of base salary as determined herein from time to time is hereinafter referred to as the “Base Salary”. Applicable payroll deductions as required</w:t>
      </w:r>
    </w:p>
    <w:p>
      <w:pPr>
        <w:spacing w:after="0"/>
        <w:rPr>
          <w:sz w:val="20"/>
          <w:szCs w:val="20"/>
          <w:color w:val="auto"/>
        </w:rPr>
      </w:pPr>
      <w:r>
        <w:rPr>
          <w:rFonts w:ascii="Arial" w:cs="Arial" w:eastAsia="Arial" w:hAnsi="Arial"/>
          <w:sz w:val="20"/>
          <w:szCs w:val="20"/>
          <w:color w:val="auto"/>
        </w:rPr>
        <w:t>by State and Federal law will be withheld from your paycheck, along with any voluntary deductions that you authorize.</w:t>
      </w:r>
    </w:p>
    <w:p>
      <w:pPr>
        <w:spacing w:after="0" w:line="63" w:lineRule="exact"/>
        <w:rPr>
          <w:sz w:val="20"/>
          <w:szCs w:val="20"/>
          <w:color w:val="auto"/>
        </w:rPr>
      </w:pPr>
    </w:p>
    <w:p>
      <w:pPr>
        <w:jc w:val="both"/>
        <w:ind w:right="200"/>
        <w:spacing w:after="0" w:line="231" w:lineRule="auto"/>
        <w:rPr>
          <w:sz w:val="20"/>
          <w:szCs w:val="20"/>
          <w:color w:val="auto"/>
        </w:rPr>
      </w:pPr>
      <w:r>
        <w:rPr>
          <w:rFonts w:ascii="Arial" w:cs="Arial" w:eastAsia="Arial" w:hAnsi="Arial"/>
          <w:sz w:val="20"/>
          <w:szCs w:val="20"/>
          <w:color w:val="auto"/>
        </w:rPr>
        <w:t>For each calendar year, while employed by the Company, you will participate in the Company’s short-term incentive bonus plan approved by the Company at opportunity levels to be defined by the Compensation Committee in its discretion, with a target annual bonus amount of 100% of your Base Salary (“STI Target Percentage”).</w:t>
      </w:r>
    </w:p>
    <w:p>
      <w:pPr>
        <w:spacing w:after="0" w:line="213" w:lineRule="exact"/>
        <w:rPr>
          <w:sz w:val="20"/>
          <w:szCs w:val="20"/>
          <w:color w:val="auto"/>
        </w:rPr>
      </w:pPr>
    </w:p>
    <w:p>
      <w:pPr>
        <w:jc w:val="both"/>
        <w:ind w:right="220"/>
        <w:spacing w:after="0" w:line="244" w:lineRule="auto"/>
        <w:rPr>
          <w:sz w:val="20"/>
          <w:szCs w:val="20"/>
          <w:color w:val="auto"/>
        </w:rPr>
      </w:pPr>
      <w:r>
        <w:rPr>
          <w:rFonts w:ascii="Arial" w:cs="Arial" w:eastAsia="Arial" w:hAnsi="Arial"/>
          <w:sz w:val="20"/>
          <w:szCs w:val="20"/>
          <w:color w:val="auto"/>
        </w:rPr>
        <w:t>For each calendar year, while employed by the Company, you will participate in the Company’s long-term incentive plan as approved by the Company and receive awards thereunder on an annual basis with a target value of 85% of your Base Salary (“LTI Target Percentage”). Such award shall be upon terms and conditions determined at the discretion of the Compensation Committee in its sole discretion, which grant for 2022 shall made based on the closing price of the Company’s common stock on April 18, 2022.</w:t>
      </w:r>
    </w:p>
    <w:p>
      <w:pPr>
        <w:sectPr>
          <w:pgSz w:w="11900" w:h="16838" w:orient="portrait"/>
          <w:cols w:equalWidth="0" w:num="1">
            <w:col w:w="11140"/>
          </w:cols>
          <w:pgMar w:left="420" w:top="859" w:right="339" w:bottom="1440" w:gutter="0" w:footer="0" w:header="0"/>
        </w:sectPr>
      </w:pPr>
    </w:p>
    <w:bookmarkStart w:id="36" w:name="page37"/>
    <w:bookmarkEnd w:id="36"/>
    <w:p>
      <w:pPr>
        <w:ind w:left="3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28850" cy="5829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2228850" cy="582930"/>
                    </a:xfrm>
                    <a:prstGeom prst="rect">
                      <a:avLst/>
                    </a:prstGeom>
                    <a:noFill/>
                  </pic:spPr>
                </pic:pic>
              </a:graphicData>
            </a:graphic>
          </wp:anchor>
        </w:drawing>
        <w:t>DocuSign Envelope ID: 5D460804-F0D8-45E9-B87E-4C4792986401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Your compensation package will include the following:</w:t>
      </w:r>
    </w:p>
    <w:p>
      <w:pPr>
        <w:spacing w:after="0" w:line="218" w:lineRule="exact"/>
        <w:rPr>
          <w:sz w:val="20"/>
          <w:szCs w:val="20"/>
          <w:color w:val="auto"/>
        </w:rPr>
      </w:pPr>
    </w:p>
    <w:p>
      <w:pPr>
        <w:ind w:left="1080" w:right="480" w:hanging="312"/>
        <w:spacing w:after="0" w:line="220" w:lineRule="auto"/>
        <w:tabs>
          <w:tab w:leader="none" w:pos="1076"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Medical, Vision, Dental, Life Insurance—basic and supplemental, eligible 1st of the month following your hire date.</w:t>
      </w:r>
    </w:p>
    <w:p>
      <w:pPr>
        <w:ind w:left="1080" w:hanging="316"/>
        <w:spacing w:after="0" w:line="224" w:lineRule="auto"/>
        <w:tabs>
          <w:tab w:leader="none" w:pos="108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Disability Insurance—short-term and long-term</w:t>
      </w:r>
    </w:p>
    <w:p>
      <w:pPr>
        <w:ind w:left="1080" w:hanging="316"/>
        <w:spacing w:after="0" w:line="224" w:lineRule="auto"/>
        <w:tabs>
          <w:tab w:leader="none" w:pos="108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Tuition Assistance</w:t>
      </w:r>
    </w:p>
    <w:p>
      <w:pPr>
        <w:ind w:left="1080" w:hanging="316"/>
        <w:spacing w:after="0" w:line="224" w:lineRule="auto"/>
        <w:tabs>
          <w:tab w:leader="none" w:pos="108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Vacation Time—20 days per year</w:t>
      </w:r>
    </w:p>
    <w:p>
      <w:pPr>
        <w:ind w:left="1080" w:hanging="316"/>
        <w:spacing w:after="0" w:line="210" w:lineRule="auto"/>
        <w:tabs>
          <w:tab w:leader="none" w:pos="108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Sick Time—6 days per year</w:t>
      </w:r>
    </w:p>
    <w:p>
      <w:pPr>
        <w:ind w:left="1080" w:hanging="316"/>
        <w:spacing w:after="0" w:line="224" w:lineRule="auto"/>
        <w:tabs>
          <w:tab w:leader="none" w:pos="108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Personal Time—3 days per year</w:t>
      </w:r>
    </w:p>
    <w:p>
      <w:pPr>
        <w:ind w:left="1080" w:hanging="316"/>
        <w:spacing w:after="0" w:line="224" w:lineRule="auto"/>
        <w:tabs>
          <w:tab w:leader="none" w:pos="108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Holidays—eligible for all Company paid holidays following hire date.</w:t>
      </w:r>
    </w:p>
    <w:p>
      <w:pPr>
        <w:ind w:left="1080" w:hanging="316"/>
        <w:spacing w:after="0"/>
        <w:tabs>
          <w:tab w:leader="none" w:pos="1080" w:val="left"/>
        </w:tabs>
        <w:numPr>
          <w:ilvl w:val="0"/>
          <w:numId w:val="11"/>
        </w:numPr>
        <w:rPr>
          <w:rFonts w:ascii="Times New Roman" w:cs="Times New Roman" w:eastAsia="Times New Roman" w:hAnsi="Times New Roman"/>
          <w:sz w:val="20"/>
          <w:szCs w:val="20"/>
          <w:color w:val="auto"/>
        </w:rPr>
      </w:pPr>
      <w:r>
        <w:rPr>
          <w:rFonts w:ascii="Arial" w:cs="Arial" w:eastAsia="Arial" w:hAnsi="Arial"/>
          <w:sz w:val="20"/>
          <w:szCs w:val="20"/>
          <w:color w:val="auto"/>
        </w:rPr>
        <w:t>Participation in other benefits generally offered to the Company</w:t>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Change of Control Severance:</w:t>
      </w:r>
    </w:p>
    <w:p>
      <w:pPr>
        <w:spacing w:after="0" w:line="21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Upon signing a Participation Agreement and subject to approval by the Compensation Committee in its discretion, you will be</w:t>
      </w:r>
    </w:p>
    <w:p>
      <w:pPr>
        <w:spacing w:after="0" w:line="2" w:lineRule="exact"/>
        <w:rPr>
          <w:sz w:val="20"/>
          <w:szCs w:val="20"/>
          <w:color w:val="auto"/>
        </w:rPr>
      </w:pPr>
    </w:p>
    <w:p>
      <w:pPr>
        <w:ind w:left="100"/>
        <w:spacing w:after="0" w:line="215" w:lineRule="auto"/>
        <w:rPr>
          <w:sz w:val="20"/>
          <w:szCs w:val="20"/>
          <w:color w:val="auto"/>
        </w:rPr>
      </w:pPr>
      <w:r>
        <w:rPr>
          <w:rFonts w:ascii="Arial" w:cs="Arial" w:eastAsia="Arial" w:hAnsi="Arial"/>
          <w:sz w:val="19"/>
          <w:szCs w:val="19"/>
          <w:color w:val="auto"/>
        </w:rPr>
        <w:t>entitled to participate in the Company's Executive Severance Agreement Amended and Restated as of May 28, 2010 pursuant to which you will be entitled to receive a 1-year payout and other benefits upon a change of control (pursuant to the</w:t>
      </w:r>
    </w:p>
    <w:p>
      <w:pPr>
        <w:ind w:left="100"/>
        <w:spacing w:after="0"/>
        <w:rPr>
          <w:sz w:val="20"/>
          <w:szCs w:val="20"/>
          <w:color w:val="auto"/>
        </w:rPr>
      </w:pPr>
      <w:r>
        <w:rPr>
          <w:rFonts w:ascii="Arial" w:cs="Arial" w:eastAsia="Arial" w:hAnsi="Arial"/>
          <w:sz w:val="20"/>
          <w:szCs w:val="20"/>
          <w:color w:val="auto"/>
        </w:rPr>
        <w:t>terms and conditions in the Executive Severance Agreement at that time).</w:t>
      </w:r>
    </w:p>
    <w:p>
      <w:pPr>
        <w:spacing w:after="0" w:line="198" w:lineRule="exact"/>
        <w:rPr>
          <w:sz w:val="20"/>
          <w:szCs w:val="20"/>
          <w:color w:val="auto"/>
        </w:rPr>
      </w:pPr>
    </w:p>
    <w:p>
      <w:pPr>
        <w:ind w:left="100"/>
        <w:spacing w:after="0" w:line="224" w:lineRule="auto"/>
        <w:rPr>
          <w:sz w:val="20"/>
          <w:szCs w:val="20"/>
          <w:color w:val="auto"/>
        </w:rPr>
      </w:pPr>
      <w:r>
        <w:rPr>
          <w:rFonts w:ascii="Arial" w:cs="Arial" w:eastAsia="Arial" w:hAnsi="Arial"/>
          <w:sz w:val="19"/>
          <w:szCs w:val="19"/>
          <w:color w:val="auto"/>
        </w:rPr>
        <w:t>This offer of employment is contingent upon satisfactory references, verification of your eligibility to work in the United States, background screen, pre-employment drug testing, and the signing of an agreement containing certain covenants required by</w:t>
      </w:r>
    </w:p>
    <w:p>
      <w:pPr>
        <w:spacing w:after="0" w:line="2" w:lineRule="exact"/>
        <w:rPr>
          <w:sz w:val="20"/>
          <w:szCs w:val="20"/>
          <w:color w:val="auto"/>
        </w:rPr>
      </w:pPr>
    </w:p>
    <w:p>
      <w:pPr>
        <w:ind w:left="100"/>
        <w:spacing w:after="0" w:line="232" w:lineRule="auto"/>
        <w:rPr>
          <w:sz w:val="20"/>
          <w:szCs w:val="20"/>
          <w:color w:val="auto"/>
        </w:rPr>
      </w:pPr>
      <w:r>
        <w:rPr>
          <w:rFonts w:ascii="Arial" w:cs="Arial" w:eastAsia="Arial" w:hAnsi="Arial"/>
          <w:sz w:val="20"/>
          <w:szCs w:val="20"/>
          <w:color w:val="auto"/>
        </w:rPr>
        <w:t>the Company. This is at- will employment, and you have the right to terminate the employment at any time, as does the Company.</w:t>
      </w:r>
    </w:p>
    <w:p>
      <w:pPr>
        <w:spacing w:after="0" w:line="199" w:lineRule="exact"/>
        <w:rPr>
          <w:sz w:val="20"/>
          <w:szCs w:val="20"/>
          <w:color w:val="auto"/>
        </w:rPr>
      </w:pPr>
    </w:p>
    <w:p>
      <w:pPr>
        <w:jc w:val="both"/>
        <w:ind w:left="100" w:right="120"/>
        <w:spacing w:after="0" w:line="262" w:lineRule="auto"/>
        <w:rPr>
          <w:sz w:val="20"/>
          <w:szCs w:val="20"/>
          <w:color w:val="auto"/>
        </w:rPr>
      </w:pPr>
      <w:r>
        <w:rPr>
          <w:rFonts w:ascii="Arial" w:cs="Arial" w:eastAsia="Arial" w:hAnsi="Arial"/>
          <w:sz w:val="20"/>
          <w:szCs w:val="20"/>
          <w:color w:val="auto"/>
        </w:rPr>
        <w:t>Dan, on behalf of the Company, we wish to convey our enthusiasm for inviting you to join us as a team member. We are confident that you will find your employment to be a rewarding opportunity and one which will contribute to your growth as well as that of the Company.</w:t>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Sincerely,</w:t>
      </w:r>
    </w:p>
    <w:p>
      <w:pPr>
        <w:spacing w:after="0" w:line="1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5"/>
          <w:szCs w:val="25"/>
          <w:b w:val="1"/>
          <w:bCs w:val="1"/>
          <w:i w:val="1"/>
          <w:iCs w:val="1"/>
          <w:color w:val="auto"/>
        </w:rPr>
        <w:t>Colin McDonald</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Colin McDonald</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Chief Human Resources Officer</w:t>
      </w:r>
    </w:p>
    <w:p>
      <w:pPr>
        <w:spacing w:after="0" w:line="200" w:lineRule="exact"/>
        <w:rPr>
          <w:sz w:val="20"/>
          <w:szCs w:val="20"/>
          <w:color w:val="auto"/>
        </w:rPr>
      </w:pPr>
    </w:p>
    <w:p>
      <w:pPr>
        <w:spacing w:after="0" w:line="2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Cc: John Martins, Chief Executive Officer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I acknowledge and understand the terms of this offer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13335</wp:posOffset>
            </wp:positionV>
            <wp:extent cx="1200150" cy="411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1200150" cy="41148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April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154940</wp:posOffset>
            </wp:positionV>
            <wp:extent cx="26657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97" w:lineRule="exact"/>
        <w:rPr>
          <w:sz w:val="20"/>
          <w:szCs w:val="20"/>
          <w:color w:val="auto"/>
        </w:rPr>
      </w:pPr>
    </w:p>
    <w:p>
      <w:pPr>
        <w:ind w:left="120"/>
        <w:spacing w:after="0"/>
        <w:tabs>
          <w:tab w:leader="none" w:pos="2680" w:val="left"/>
        </w:tabs>
        <w:rPr>
          <w:sz w:val="20"/>
          <w:szCs w:val="20"/>
          <w:color w:val="auto"/>
        </w:rPr>
      </w:pPr>
      <w:r>
        <w:rPr>
          <w:rFonts w:ascii="Arial" w:cs="Arial" w:eastAsia="Arial" w:hAnsi="Arial"/>
          <w:sz w:val="20"/>
          <w:szCs w:val="20"/>
          <w:color w:val="auto"/>
        </w:rPr>
        <w:t>Daniel J. White (Signature)</w:t>
      </w:r>
      <w:r>
        <w:rPr>
          <w:sz w:val="20"/>
          <w:szCs w:val="20"/>
          <w:color w:val="auto"/>
        </w:rPr>
        <w:tab/>
      </w:r>
      <w:r>
        <w:rPr>
          <w:rFonts w:ascii="Arial" w:cs="Arial" w:eastAsia="Arial" w:hAnsi="Arial"/>
          <w:sz w:val="19"/>
          <w:szCs w:val="19"/>
          <w:color w:val="auto"/>
        </w:rPr>
        <w:t>Date</w:t>
      </w:r>
    </w:p>
    <w:p>
      <w:pPr>
        <w:sectPr>
          <w:pgSz w:w="11900" w:h="16838" w:orient="portrait"/>
          <w:cols w:equalWidth="0" w:num="1">
            <w:col w:w="11040"/>
          </w:cols>
          <w:pgMar w:left="420" w:top="859" w:right="4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Martins, certify that:</w:t>
      </w: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May 5, 2022</w:t>
      </w:r>
      <w:r>
        <w:rPr>
          <w:sz w:val="20"/>
          <w:szCs w:val="20"/>
          <w:color w:val="auto"/>
        </w:rPr>
        <w:tab/>
      </w:r>
      <w:r>
        <w:rPr>
          <w:rFonts w:ascii="Times New Roman" w:cs="Times New Roman" w:eastAsia="Times New Roman" w:hAnsi="Times New Roman"/>
          <w:sz w:val="17"/>
          <w:szCs w:val="17"/>
          <w:color w:val="auto"/>
        </w:rPr>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John A. Martins</w:t>
      </w:r>
    </w:p>
    <w:p>
      <w:pPr>
        <w:ind w:left="3000"/>
        <w:spacing w:after="0" w:line="219" w:lineRule="auto"/>
        <w:rPr>
          <w:sz w:val="20"/>
          <w:szCs w:val="20"/>
          <w:color w:val="auto"/>
        </w:rPr>
      </w:pPr>
      <w:r>
        <w:rPr>
          <w:rFonts w:ascii="Times New Roman" w:cs="Times New Roman" w:eastAsia="Times New Roman" w:hAnsi="Times New Roman"/>
          <w:sz w:val="18"/>
          <w:szCs w:val="18"/>
          <w:color w:val="auto"/>
        </w:rPr>
        <w:t>President &amp; Chief Executive Officer</w:t>
      </w:r>
    </w:p>
    <w:p>
      <w:pPr>
        <w:ind w:left="3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Burns, certify that:</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May 5, 2022</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William J. Burns</w:t>
      </w:r>
    </w:p>
    <w:p>
      <w:pPr>
        <w:ind w:left="3000"/>
        <w:spacing w:after="0"/>
        <w:rPr>
          <w:sz w:val="20"/>
          <w:szCs w:val="20"/>
          <w:color w:val="auto"/>
        </w:rPr>
      </w:pPr>
      <w:r>
        <w:rPr>
          <w:rFonts w:ascii="Times New Roman" w:cs="Times New Roman" w:eastAsia="Times New Roman" w:hAnsi="Times New Roman"/>
          <w:sz w:val="18"/>
          <w:szCs w:val="18"/>
          <w:color w:val="auto"/>
        </w:rPr>
        <w:t>Executive Vice President &amp; Chief Financial Officer (Principal Accounting and Financial Officer)</w:t>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220" w:firstLine="648"/>
        <w:spacing w:after="0" w:line="276" w:lineRule="auto"/>
        <w:rPr>
          <w:sz w:val="20"/>
          <w:szCs w:val="20"/>
          <w:color w:val="auto"/>
        </w:rPr>
      </w:pPr>
      <w:r>
        <w:rPr>
          <w:rFonts w:ascii="Times New Roman" w:cs="Times New Roman" w:eastAsia="Times New Roman" w:hAnsi="Times New Roman"/>
          <w:sz w:val="17"/>
          <w:szCs w:val="17"/>
          <w:color w:val="auto"/>
        </w:rPr>
        <w:t>In connection with the accompanying Quarterly Report on Form 10-Q of Cross Country Healthcare, Inc. (the Company) for the quarterly period ended March 31, 2022, (the "Periodic Report"), I, John A. Martins, President and Chief Executive Officer of the Company, hereby certify pursuant to</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26" w:lineRule="exact"/>
        <w:rPr>
          <w:sz w:val="20"/>
          <w:szCs w:val="20"/>
          <w:color w:val="auto"/>
        </w:rPr>
      </w:pPr>
    </w:p>
    <w:p>
      <w:pPr>
        <w:ind w:left="20"/>
        <w:spacing w:after="0"/>
        <w:tabs>
          <w:tab w:leader="none" w:pos="660" w:val="left"/>
          <w:tab w:leader="none" w:pos="3020" w:val="left"/>
        </w:tabs>
        <w:rPr>
          <w:sz w:val="20"/>
          <w:szCs w:val="20"/>
          <w:color w:val="auto"/>
        </w:rPr>
      </w:pPr>
      <w:r>
        <w:rPr>
          <w:rFonts w:ascii="Times New Roman" w:cs="Times New Roman" w:eastAsia="Times New Roman" w:hAnsi="Times New Roman"/>
          <w:sz w:val="18"/>
          <w:szCs w:val="18"/>
          <w:color w:val="auto"/>
        </w:rPr>
        <w:t>Date:</w:t>
        <w:tab/>
        <w:t>May 5, 2022</w:t>
      </w:r>
      <w:r>
        <w:rPr>
          <w:sz w:val="20"/>
          <w:szCs w:val="20"/>
          <w:color w:val="auto"/>
        </w:rPr>
        <w:tab/>
      </w:r>
      <w:r>
        <w:rPr>
          <w:rFonts w:ascii="Times New Roman" w:cs="Times New Roman" w:eastAsia="Times New Roman" w:hAnsi="Times New Roman"/>
          <w:sz w:val="17"/>
          <w:szCs w:val="17"/>
          <w:color w:val="auto"/>
        </w:rPr>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17145</wp:posOffset>
            </wp:positionV>
            <wp:extent cx="52031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John A. Martins</w:t>
      </w:r>
    </w:p>
    <w:p>
      <w:pPr>
        <w:ind w:left="3040"/>
        <w:spacing w:after="0" w:line="219" w:lineRule="auto"/>
        <w:rPr>
          <w:sz w:val="20"/>
          <w:szCs w:val="20"/>
          <w:color w:val="auto"/>
        </w:rPr>
      </w:pPr>
      <w:r>
        <w:rPr>
          <w:rFonts w:ascii="Times New Roman" w:cs="Times New Roman" w:eastAsia="Times New Roman" w:hAnsi="Times New Roman"/>
          <w:sz w:val="18"/>
          <w:szCs w:val="18"/>
          <w:color w:val="auto"/>
        </w:rPr>
        <w:t>President &amp; Chief Executive Officer</w:t>
      </w:r>
    </w:p>
    <w:p>
      <w:pPr>
        <w:ind w:left="3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Cross Country Healthcare, Inc. (the "Company") for the quarterly period ended March 31, 2022, (the "Periodic Report"), I, William J. Burns, Executive Vice President and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May 5, 2022</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William J. Burns</w:t>
      </w:r>
    </w:p>
    <w:p>
      <w:pPr>
        <w:ind w:left="3000"/>
        <w:spacing w:after="0"/>
        <w:rPr>
          <w:sz w:val="20"/>
          <w:szCs w:val="20"/>
          <w:color w:val="auto"/>
        </w:rPr>
      </w:pPr>
      <w:r>
        <w:rPr>
          <w:rFonts w:ascii="Times New Roman" w:cs="Times New Roman" w:eastAsia="Times New Roman" w:hAnsi="Times New Roman"/>
          <w:sz w:val="18"/>
          <w:szCs w:val="18"/>
          <w:color w:val="auto"/>
        </w:rPr>
        <w:t>Executive Vice President &amp; Chief Financial Officer (Principal Accounting and Financial Officer)</w:t>
      </w:r>
    </w:p>
    <w:p>
      <w:pPr>
        <w:spacing w:after="0" w:line="34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Roman"/>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Roman"/>
      <w:start w:val="1"/>
    </w:lvl>
  </w:abstractNum>
  <w:abstractNum w:abstractNumId="6">
    <w:nsid w:val="4DB127F8"/>
    <w:multiLevelType w:val="hybridMultilevel"/>
    <w:lvl w:ilvl="0">
      <w:lvlJc w:val="left"/>
      <w:lvlText w:val="%1."/>
      <w:numFmt w:val="decimal"/>
      <w:start w:val="1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jpeg"/><Relationship Id="rId55" Type="http://schemas.openxmlformats.org/officeDocument/2006/relationships/image" Target="media/image45.jpeg"/><Relationship Id="rId56" Type="http://schemas.openxmlformats.org/officeDocument/2006/relationships/image" Target="media/image46.jpeg"/><Relationship Id="rId57" Type="http://schemas.openxmlformats.org/officeDocument/2006/relationships/image" Target="media/image47.jpe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49" Type="http://schemas.openxmlformats.org/officeDocument/2006/relationships/hyperlink" Target="https://www.sec.gov/Archives/edgar/data/1141103/000115752322000358/a52612995ex10_1.htm" TargetMode="External"/><Relationship Id="rId50" Type="http://schemas.openxmlformats.org/officeDocument/2006/relationships/hyperlink" Target="https://www.sec.gov/Archives/edgar/data/1141103/000115752322000069/a52564385ex10_1.htm" TargetMode="External"/><Relationship Id="rId51" Type="http://schemas.openxmlformats.org/officeDocument/2006/relationships/hyperlink" Target="https://www.sec.gov/Archives/edgar/data/1141103/000115752322000069/a52564385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2022-05-05T08:30:36Z</dcterms:created>
  <dcterms:modified xsi:type="dcterms:W3CDTF">2022-05-05T08:30:36Z</dcterms:modified>
</cp:coreProperties>
</file>